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2918A" w14:textId="77777777" w:rsidR="00607028" w:rsidRPr="004D2FF7" w:rsidRDefault="00607028" w:rsidP="008C1B8F">
      <w:pPr>
        <w:tabs>
          <w:tab w:val="left" w:pos="450"/>
          <w:tab w:val="left" w:pos="720"/>
        </w:tabs>
        <w:spacing w:after="0" w:line="276" w:lineRule="auto"/>
        <w:ind w:right="9"/>
        <w:jc w:val="right"/>
        <w:rPr>
          <w:rFonts w:ascii="Times New Roman" w:eastAsia="Times New Roman" w:hAnsi="Times New Roman" w:cs="Times New Roman"/>
          <w:bCs/>
          <w:sz w:val="24"/>
          <w:szCs w:val="24"/>
        </w:rPr>
      </w:pPr>
      <w:bookmarkStart w:id="0" w:name="_GoBack"/>
      <w:bookmarkEnd w:id="0"/>
    </w:p>
    <w:p w14:paraId="4436241D" w14:textId="77777777" w:rsidR="006049D5" w:rsidRPr="004D2FF7" w:rsidRDefault="006049D5" w:rsidP="008C1B8F">
      <w:pPr>
        <w:tabs>
          <w:tab w:val="left" w:pos="450"/>
          <w:tab w:val="left" w:pos="720"/>
        </w:tabs>
        <w:spacing w:after="0" w:line="276" w:lineRule="auto"/>
        <w:ind w:right="9"/>
        <w:jc w:val="right"/>
        <w:rPr>
          <w:rFonts w:ascii="Times New Roman" w:eastAsia="Times New Roman" w:hAnsi="Times New Roman" w:cs="Times New Roman"/>
          <w:bCs/>
          <w:i/>
          <w:sz w:val="24"/>
          <w:szCs w:val="24"/>
        </w:rPr>
      </w:pPr>
      <w:r w:rsidRPr="004D2FF7">
        <w:rPr>
          <w:rFonts w:ascii="Times New Roman" w:eastAsia="Times New Roman" w:hAnsi="Times New Roman" w:cs="Times New Roman"/>
          <w:bCs/>
          <w:i/>
          <w:sz w:val="24"/>
          <w:szCs w:val="24"/>
        </w:rPr>
        <w:t>Anexă</w:t>
      </w:r>
    </w:p>
    <w:p w14:paraId="6C14433A" w14:textId="77777777" w:rsidR="006049D5" w:rsidRPr="004D2FF7" w:rsidRDefault="006049D5" w:rsidP="008C1B8F">
      <w:pPr>
        <w:tabs>
          <w:tab w:val="left" w:pos="0"/>
          <w:tab w:val="left" w:pos="720"/>
        </w:tabs>
        <w:spacing w:after="0" w:line="276" w:lineRule="auto"/>
        <w:ind w:right="9"/>
        <w:jc w:val="right"/>
        <w:rPr>
          <w:rFonts w:ascii="Times New Roman" w:eastAsia="Times New Roman" w:hAnsi="Times New Roman" w:cs="Times New Roman"/>
          <w:bCs/>
          <w:i/>
          <w:sz w:val="24"/>
          <w:szCs w:val="24"/>
        </w:rPr>
      </w:pPr>
      <w:r w:rsidRPr="004D2FF7">
        <w:rPr>
          <w:rFonts w:ascii="Times New Roman" w:eastAsia="Times New Roman" w:hAnsi="Times New Roman" w:cs="Times New Roman"/>
          <w:bCs/>
          <w:i/>
          <w:sz w:val="24"/>
          <w:szCs w:val="24"/>
        </w:rPr>
        <w:t>la Hotărârea Curții de Conturi</w:t>
      </w:r>
    </w:p>
    <w:p w14:paraId="6063E7FA" w14:textId="77777777" w:rsidR="006049D5" w:rsidRPr="004D2FF7" w:rsidRDefault="006049D5" w:rsidP="008C1B8F">
      <w:pPr>
        <w:tabs>
          <w:tab w:val="left" w:pos="450"/>
          <w:tab w:val="left" w:pos="720"/>
          <w:tab w:val="left" w:pos="7342"/>
          <w:tab w:val="left" w:pos="8222"/>
          <w:tab w:val="right" w:pos="10157"/>
        </w:tabs>
        <w:spacing w:after="0" w:line="276" w:lineRule="auto"/>
        <w:ind w:right="9"/>
        <w:jc w:val="right"/>
        <w:rPr>
          <w:rFonts w:ascii="Times New Roman" w:eastAsia="Times New Roman" w:hAnsi="Times New Roman" w:cs="Times New Roman"/>
          <w:bCs/>
          <w:i/>
          <w:color w:val="1F4E79" w:themeColor="accent1" w:themeShade="80"/>
          <w:sz w:val="24"/>
          <w:szCs w:val="24"/>
        </w:rPr>
      </w:pPr>
      <w:r w:rsidRPr="004D2FF7">
        <w:rPr>
          <w:rFonts w:ascii="Times New Roman" w:eastAsia="Times New Roman" w:hAnsi="Times New Roman" w:cs="Times New Roman"/>
          <w:bCs/>
          <w:i/>
          <w:sz w:val="24"/>
          <w:szCs w:val="24"/>
        </w:rPr>
        <w:t>nr.</w:t>
      </w:r>
      <w:r w:rsidR="009B1E61">
        <w:rPr>
          <w:rFonts w:ascii="Times New Roman" w:eastAsia="Times New Roman" w:hAnsi="Times New Roman" w:cs="Times New Roman"/>
          <w:bCs/>
          <w:i/>
          <w:sz w:val="24"/>
          <w:szCs w:val="24"/>
        </w:rPr>
        <w:t>1</w:t>
      </w:r>
      <w:r w:rsidRPr="004D2FF7">
        <w:rPr>
          <w:rFonts w:ascii="Times New Roman" w:eastAsia="Times New Roman" w:hAnsi="Times New Roman" w:cs="Times New Roman"/>
          <w:bCs/>
          <w:i/>
          <w:sz w:val="24"/>
          <w:szCs w:val="24"/>
        </w:rPr>
        <w:t xml:space="preserve"> din</w:t>
      </w:r>
      <w:r w:rsidR="00FA24FA" w:rsidRPr="004D2FF7">
        <w:rPr>
          <w:rFonts w:ascii="Times New Roman" w:eastAsia="Times New Roman" w:hAnsi="Times New Roman" w:cs="Times New Roman"/>
          <w:bCs/>
          <w:i/>
          <w:sz w:val="24"/>
          <w:szCs w:val="24"/>
        </w:rPr>
        <w:t xml:space="preserve"> 23</w:t>
      </w:r>
      <w:r w:rsidRPr="004D2FF7">
        <w:rPr>
          <w:rFonts w:ascii="Times New Roman" w:eastAsia="Times New Roman" w:hAnsi="Times New Roman" w:cs="Times New Roman"/>
          <w:bCs/>
          <w:i/>
          <w:sz w:val="24"/>
          <w:szCs w:val="24"/>
        </w:rPr>
        <w:t xml:space="preserve"> </w:t>
      </w:r>
      <w:r w:rsidR="00D14399" w:rsidRPr="004D2FF7">
        <w:rPr>
          <w:rFonts w:ascii="Times New Roman" w:eastAsia="Times New Roman" w:hAnsi="Times New Roman" w:cs="Times New Roman"/>
          <w:bCs/>
          <w:i/>
          <w:sz w:val="24"/>
          <w:szCs w:val="24"/>
        </w:rPr>
        <w:t>ianuarie</w:t>
      </w:r>
      <w:r w:rsidRPr="004D2FF7">
        <w:rPr>
          <w:rFonts w:ascii="Times New Roman" w:eastAsia="Times New Roman" w:hAnsi="Times New Roman" w:cs="Times New Roman"/>
          <w:bCs/>
          <w:i/>
          <w:sz w:val="24"/>
          <w:szCs w:val="24"/>
        </w:rPr>
        <w:t xml:space="preserve"> 202</w:t>
      </w:r>
      <w:r w:rsidR="00D14399" w:rsidRPr="004D2FF7">
        <w:rPr>
          <w:rFonts w:ascii="Times New Roman" w:eastAsia="Times New Roman" w:hAnsi="Times New Roman" w:cs="Times New Roman"/>
          <w:bCs/>
          <w:i/>
          <w:sz w:val="24"/>
          <w:szCs w:val="24"/>
        </w:rPr>
        <w:t>4</w:t>
      </w:r>
    </w:p>
    <w:p w14:paraId="73C74ED7" w14:textId="77777777" w:rsidR="006049D5" w:rsidRPr="00E30132" w:rsidRDefault="006049D5" w:rsidP="008C1B8F">
      <w:pPr>
        <w:spacing w:after="0" w:line="276" w:lineRule="auto"/>
        <w:rPr>
          <w:rFonts w:asciiTheme="majorHAnsi" w:eastAsia="Times New Roman" w:hAnsiTheme="majorHAnsi" w:cstheme="majorHAnsi"/>
          <w:bCs/>
          <w:i/>
          <w:sz w:val="24"/>
          <w:szCs w:val="24"/>
        </w:rPr>
      </w:pPr>
      <w:r w:rsidRPr="00E30132">
        <w:rPr>
          <w:rFonts w:asciiTheme="majorHAnsi" w:hAnsiTheme="majorHAnsi" w:cstheme="majorHAnsi"/>
          <w:noProof/>
          <w:sz w:val="24"/>
          <w:szCs w:val="24"/>
          <w:lang w:val="en-US"/>
        </w:rPr>
        <w:drawing>
          <wp:anchor distT="0" distB="3810" distL="114300" distR="118110" simplePos="0" relativeHeight="251660288" behindDoc="0" locked="0" layoutInCell="1" allowOverlap="1" wp14:anchorId="6CF71A35" wp14:editId="5EB55B70">
            <wp:simplePos x="0" y="0"/>
            <wp:positionH relativeFrom="column">
              <wp:posOffset>2497666</wp:posOffset>
            </wp:positionH>
            <wp:positionV relativeFrom="paragraph">
              <wp:posOffset>70908</wp:posOffset>
            </wp:positionV>
            <wp:extent cx="967740" cy="967740"/>
            <wp:effectExtent l="0" t="0" r="3810" b="3810"/>
            <wp:wrapSquare wrapText="bothSides"/>
            <wp:docPr id="15" name="Рисунок 1" descr="Intranet Curtea de Cont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Intranet Curtea de Conturi"/>
                    <pic:cNvPicPr>
                      <a:picLocks noChangeAspect="1" noChangeArrowheads="1"/>
                    </pic:cNvPicPr>
                  </pic:nvPicPr>
                  <pic:blipFill>
                    <a:blip r:embed="rId8"/>
                    <a:stretch>
                      <a:fillRect/>
                    </a:stretch>
                  </pic:blipFill>
                  <pic:spPr bwMode="auto">
                    <a:xfrm>
                      <a:off x="0" y="0"/>
                      <a:ext cx="967740" cy="967740"/>
                    </a:xfrm>
                    <a:prstGeom prst="rect">
                      <a:avLst/>
                    </a:prstGeom>
                  </pic:spPr>
                </pic:pic>
              </a:graphicData>
            </a:graphic>
          </wp:anchor>
        </w:drawing>
      </w:r>
    </w:p>
    <w:p w14:paraId="402872F6" w14:textId="77777777" w:rsidR="006049D5" w:rsidRPr="00E30132" w:rsidRDefault="006049D5" w:rsidP="008C1B8F">
      <w:pPr>
        <w:spacing w:after="0" w:line="276" w:lineRule="auto"/>
        <w:rPr>
          <w:rFonts w:asciiTheme="majorHAnsi" w:hAnsiTheme="majorHAnsi" w:cstheme="majorHAnsi"/>
          <w:i/>
          <w:sz w:val="24"/>
          <w:szCs w:val="24"/>
        </w:rPr>
      </w:pPr>
    </w:p>
    <w:p w14:paraId="6ACF0DB9" w14:textId="77777777" w:rsidR="006049D5" w:rsidRPr="00E30132" w:rsidRDefault="006049D5" w:rsidP="008C1B8F">
      <w:pPr>
        <w:spacing w:after="0" w:line="276" w:lineRule="auto"/>
        <w:rPr>
          <w:rFonts w:asciiTheme="majorHAnsi" w:hAnsiTheme="majorHAnsi" w:cstheme="majorHAnsi"/>
          <w:i/>
          <w:sz w:val="24"/>
          <w:szCs w:val="24"/>
        </w:rPr>
      </w:pPr>
    </w:p>
    <w:p w14:paraId="244E618D" w14:textId="77777777" w:rsidR="006049D5" w:rsidRPr="00E30132" w:rsidRDefault="006049D5" w:rsidP="008C1B8F">
      <w:pPr>
        <w:spacing w:after="0" w:line="276" w:lineRule="auto"/>
        <w:rPr>
          <w:rFonts w:asciiTheme="majorHAnsi" w:hAnsiTheme="majorHAnsi" w:cstheme="majorHAnsi"/>
          <w:i/>
          <w:sz w:val="24"/>
          <w:szCs w:val="24"/>
        </w:rPr>
      </w:pPr>
    </w:p>
    <w:p w14:paraId="6E013510" w14:textId="77777777" w:rsidR="006049D5" w:rsidRPr="00E30132" w:rsidRDefault="006049D5" w:rsidP="008C1B8F">
      <w:pPr>
        <w:spacing w:after="0" w:line="276" w:lineRule="auto"/>
        <w:rPr>
          <w:rFonts w:asciiTheme="majorHAnsi" w:hAnsiTheme="majorHAnsi" w:cstheme="majorHAnsi"/>
          <w:i/>
          <w:sz w:val="24"/>
          <w:szCs w:val="24"/>
        </w:rPr>
      </w:pPr>
    </w:p>
    <w:p w14:paraId="3F5D94A8" w14:textId="77777777" w:rsidR="006049D5" w:rsidRPr="00E30132" w:rsidRDefault="006049D5" w:rsidP="008C1B8F">
      <w:pPr>
        <w:spacing w:after="0" w:line="276" w:lineRule="auto"/>
        <w:rPr>
          <w:rFonts w:asciiTheme="majorHAnsi" w:hAnsiTheme="majorHAnsi" w:cstheme="majorHAnsi"/>
          <w:b/>
          <w:sz w:val="24"/>
          <w:szCs w:val="24"/>
        </w:rPr>
      </w:pPr>
    </w:p>
    <w:p w14:paraId="041CD5F7" w14:textId="77777777" w:rsidR="006049D5" w:rsidRPr="004D2FF7" w:rsidRDefault="006049D5" w:rsidP="008C1B8F">
      <w:pPr>
        <w:spacing w:after="0" w:line="276" w:lineRule="auto"/>
        <w:jc w:val="center"/>
        <w:rPr>
          <w:rFonts w:ascii="Times New Roman" w:hAnsi="Times New Roman" w:cs="Times New Roman"/>
          <w:b/>
          <w:sz w:val="24"/>
          <w:szCs w:val="24"/>
        </w:rPr>
      </w:pPr>
      <w:r w:rsidRPr="004D2FF7">
        <w:rPr>
          <w:rFonts w:ascii="Times New Roman" w:hAnsi="Times New Roman" w:cs="Times New Roman"/>
          <w:b/>
          <w:sz w:val="24"/>
          <w:szCs w:val="24"/>
        </w:rPr>
        <w:t>CURTEA DE CONTURI A REPUBLICII MOLDOVA</w:t>
      </w:r>
    </w:p>
    <w:p w14:paraId="61490B8B" w14:textId="77777777" w:rsidR="006049D5" w:rsidRPr="004D2FF7" w:rsidRDefault="006049D5" w:rsidP="008C1B8F">
      <w:pPr>
        <w:spacing w:after="0" w:line="276" w:lineRule="auto"/>
        <w:rPr>
          <w:rFonts w:ascii="Times New Roman" w:hAnsi="Times New Roman" w:cs="Times New Roman"/>
          <w:sz w:val="24"/>
          <w:szCs w:val="24"/>
        </w:rPr>
      </w:pPr>
    </w:p>
    <w:tbl>
      <w:tblPr>
        <w:tblW w:w="9350" w:type="dxa"/>
        <w:jc w:val="center"/>
        <w:tblBorders>
          <w:top w:val="thinThickSmallGap" w:sz="12" w:space="0" w:color="00000A"/>
          <w:bottom w:val="thickThinSmallGap" w:sz="12" w:space="0" w:color="00000A"/>
          <w:insideH w:val="thickThinSmallGap" w:sz="12" w:space="0" w:color="00000A"/>
        </w:tblBorders>
        <w:tblLook w:val="04A0" w:firstRow="1" w:lastRow="0" w:firstColumn="1" w:lastColumn="0" w:noHBand="0" w:noVBand="1"/>
      </w:tblPr>
      <w:tblGrid>
        <w:gridCol w:w="9350"/>
      </w:tblGrid>
      <w:tr w:rsidR="006049D5" w:rsidRPr="004D2FF7" w14:paraId="2EB037AF" w14:textId="77777777" w:rsidTr="006049D5">
        <w:trPr>
          <w:trHeight w:val="396"/>
          <w:jc w:val="center"/>
        </w:trPr>
        <w:tc>
          <w:tcPr>
            <w:tcW w:w="9350" w:type="dxa"/>
            <w:tcBorders>
              <w:top w:val="thinThickSmallGap" w:sz="12" w:space="0" w:color="00000A"/>
              <w:bottom w:val="thickThinSmallGap" w:sz="12" w:space="0" w:color="00000A"/>
            </w:tcBorders>
            <w:shd w:val="clear" w:color="auto" w:fill="auto"/>
          </w:tcPr>
          <w:p w14:paraId="4A4CB0C8" w14:textId="77777777" w:rsidR="007157F5" w:rsidRPr="004D2FF7" w:rsidRDefault="006049D5" w:rsidP="008C1B8F">
            <w:pPr>
              <w:tabs>
                <w:tab w:val="left" w:pos="720"/>
              </w:tabs>
              <w:spacing w:after="0" w:line="276" w:lineRule="auto"/>
              <w:jc w:val="center"/>
              <w:rPr>
                <w:rFonts w:ascii="Times New Roman" w:hAnsi="Times New Roman" w:cs="Times New Roman"/>
                <w:sz w:val="24"/>
                <w:szCs w:val="24"/>
              </w:rPr>
            </w:pPr>
            <w:r w:rsidRPr="004D2FF7">
              <w:rPr>
                <w:rFonts w:ascii="Times New Roman" w:hAnsi="Times New Roman" w:cs="Times New Roman"/>
                <w:sz w:val="24"/>
                <w:szCs w:val="24"/>
              </w:rPr>
              <w:t>MD-2001, mun. Chișinău, bd. Ștefan cel Mare și Sfânt nr.69, tel. (+373 22) 26 60 02,</w:t>
            </w:r>
          </w:p>
          <w:p w14:paraId="7B26C7F6" w14:textId="77777777" w:rsidR="006049D5" w:rsidRPr="004D2FF7" w:rsidRDefault="006049D5" w:rsidP="008C1B8F">
            <w:pPr>
              <w:tabs>
                <w:tab w:val="left" w:pos="720"/>
              </w:tabs>
              <w:spacing w:after="0" w:line="276" w:lineRule="auto"/>
              <w:jc w:val="center"/>
              <w:rPr>
                <w:rFonts w:ascii="Times New Roman" w:hAnsi="Times New Roman" w:cs="Times New Roman"/>
                <w:sz w:val="24"/>
                <w:szCs w:val="24"/>
              </w:rPr>
            </w:pPr>
            <w:r w:rsidRPr="004D2FF7">
              <w:rPr>
                <w:rFonts w:ascii="Times New Roman" w:hAnsi="Times New Roman" w:cs="Times New Roman"/>
                <w:sz w:val="24"/>
                <w:szCs w:val="24"/>
              </w:rPr>
              <w:t xml:space="preserve"> fax: (+373 22) 26 61 00, </w:t>
            </w:r>
          </w:p>
          <w:p w14:paraId="19D22A5F" w14:textId="77777777" w:rsidR="006049D5" w:rsidRPr="004D2FF7" w:rsidRDefault="00BB6FB5" w:rsidP="008C1B8F">
            <w:pPr>
              <w:spacing w:after="0" w:line="276" w:lineRule="auto"/>
              <w:ind w:right="-120"/>
              <w:jc w:val="center"/>
              <w:rPr>
                <w:rFonts w:ascii="Times New Roman" w:hAnsi="Times New Roman" w:cs="Times New Roman"/>
                <w:sz w:val="24"/>
                <w:szCs w:val="24"/>
              </w:rPr>
            </w:pPr>
            <w:hyperlink r:id="rId9" w:history="1">
              <w:r w:rsidR="006049D5" w:rsidRPr="004D2FF7">
                <w:rPr>
                  <w:rFonts w:ascii="Times New Roman" w:hAnsi="Times New Roman" w:cs="Times New Roman"/>
                  <w:b/>
                  <w:color w:val="0563C1" w:themeColor="hyperlink"/>
                  <w:sz w:val="24"/>
                  <w:szCs w:val="24"/>
                  <w:u w:val="single"/>
                </w:rPr>
                <w:t>www.ccrm.md</w:t>
              </w:r>
            </w:hyperlink>
            <w:r w:rsidR="006049D5" w:rsidRPr="004D2FF7">
              <w:rPr>
                <w:rFonts w:ascii="Times New Roman" w:hAnsi="Times New Roman" w:cs="Times New Roman"/>
                <w:b/>
                <w:color w:val="0563C1" w:themeColor="hyperlink"/>
                <w:sz w:val="24"/>
                <w:szCs w:val="24"/>
                <w:u w:val="single"/>
              </w:rPr>
              <w:t xml:space="preserve">; </w:t>
            </w:r>
            <w:r w:rsidR="006049D5" w:rsidRPr="004D2FF7">
              <w:rPr>
                <w:rFonts w:ascii="Times New Roman" w:hAnsi="Times New Roman" w:cs="Times New Roman"/>
                <w:sz w:val="24"/>
                <w:szCs w:val="24"/>
              </w:rPr>
              <w:t xml:space="preserve">e-mail: </w:t>
            </w:r>
            <w:hyperlink r:id="rId10" w:history="1">
              <w:r w:rsidR="006049D5" w:rsidRPr="004D2FF7">
                <w:rPr>
                  <w:rFonts w:ascii="Times New Roman" w:hAnsi="Times New Roman" w:cs="Times New Roman"/>
                  <w:b/>
                  <w:color w:val="0563C1" w:themeColor="hyperlink"/>
                  <w:sz w:val="24"/>
                  <w:szCs w:val="24"/>
                  <w:u w:val="single"/>
                </w:rPr>
                <w:t>ccrm@ccrm.md</w:t>
              </w:r>
            </w:hyperlink>
          </w:p>
        </w:tc>
      </w:tr>
    </w:tbl>
    <w:p w14:paraId="3954FEC1" w14:textId="77777777" w:rsidR="006049D5" w:rsidRPr="00E30132" w:rsidRDefault="006049D5" w:rsidP="008C1B8F">
      <w:pPr>
        <w:spacing w:after="0" w:line="276" w:lineRule="auto"/>
        <w:jc w:val="both"/>
        <w:rPr>
          <w:rFonts w:asciiTheme="majorHAnsi" w:eastAsia="Times New Roman" w:hAnsiTheme="majorHAnsi" w:cstheme="majorHAnsi"/>
          <w:b/>
          <w:bCs/>
          <w:color w:val="1F4E79" w:themeColor="accent1" w:themeShade="80"/>
          <w:sz w:val="24"/>
          <w:szCs w:val="24"/>
        </w:rPr>
      </w:pPr>
    </w:p>
    <w:p w14:paraId="0CBE0536" w14:textId="77777777" w:rsidR="006049D5" w:rsidRPr="00E30132" w:rsidRDefault="006049D5" w:rsidP="008C1B8F">
      <w:pPr>
        <w:spacing w:after="0" w:line="276" w:lineRule="auto"/>
        <w:jc w:val="both"/>
        <w:rPr>
          <w:rFonts w:asciiTheme="majorHAnsi" w:eastAsia="Times New Roman" w:hAnsiTheme="majorHAnsi" w:cstheme="majorHAnsi"/>
          <w:b/>
          <w:bCs/>
          <w:color w:val="1F4E79" w:themeColor="accent1" w:themeShade="80"/>
          <w:sz w:val="24"/>
          <w:szCs w:val="24"/>
        </w:rPr>
      </w:pPr>
    </w:p>
    <w:p w14:paraId="70DAACF3" w14:textId="77777777" w:rsidR="00EA775E" w:rsidRDefault="00EA775E" w:rsidP="008C1B8F">
      <w:pPr>
        <w:tabs>
          <w:tab w:val="left" w:pos="450"/>
          <w:tab w:val="left" w:pos="720"/>
        </w:tabs>
        <w:spacing w:after="0" w:line="276" w:lineRule="auto"/>
        <w:ind w:right="9"/>
        <w:jc w:val="center"/>
        <w:rPr>
          <w:rFonts w:asciiTheme="majorHAnsi" w:eastAsia="Times New Roman" w:hAnsiTheme="majorHAnsi" w:cstheme="majorHAnsi"/>
          <w:b/>
          <w:bCs/>
          <w:sz w:val="32"/>
          <w:szCs w:val="32"/>
        </w:rPr>
      </w:pPr>
    </w:p>
    <w:p w14:paraId="1029D94C" w14:textId="77777777" w:rsidR="006049D5" w:rsidRPr="004D2FF7" w:rsidRDefault="006049D5" w:rsidP="008C1B8F">
      <w:pPr>
        <w:tabs>
          <w:tab w:val="left" w:pos="450"/>
          <w:tab w:val="left" w:pos="720"/>
        </w:tabs>
        <w:spacing w:after="0" w:line="276" w:lineRule="auto"/>
        <w:ind w:right="9"/>
        <w:jc w:val="center"/>
        <w:rPr>
          <w:rFonts w:ascii="Times New Roman" w:eastAsia="Times New Roman" w:hAnsi="Times New Roman" w:cs="Times New Roman"/>
          <w:b/>
          <w:bCs/>
          <w:sz w:val="32"/>
          <w:szCs w:val="32"/>
        </w:rPr>
      </w:pPr>
      <w:r w:rsidRPr="004D2FF7">
        <w:rPr>
          <w:rFonts w:ascii="Times New Roman" w:eastAsia="Times New Roman" w:hAnsi="Times New Roman" w:cs="Times New Roman"/>
          <w:b/>
          <w:bCs/>
          <w:sz w:val="32"/>
          <w:szCs w:val="32"/>
        </w:rPr>
        <w:t>RAPORTUL</w:t>
      </w:r>
    </w:p>
    <w:p w14:paraId="3081E531" w14:textId="77777777" w:rsidR="006049D5" w:rsidRPr="004D2FF7" w:rsidRDefault="009B5DD3" w:rsidP="008C1B8F">
      <w:pPr>
        <w:tabs>
          <w:tab w:val="left" w:pos="450"/>
          <w:tab w:val="left" w:pos="720"/>
        </w:tabs>
        <w:spacing w:after="0" w:line="276" w:lineRule="auto"/>
        <w:ind w:right="9"/>
        <w:jc w:val="center"/>
        <w:rPr>
          <w:rFonts w:ascii="Times New Roman" w:eastAsia="Times New Roman" w:hAnsi="Times New Roman" w:cs="Times New Roman"/>
          <w:b/>
          <w:bCs/>
          <w:sz w:val="32"/>
          <w:szCs w:val="32"/>
        </w:rPr>
      </w:pPr>
      <w:r w:rsidRPr="004D2FF7">
        <w:rPr>
          <w:rFonts w:ascii="Times New Roman" w:eastAsia="Times New Roman" w:hAnsi="Times New Roman" w:cs="Times New Roman"/>
          <w:b/>
          <w:bCs/>
          <w:sz w:val="32"/>
          <w:szCs w:val="32"/>
        </w:rPr>
        <w:t>a</w:t>
      </w:r>
      <w:r w:rsidR="006049D5" w:rsidRPr="004D2FF7">
        <w:rPr>
          <w:rFonts w:ascii="Times New Roman" w:eastAsia="Times New Roman" w:hAnsi="Times New Roman" w:cs="Times New Roman"/>
          <w:b/>
          <w:bCs/>
          <w:sz w:val="32"/>
          <w:szCs w:val="32"/>
        </w:rPr>
        <w:t xml:space="preserve">uditului conformității asupra modului de formare, administrare și întrebuințare a resurselor financiare publice și </w:t>
      </w:r>
      <w:r w:rsidR="00251182" w:rsidRPr="004D2FF7">
        <w:rPr>
          <w:rFonts w:ascii="Times New Roman" w:eastAsia="Times New Roman" w:hAnsi="Times New Roman" w:cs="Times New Roman"/>
          <w:b/>
          <w:bCs/>
          <w:sz w:val="32"/>
          <w:szCs w:val="32"/>
        </w:rPr>
        <w:t xml:space="preserve">a </w:t>
      </w:r>
      <w:r w:rsidR="006049D5" w:rsidRPr="004D2FF7">
        <w:rPr>
          <w:rFonts w:ascii="Times New Roman" w:eastAsia="Times New Roman" w:hAnsi="Times New Roman" w:cs="Times New Roman"/>
          <w:b/>
          <w:bCs/>
          <w:sz w:val="32"/>
          <w:szCs w:val="32"/>
        </w:rPr>
        <w:t xml:space="preserve">patrimoniului public de către </w:t>
      </w:r>
      <w:r w:rsidR="00E53572" w:rsidRPr="004D2FF7">
        <w:rPr>
          <w:rFonts w:ascii="Times New Roman" w:eastAsia="Times New Roman" w:hAnsi="Times New Roman" w:cs="Times New Roman"/>
          <w:b/>
          <w:bCs/>
          <w:sz w:val="32"/>
          <w:szCs w:val="32"/>
        </w:rPr>
        <w:t xml:space="preserve">Centrul Național pentru Protecția Datelor cu Caracter </w:t>
      </w:r>
      <w:r w:rsidR="00D240D5" w:rsidRPr="004D2FF7">
        <w:rPr>
          <w:rFonts w:ascii="Times New Roman" w:eastAsia="Times New Roman" w:hAnsi="Times New Roman" w:cs="Times New Roman"/>
          <w:b/>
          <w:bCs/>
          <w:sz w:val="32"/>
          <w:szCs w:val="32"/>
        </w:rPr>
        <w:t>P</w:t>
      </w:r>
      <w:r w:rsidR="00E53572" w:rsidRPr="004D2FF7">
        <w:rPr>
          <w:rFonts w:ascii="Times New Roman" w:eastAsia="Times New Roman" w:hAnsi="Times New Roman" w:cs="Times New Roman"/>
          <w:b/>
          <w:bCs/>
          <w:sz w:val="32"/>
          <w:szCs w:val="32"/>
        </w:rPr>
        <w:t>ersonal</w:t>
      </w:r>
      <w:r w:rsidR="006049D5" w:rsidRPr="004D2FF7">
        <w:rPr>
          <w:rFonts w:ascii="Times New Roman" w:eastAsia="Times New Roman" w:hAnsi="Times New Roman" w:cs="Times New Roman"/>
          <w:b/>
          <w:bCs/>
          <w:sz w:val="32"/>
          <w:szCs w:val="32"/>
        </w:rPr>
        <w:t xml:space="preserve"> în perioada 2018-2022</w:t>
      </w:r>
    </w:p>
    <w:p w14:paraId="02426591" w14:textId="77777777" w:rsidR="006049D5" w:rsidRPr="00E30132" w:rsidRDefault="006049D5" w:rsidP="008C1B8F">
      <w:pPr>
        <w:tabs>
          <w:tab w:val="left" w:pos="450"/>
          <w:tab w:val="left" w:pos="720"/>
        </w:tabs>
        <w:spacing w:after="0" w:line="276" w:lineRule="auto"/>
        <w:ind w:right="9"/>
        <w:jc w:val="both"/>
        <w:rPr>
          <w:rFonts w:asciiTheme="majorHAnsi" w:eastAsia="Times New Roman" w:hAnsiTheme="majorHAnsi" w:cstheme="majorHAnsi"/>
          <w:b/>
          <w:bCs/>
          <w:sz w:val="24"/>
          <w:szCs w:val="24"/>
        </w:rPr>
      </w:pPr>
    </w:p>
    <w:p w14:paraId="483F1A35" w14:textId="77777777" w:rsidR="006049D5" w:rsidRPr="00E30132" w:rsidRDefault="006049D5" w:rsidP="008C1B8F">
      <w:pPr>
        <w:tabs>
          <w:tab w:val="left" w:pos="450"/>
          <w:tab w:val="left" w:pos="720"/>
        </w:tabs>
        <w:spacing w:after="0" w:line="276" w:lineRule="auto"/>
        <w:ind w:right="9"/>
        <w:jc w:val="both"/>
        <w:rPr>
          <w:rFonts w:asciiTheme="majorHAnsi" w:eastAsia="Times New Roman" w:hAnsiTheme="majorHAnsi" w:cstheme="majorHAnsi"/>
          <w:b/>
          <w:bCs/>
          <w:sz w:val="24"/>
          <w:szCs w:val="24"/>
        </w:rPr>
      </w:pPr>
    </w:p>
    <w:p w14:paraId="37DD3561" w14:textId="77777777" w:rsidR="00FB6B3A" w:rsidRPr="00E30132" w:rsidRDefault="00FB6B3A" w:rsidP="008C1B8F">
      <w:pPr>
        <w:tabs>
          <w:tab w:val="left" w:pos="450"/>
          <w:tab w:val="left" w:pos="720"/>
        </w:tabs>
        <w:spacing w:after="0" w:line="276" w:lineRule="auto"/>
        <w:ind w:right="9"/>
        <w:jc w:val="both"/>
        <w:rPr>
          <w:rFonts w:asciiTheme="majorHAnsi" w:eastAsia="Times New Roman" w:hAnsiTheme="majorHAnsi" w:cstheme="majorHAnsi"/>
          <w:b/>
          <w:bCs/>
          <w:sz w:val="24"/>
          <w:szCs w:val="24"/>
        </w:rPr>
      </w:pPr>
    </w:p>
    <w:p w14:paraId="3C5597B7" w14:textId="77777777" w:rsidR="00BE15C0" w:rsidRPr="00E30132" w:rsidRDefault="00BE15C0" w:rsidP="008C1B8F">
      <w:pPr>
        <w:tabs>
          <w:tab w:val="left" w:pos="450"/>
          <w:tab w:val="left" w:pos="720"/>
        </w:tabs>
        <w:spacing w:after="0" w:line="276" w:lineRule="auto"/>
        <w:ind w:right="9"/>
        <w:jc w:val="both"/>
        <w:rPr>
          <w:rFonts w:asciiTheme="majorHAnsi" w:eastAsia="Times New Roman" w:hAnsiTheme="majorHAnsi" w:cstheme="majorHAnsi"/>
          <w:b/>
          <w:bCs/>
          <w:sz w:val="24"/>
          <w:szCs w:val="24"/>
        </w:rPr>
      </w:pPr>
    </w:p>
    <w:p w14:paraId="3AAA1A47" w14:textId="77777777" w:rsidR="006049D5" w:rsidRPr="00E30132" w:rsidRDefault="00736CF8" w:rsidP="00736CF8">
      <w:pPr>
        <w:spacing w:line="276" w:lineRule="auto"/>
        <w:jc w:val="center"/>
        <w:rPr>
          <w:rFonts w:asciiTheme="majorHAnsi" w:hAnsiTheme="majorHAnsi" w:cstheme="majorHAnsi"/>
          <w:sz w:val="24"/>
          <w:szCs w:val="24"/>
          <w:shd w:val="clear" w:color="auto" w:fill="FFFFFF"/>
        </w:rPr>
      </w:pPr>
      <w:r w:rsidRPr="00E30132">
        <w:rPr>
          <w:rFonts w:asciiTheme="majorHAnsi" w:hAnsiTheme="majorHAnsi" w:cstheme="majorHAnsi"/>
          <w:noProof/>
          <w:sz w:val="24"/>
          <w:szCs w:val="24"/>
          <w:lang w:val="en-US"/>
        </w:rPr>
        <w:drawing>
          <wp:inline distT="0" distB="0" distL="0" distR="0" wp14:anchorId="6E81BF03" wp14:editId="0289C271">
            <wp:extent cx="1836420" cy="2110740"/>
            <wp:effectExtent l="0" t="0" r="0" b="3810"/>
            <wp:docPr id="8" name="Рисунок 8" descr="http://datepersonale.md/wp-content/uploads/2019/12/emblema-25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tepersonale.md/wp-content/uploads/2019/12/emblema-250x3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5003" cy="2120605"/>
                    </a:xfrm>
                    <a:prstGeom prst="rect">
                      <a:avLst/>
                    </a:prstGeom>
                    <a:noFill/>
                    <a:ln>
                      <a:noFill/>
                    </a:ln>
                  </pic:spPr>
                </pic:pic>
              </a:graphicData>
            </a:graphic>
          </wp:inline>
        </w:drawing>
      </w:r>
    </w:p>
    <w:p w14:paraId="2ABEE49F" w14:textId="77777777" w:rsidR="006049D5" w:rsidRPr="00E30132" w:rsidRDefault="006049D5" w:rsidP="008C1B8F">
      <w:pPr>
        <w:spacing w:after="0" w:line="276" w:lineRule="auto"/>
        <w:jc w:val="both"/>
        <w:rPr>
          <w:rFonts w:asciiTheme="majorHAnsi" w:hAnsiTheme="majorHAnsi" w:cstheme="majorHAnsi"/>
          <w:sz w:val="24"/>
          <w:szCs w:val="24"/>
        </w:rPr>
      </w:pPr>
    </w:p>
    <w:sdt>
      <w:sdtPr>
        <w:rPr>
          <w:rFonts w:ascii="Times New Roman" w:eastAsiaTheme="majorEastAsia" w:hAnsi="Times New Roman" w:cs="Times New Roman"/>
          <w:b/>
          <w:bCs/>
          <w:i/>
          <w:noProof/>
        </w:rPr>
        <w:id w:val="1381430498"/>
        <w:docPartObj>
          <w:docPartGallery w:val="Table of Contents"/>
          <w:docPartUnique/>
        </w:docPartObj>
      </w:sdtPr>
      <w:sdtEndPr>
        <w:rPr>
          <w:rFonts w:eastAsia="Times New Roman"/>
          <w:i w:val="0"/>
        </w:rPr>
      </w:sdtEndPr>
      <w:sdtContent>
        <w:p w14:paraId="78555E88" w14:textId="72D6BBB4" w:rsidR="006049D5" w:rsidRPr="00154424" w:rsidRDefault="006049D5" w:rsidP="00C90D35">
          <w:pPr>
            <w:keepNext/>
            <w:keepLines/>
            <w:tabs>
              <w:tab w:val="left" w:pos="1380"/>
            </w:tabs>
            <w:spacing w:before="240" w:after="0" w:line="240" w:lineRule="auto"/>
            <w:rPr>
              <w:rFonts w:ascii="Times New Roman" w:eastAsiaTheme="majorEastAsia" w:hAnsi="Times New Roman" w:cs="Times New Roman"/>
              <w:b/>
            </w:rPr>
          </w:pPr>
          <w:r w:rsidRPr="00154424">
            <w:rPr>
              <w:rFonts w:ascii="Times New Roman" w:hAnsi="Times New Roman" w:cs="Times New Roman"/>
              <w:b/>
            </w:rPr>
            <w:t>CUPRINS:</w:t>
          </w:r>
          <w:r w:rsidR="00C90D35" w:rsidRPr="00154424">
            <w:rPr>
              <w:rFonts w:ascii="Times New Roman" w:hAnsi="Times New Roman" w:cs="Times New Roman"/>
              <w:b/>
            </w:rPr>
            <w:tab/>
          </w:r>
        </w:p>
        <w:p w14:paraId="00798F60" w14:textId="46AD3A13" w:rsidR="00154424" w:rsidRPr="00154424" w:rsidRDefault="006049D5">
          <w:pPr>
            <w:pStyle w:val="TOC1"/>
            <w:rPr>
              <w:rFonts w:ascii="Times New Roman" w:eastAsiaTheme="minorEastAsia" w:hAnsi="Times New Roman" w:cs="Times New Roman"/>
              <w:b w:val="0"/>
              <w:bCs w:val="0"/>
              <w:lang w:val="en-US"/>
            </w:rPr>
          </w:pPr>
          <w:r w:rsidRPr="00154424">
            <w:rPr>
              <w:rFonts w:ascii="Times New Roman" w:hAnsi="Times New Roman" w:cs="Times New Roman"/>
              <w:noProof w:val="0"/>
            </w:rPr>
            <w:fldChar w:fldCharType="begin"/>
          </w:r>
          <w:r w:rsidRPr="00154424">
            <w:rPr>
              <w:rFonts w:ascii="Times New Roman" w:hAnsi="Times New Roman" w:cs="Times New Roman"/>
              <w:noProof w:val="0"/>
            </w:rPr>
            <w:instrText xml:space="preserve"> TOC \o "1-3" \h \z \u </w:instrText>
          </w:r>
          <w:r w:rsidRPr="00154424">
            <w:rPr>
              <w:rFonts w:ascii="Times New Roman" w:hAnsi="Times New Roman" w:cs="Times New Roman"/>
              <w:noProof w:val="0"/>
            </w:rPr>
            <w:fldChar w:fldCharType="separate"/>
          </w:r>
          <w:hyperlink w:anchor="_Toc157776077" w:history="1">
            <w:r w:rsidR="00154424" w:rsidRPr="00154424">
              <w:rPr>
                <w:rStyle w:val="Hyperlink"/>
                <w:rFonts w:ascii="Times New Roman" w:hAnsi="Times New Roman" w:cs="Times New Roman"/>
                <w:shd w:val="clear" w:color="auto" w:fill="FFFFFF"/>
              </w:rPr>
              <w:t>LISTA ACRONIMELOR</w:t>
            </w:r>
            <w:r w:rsidR="00154424" w:rsidRPr="00154424">
              <w:rPr>
                <w:rFonts w:ascii="Times New Roman" w:hAnsi="Times New Roman" w:cs="Times New Roman"/>
                <w:webHidden/>
              </w:rPr>
              <w:tab/>
            </w:r>
            <w:r w:rsidR="00154424" w:rsidRPr="00154424">
              <w:rPr>
                <w:rFonts w:ascii="Times New Roman" w:hAnsi="Times New Roman" w:cs="Times New Roman"/>
                <w:webHidden/>
              </w:rPr>
              <w:fldChar w:fldCharType="begin"/>
            </w:r>
            <w:r w:rsidR="00154424" w:rsidRPr="00154424">
              <w:rPr>
                <w:rFonts w:ascii="Times New Roman" w:hAnsi="Times New Roman" w:cs="Times New Roman"/>
                <w:webHidden/>
              </w:rPr>
              <w:instrText xml:space="preserve"> PAGEREF _Toc157776077 \h </w:instrText>
            </w:r>
            <w:r w:rsidR="00154424" w:rsidRPr="00154424">
              <w:rPr>
                <w:rFonts w:ascii="Times New Roman" w:hAnsi="Times New Roman" w:cs="Times New Roman"/>
                <w:webHidden/>
              </w:rPr>
            </w:r>
            <w:r w:rsidR="00154424" w:rsidRPr="00154424">
              <w:rPr>
                <w:rFonts w:ascii="Times New Roman" w:hAnsi="Times New Roman" w:cs="Times New Roman"/>
                <w:webHidden/>
              </w:rPr>
              <w:fldChar w:fldCharType="separate"/>
            </w:r>
            <w:r w:rsidR="008C14EF">
              <w:rPr>
                <w:rFonts w:ascii="Times New Roman" w:hAnsi="Times New Roman" w:cs="Times New Roman"/>
                <w:webHidden/>
              </w:rPr>
              <w:t>3</w:t>
            </w:r>
            <w:r w:rsidR="00154424" w:rsidRPr="00154424">
              <w:rPr>
                <w:rFonts w:ascii="Times New Roman" w:hAnsi="Times New Roman" w:cs="Times New Roman"/>
                <w:webHidden/>
              </w:rPr>
              <w:fldChar w:fldCharType="end"/>
            </w:r>
          </w:hyperlink>
        </w:p>
        <w:p w14:paraId="527E12F1" w14:textId="34CB8BE2" w:rsidR="00154424" w:rsidRPr="00154424" w:rsidRDefault="00BB6FB5">
          <w:pPr>
            <w:pStyle w:val="TOC1"/>
            <w:rPr>
              <w:rFonts w:ascii="Times New Roman" w:eastAsiaTheme="minorEastAsia" w:hAnsi="Times New Roman" w:cs="Times New Roman"/>
              <w:b w:val="0"/>
              <w:bCs w:val="0"/>
              <w:lang w:val="en-US"/>
            </w:rPr>
          </w:pPr>
          <w:hyperlink w:anchor="_Toc157776078" w:history="1">
            <w:r w:rsidR="00154424" w:rsidRPr="00154424">
              <w:rPr>
                <w:rStyle w:val="Hyperlink"/>
                <w:rFonts w:ascii="Times New Roman" w:hAnsi="Times New Roman" w:cs="Times New Roman"/>
                <w:shd w:val="clear" w:color="auto" w:fill="FFFFFF"/>
              </w:rPr>
              <w:t>GLOSAR</w:t>
            </w:r>
            <w:r w:rsidR="00154424" w:rsidRPr="00154424">
              <w:rPr>
                <w:rFonts w:ascii="Times New Roman" w:hAnsi="Times New Roman" w:cs="Times New Roman"/>
                <w:webHidden/>
              </w:rPr>
              <w:tab/>
            </w:r>
            <w:r w:rsidR="00154424" w:rsidRPr="00154424">
              <w:rPr>
                <w:rFonts w:ascii="Times New Roman" w:hAnsi="Times New Roman" w:cs="Times New Roman"/>
                <w:webHidden/>
              </w:rPr>
              <w:fldChar w:fldCharType="begin"/>
            </w:r>
            <w:r w:rsidR="00154424" w:rsidRPr="00154424">
              <w:rPr>
                <w:rFonts w:ascii="Times New Roman" w:hAnsi="Times New Roman" w:cs="Times New Roman"/>
                <w:webHidden/>
              </w:rPr>
              <w:instrText xml:space="preserve"> PAGEREF _Toc157776078 \h </w:instrText>
            </w:r>
            <w:r w:rsidR="00154424" w:rsidRPr="00154424">
              <w:rPr>
                <w:rFonts w:ascii="Times New Roman" w:hAnsi="Times New Roman" w:cs="Times New Roman"/>
                <w:webHidden/>
              </w:rPr>
            </w:r>
            <w:r w:rsidR="00154424" w:rsidRPr="00154424">
              <w:rPr>
                <w:rFonts w:ascii="Times New Roman" w:hAnsi="Times New Roman" w:cs="Times New Roman"/>
                <w:webHidden/>
              </w:rPr>
              <w:fldChar w:fldCharType="separate"/>
            </w:r>
            <w:r w:rsidR="008C14EF">
              <w:rPr>
                <w:rFonts w:ascii="Times New Roman" w:hAnsi="Times New Roman" w:cs="Times New Roman"/>
                <w:webHidden/>
              </w:rPr>
              <w:t>3</w:t>
            </w:r>
            <w:r w:rsidR="00154424" w:rsidRPr="00154424">
              <w:rPr>
                <w:rFonts w:ascii="Times New Roman" w:hAnsi="Times New Roman" w:cs="Times New Roman"/>
                <w:webHidden/>
              </w:rPr>
              <w:fldChar w:fldCharType="end"/>
            </w:r>
          </w:hyperlink>
        </w:p>
        <w:p w14:paraId="49A982D0" w14:textId="567547BC" w:rsidR="00154424" w:rsidRPr="00154424" w:rsidRDefault="00BB6FB5">
          <w:pPr>
            <w:pStyle w:val="TOC1"/>
            <w:rPr>
              <w:rFonts w:ascii="Times New Roman" w:eastAsiaTheme="minorEastAsia" w:hAnsi="Times New Roman" w:cs="Times New Roman"/>
              <w:b w:val="0"/>
              <w:bCs w:val="0"/>
              <w:lang w:val="en-US"/>
            </w:rPr>
          </w:pPr>
          <w:hyperlink w:anchor="_Toc157776079" w:history="1">
            <w:r w:rsidR="00154424" w:rsidRPr="00154424">
              <w:rPr>
                <w:rStyle w:val="Hyperlink"/>
                <w:rFonts w:ascii="Times New Roman" w:eastAsiaTheme="minorHAnsi" w:hAnsi="Times New Roman" w:cs="Times New Roman"/>
              </w:rPr>
              <w:t>I.</w:t>
            </w:r>
            <w:r w:rsidR="00154424" w:rsidRPr="00154424">
              <w:rPr>
                <w:rFonts w:ascii="Times New Roman" w:eastAsiaTheme="minorEastAsia" w:hAnsi="Times New Roman" w:cs="Times New Roman"/>
                <w:b w:val="0"/>
                <w:bCs w:val="0"/>
                <w:lang w:val="en-US"/>
              </w:rPr>
              <w:tab/>
            </w:r>
            <w:r w:rsidR="00154424" w:rsidRPr="00154424">
              <w:rPr>
                <w:rStyle w:val="Hyperlink"/>
                <w:rFonts w:ascii="Times New Roman" w:eastAsiaTheme="minorHAnsi" w:hAnsi="Times New Roman" w:cs="Times New Roman"/>
                <w:shd w:val="clear" w:color="auto" w:fill="FFFFFF"/>
              </w:rPr>
              <w:t>SINTEZA</w:t>
            </w:r>
            <w:r w:rsidR="00154424" w:rsidRPr="00154424">
              <w:rPr>
                <w:rFonts w:ascii="Times New Roman" w:hAnsi="Times New Roman" w:cs="Times New Roman"/>
                <w:webHidden/>
              </w:rPr>
              <w:tab/>
            </w:r>
            <w:r w:rsidR="00154424" w:rsidRPr="00154424">
              <w:rPr>
                <w:rFonts w:ascii="Times New Roman" w:hAnsi="Times New Roman" w:cs="Times New Roman"/>
                <w:webHidden/>
              </w:rPr>
              <w:fldChar w:fldCharType="begin"/>
            </w:r>
            <w:r w:rsidR="00154424" w:rsidRPr="00154424">
              <w:rPr>
                <w:rFonts w:ascii="Times New Roman" w:hAnsi="Times New Roman" w:cs="Times New Roman"/>
                <w:webHidden/>
              </w:rPr>
              <w:instrText xml:space="preserve"> PAGEREF _Toc157776079 \h </w:instrText>
            </w:r>
            <w:r w:rsidR="00154424" w:rsidRPr="00154424">
              <w:rPr>
                <w:rFonts w:ascii="Times New Roman" w:hAnsi="Times New Roman" w:cs="Times New Roman"/>
                <w:webHidden/>
              </w:rPr>
            </w:r>
            <w:r w:rsidR="00154424" w:rsidRPr="00154424">
              <w:rPr>
                <w:rFonts w:ascii="Times New Roman" w:hAnsi="Times New Roman" w:cs="Times New Roman"/>
                <w:webHidden/>
              </w:rPr>
              <w:fldChar w:fldCharType="separate"/>
            </w:r>
            <w:r w:rsidR="008C14EF">
              <w:rPr>
                <w:rFonts w:ascii="Times New Roman" w:hAnsi="Times New Roman" w:cs="Times New Roman"/>
                <w:webHidden/>
              </w:rPr>
              <w:t>4</w:t>
            </w:r>
            <w:r w:rsidR="00154424" w:rsidRPr="00154424">
              <w:rPr>
                <w:rFonts w:ascii="Times New Roman" w:hAnsi="Times New Roman" w:cs="Times New Roman"/>
                <w:webHidden/>
              </w:rPr>
              <w:fldChar w:fldCharType="end"/>
            </w:r>
          </w:hyperlink>
        </w:p>
        <w:p w14:paraId="070C5403" w14:textId="006E3C9D" w:rsidR="00154424" w:rsidRPr="00154424" w:rsidRDefault="00BB6FB5">
          <w:pPr>
            <w:pStyle w:val="TOC1"/>
            <w:rPr>
              <w:rFonts w:ascii="Times New Roman" w:eastAsiaTheme="minorEastAsia" w:hAnsi="Times New Roman" w:cs="Times New Roman"/>
              <w:b w:val="0"/>
              <w:bCs w:val="0"/>
              <w:lang w:val="en-US"/>
            </w:rPr>
          </w:pPr>
          <w:hyperlink w:anchor="_Toc157776080" w:history="1">
            <w:r w:rsidR="00154424" w:rsidRPr="00154424">
              <w:rPr>
                <w:rStyle w:val="Hyperlink"/>
                <w:rFonts w:ascii="Times New Roman" w:eastAsiaTheme="minorHAnsi" w:hAnsi="Times New Roman" w:cs="Times New Roman"/>
              </w:rPr>
              <w:t>II.</w:t>
            </w:r>
            <w:r w:rsidR="00154424" w:rsidRPr="00154424">
              <w:rPr>
                <w:rFonts w:ascii="Times New Roman" w:eastAsiaTheme="minorEastAsia" w:hAnsi="Times New Roman" w:cs="Times New Roman"/>
                <w:b w:val="0"/>
                <w:bCs w:val="0"/>
                <w:lang w:val="en-US"/>
              </w:rPr>
              <w:tab/>
            </w:r>
            <w:r w:rsidR="00154424" w:rsidRPr="00154424">
              <w:rPr>
                <w:rStyle w:val="Hyperlink"/>
                <w:rFonts w:ascii="Times New Roman" w:eastAsiaTheme="minorHAnsi" w:hAnsi="Times New Roman" w:cs="Times New Roman"/>
                <w:shd w:val="clear" w:color="auto" w:fill="FFFFFF"/>
              </w:rPr>
              <w:t>PREZENTAREA GENERALĂ</w:t>
            </w:r>
            <w:r w:rsidR="00154424" w:rsidRPr="00154424">
              <w:rPr>
                <w:rFonts w:ascii="Times New Roman" w:hAnsi="Times New Roman" w:cs="Times New Roman"/>
                <w:webHidden/>
              </w:rPr>
              <w:tab/>
            </w:r>
            <w:r w:rsidR="00154424" w:rsidRPr="00154424">
              <w:rPr>
                <w:rFonts w:ascii="Times New Roman" w:hAnsi="Times New Roman" w:cs="Times New Roman"/>
                <w:webHidden/>
              </w:rPr>
              <w:fldChar w:fldCharType="begin"/>
            </w:r>
            <w:r w:rsidR="00154424" w:rsidRPr="00154424">
              <w:rPr>
                <w:rFonts w:ascii="Times New Roman" w:hAnsi="Times New Roman" w:cs="Times New Roman"/>
                <w:webHidden/>
              </w:rPr>
              <w:instrText xml:space="preserve"> PAGEREF _Toc157776080 \h </w:instrText>
            </w:r>
            <w:r w:rsidR="00154424" w:rsidRPr="00154424">
              <w:rPr>
                <w:rFonts w:ascii="Times New Roman" w:hAnsi="Times New Roman" w:cs="Times New Roman"/>
                <w:webHidden/>
              </w:rPr>
            </w:r>
            <w:r w:rsidR="00154424" w:rsidRPr="00154424">
              <w:rPr>
                <w:rFonts w:ascii="Times New Roman" w:hAnsi="Times New Roman" w:cs="Times New Roman"/>
                <w:webHidden/>
              </w:rPr>
              <w:fldChar w:fldCharType="separate"/>
            </w:r>
            <w:r w:rsidR="008C14EF">
              <w:rPr>
                <w:rFonts w:ascii="Times New Roman" w:hAnsi="Times New Roman" w:cs="Times New Roman"/>
                <w:webHidden/>
              </w:rPr>
              <w:t>9</w:t>
            </w:r>
            <w:r w:rsidR="00154424" w:rsidRPr="00154424">
              <w:rPr>
                <w:rFonts w:ascii="Times New Roman" w:hAnsi="Times New Roman" w:cs="Times New Roman"/>
                <w:webHidden/>
              </w:rPr>
              <w:fldChar w:fldCharType="end"/>
            </w:r>
          </w:hyperlink>
        </w:p>
        <w:p w14:paraId="7EFFA086" w14:textId="56B88A80" w:rsidR="00154424" w:rsidRPr="00154424" w:rsidRDefault="00BB6FB5">
          <w:pPr>
            <w:pStyle w:val="TOC3"/>
            <w:rPr>
              <w:rFonts w:eastAsiaTheme="minorEastAsia"/>
              <w:b w:val="0"/>
              <w:bCs w:val="0"/>
              <w:i w:val="0"/>
              <w:color w:val="auto"/>
              <w:lang w:val="en-US"/>
            </w:rPr>
          </w:pPr>
          <w:hyperlink w:anchor="_Toc157776081" w:history="1">
            <w:r w:rsidR="00154424" w:rsidRPr="00154424">
              <w:rPr>
                <w:rStyle w:val="Hyperlink"/>
                <w:lang w:eastAsia="ru-RU"/>
              </w:rPr>
              <w:t>2.1.</w:t>
            </w:r>
            <w:r w:rsidR="00154424" w:rsidRPr="00154424">
              <w:rPr>
                <w:rFonts w:eastAsiaTheme="minorEastAsia"/>
                <w:b w:val="0"/>
                <w:bCs w:val="0"/>
                <w:i w:val="0"/>
                <w:color w:val="auto"/>
                <w:lang w:val="en-US"/>
              </w:rPr>
              <w:tab/>
            </w:r>
            <w:r w:rsidR="00154424" w:rsidRPr="00154424">
              <w:rPr>
                <w:rStyle w:val="Hyperlink"/>
                <w:lang w:eastAsia="ru-RU"/>
              </w:rPr>
              <w:t>Domeniul de activitate al entității auditate</w:t>
            </w:r>
            <w:r w:rsidR="00154424" w:rsidRPr="00154424">
              <w:rPr>
                <w:webHidden/>
              </w:rPr>
              <w:tab/>
            </w:r>
            <w:r w:rsidR="00154424" w:rsidRPr="00154424">
              <w:rPr>
                <w:webHidden/>
              </w:rPr>
              <w:fldChar w:fldCharType="begin"/>
            </w:r>
            <w:r w:rsidR="00154424" w:rsidRPr="00154424">
              <w:rPr>
                <w:webHidden/>
              </w:rPr>
              <w:instrText xml:space="preserve"> PAGEREF _Toc157776081 \h </w:instrText>
            </w:r>
            <w:r w:rsidR="00154424" w:rsidRPr="00154424">
              <w:rPr>
                <w:webHidden/>
              </w:rPr>
            </w:r>
            <w:r w:rsidR="00154424" w:rsidRPr="00154424">
              <w:rPr>
                <w:webHidden/>
              </w:rPr>
              <w:fldChar w:fldCharType="separate"/>
            </w:r>
            <w:r w:rsidR="008C14EF">
              <w:rPr>
                <w:webHidden/>
              </w:rPr>
              <w:t>9</w:t>
            </w:r>
            <w:r w:rsidR="00154424" w:rsidRPr="00154424">
              <w:rPr>
                <w:webHidden/>
              </w:rPr>
              <w:fldChar w:fldCharType="end"/>
            </w:r>
          </w:hyperlink>
        </w:p>
        <w:p w14:paraId="2FBE1FAE" w14:textId="03E51409" w:rsidR="00154424" w:rsidRPr="00154424" w:rsidRDefault="00BB6FB5">
          <w:pPr>
            <w:pStyle w:val="TOC3"/>
            <w:rPr>
              <w:rFonts w:eastAsiaTheme="minorEastAsia"/>
              <w:b w:val="0"/>
              <w:bCs w:val="0"/>
              <w:i w:val="0"/>
              <w:color w:val="auto"/>
              <w:lang w:val="en-US"/>
            </w:rPr>
          </w:pPr>
          <w:hyperlink w:anchor="_Toc157776082" w:history="1">
            <w:r w:rsidR="00154424" w:rsidRPr="00154424">
              <w:rPr>
                <w:rStyle w:val="Hyperlink"/>
                <w:lang w:eastAsia="ru-RU"/>
              </w:rPr>
              <w:t>2.2.</w:t>
            </w:r>
            <w:r w:rsidR="00154424" w:rsidRPr="00154424">
              <w:rPr>
                <w:rFonts w:eastAsiaTheme="minorEastAsia"/>
                <w:b w:val="0"/>
                <w:bCs w:val="0"/>
                <w:i w:val="0"/>
                <w:color w:val="auto"/>
                <w:lang w:val="en-US"/>
              </w:rPr>
              <w:tab/>
            </w:r>
            <w:r w:rsidR="00154424" w:rsidRPr="00154424">
              <w:rPr>
                <w:rStyle w:val="Hyperlink"/>
                <w:lang w:eastAsia="ru-RU"/>
              </w:rPr>
              <w:t>Responsabilitatea conducerii CNPDCP</w:t>
            </w:r>
            <w:r w:rsidR="00154424" w:rsidRPr="00154424">
              <w:rPr>
                <w:webHidden/>
              </w:rPr>
              <w:tab/>
            </w:r>
            <w:r w:rsidR="00154424" w:rsidRPr="00154424">
              <w:rPr>
                <w:webHidden/>
              </w:rPr>
              <w:fldChar w:fldCharType="begin"/>
            </w:r>
            <w:r w:rsidR="00154424" w:rsidRPr="00154424">
              <w:rPr>
                <w:webHidden/>
              </w:rPr>
              <w:instrText xml:space="preserve"> PAGEREF _Toc157776082 \h </w:instrText>
            </w:r>
            <w:r w:rsidR="00154424" w:rsidRPr="00154424">
              <w:rPr>
                <w:webHidden/>
              </w:rPr>
            </w:r>
            <w:r w:rsidR="00154424" w:rsidRPr="00154424">
              <w:rPr>
                <w:webHidden/>
              </w:rPr>
              <w:fldChar w:fldCharType="separate"/>
            </w:r>
            <w:r w:rsidR="008C14EF">
              <w:rPr>
                <w:webHidden/>
              </w:rPr>
              <w:t>10</w:t>
            </w:r>
            <w:r w:rsidR="00154424" w:rsidRPr="00154424">
              <w:rPr>
                <w:webHidden/>
              </w:rPr>
              <w:fldChar w:fldCharType="end"/>
            </w:r>
          </w:hyperlink>
        </w:p>
        <w:p w14:paraId="2BD21860" w14:textId="201F8762" w:rsidR="00154424" w:rsidRPr="00154424" w:rsidRDefault="00BB6FB5">
          <w:pPr>
            <w:pStyle w:val="TOC3"/>
            <w:rPr>
              <w:rFonts w:eastAsiaTheme="minorEastAsia"/>
              <w:b w:val="0"/>
              <w:bCs w:val="0"/>
              <w:i w:val="0"/>
              <w:color w:val="auto"/>
              <w:lang w:val="en-US"/>
            </w:rPr>
          </w:pPr>
          <w:hyperlink w:anchor="_Toc157776083" w:history="1">
            <w:r w:rsidR="00154424" w:rsidRPr="00154424">
              <w:rPr>
                <w:rStyle w:val="Hyperlink"/>
              </w:rPr>
              <w:t>2.3.</w:t>
            </w:r>
            <w:r w:rsidR="00154424" w:rsidRPr="00154424">
              <w:rPr>
                <w:rFonts w:eastAsiaTheme="minorEastAsia"/>
                <w:b w:val="0"/>
                <w:bCs w:val="0"/>
                <w:i w:val="0"/>
                <w:color w:val="auto"/>
                <w:lang w:val="en-US"/>
              </w:rPr>
              <w:tab/>
            </w:r>
            <w:r w:rsidR="00154424" w:rsidRPr="00154424">
              <w:rPr>
                <w:rStyle w:val="Hyperlink"/>
              </w:rPr>
              <w:t>Bugetul CNPDCP în anii 2018-2022</w:t>
            </w:r>
            <w:r w:rsidR="00154424" w:rsidRPr="00154424">
              <w:rPr>
                <w:webHidden/>
              </w:rPr>
              <w:tab/>
            </w:r>
            <w:r w:rsidR="00154424" w:rsidRPr="00154424">
              <w:rPr>
                <w:webHidden/>
              </w:rPr>
              <w:fldChar w:fldCharType="begin"/>
            </w:r>
            <w:r w:rsidR="00154424" w:rsidRPr="00154424">
              <w:rPr>
                <w:webHidden/>
              </w:rPr>
              <w:instrText xml:space="preserve"> PAGEREF _Toc157776083 \h </w:instrText>
            </w:r>
            <w:r w:rsidR="00154424" w:rsidRPr="00154424">
              <w:rPr>
                <w:webHidden/>
              </w:rPr>
            </w:r>
            <w:r w:rsidR="00154424" w:rsidRPr="00154424">
              <w:rPr>
                <w:webHidden/>
              </w:rPr>
              <w:fldChar w:fldCharType="separate"/>
            </w:r>
            <w:r w:rsidR="008C14EF">
              <w:rPr>
                <w:webHidden/>
              </w:rPr>
              <w:t>10</w:t>
            </w:r>
            <w:r w:rsidR="00154424" w:rsidRPr="00154424">
              <w:rPr>
                <w:webHidden/>
              </w:rPr>
              <w:fldChar w:fldCharType="end"/>
            </w:r>
          </w:hyperlink>
        </w:p>
        <w:p w14:paraId="35FDDD43" w14:textId="4227A70B" w:rsidR="00154424" w:rsidRPr="00154424" w:rsidRDefault="00BB6FB5">
          <w:pPr>
            <w:pStyle w:val="TOC1"/>
            <w:rPr>
              <w:rFonts w:ascii="Times New Roman" w:eastAsiaTheme="minorEastAsia" w:hAnsi="Times New Roman" w:cs="Times New Roman"/>
              <w:b w:val="0"/>
              <w:bCs w:val="0"/>
              <w:lang w:val="en-US"/>
            </w:rPr>
          </w:pPr>
          <w:hyperlink w:anchor="_Toc157776084" w:history="1">
            <w:r w:rsidR="00154424" w:rsidRPr="00154424">
              <w:rPr>
                <w:rStyle w:val="Hyperlink"/>
                <w:rFonts w:ascii="Times New Roman" w:hAnsi="Times New Roman" w:cs="Times New Roman"/>
              </w:rPr>
              <w:t>III.</w:t>
            </w:r>
            <w:r w:rsidR="00154424" w:rsidRPr="00154424">
              <w:rPr>
                <w:rFonts w:ascii="Times New Roman" w:eastAsiaTheme="minorEastAsia" w:hAnsi="Times New Roman" w:cs="Times New Roman"/>
                <w:b w:val="0"/>
                <w:bCs w:val="0"/>
                <w:lang w:val="en-US"/>
              </w:rPr>
              <w:tab/>
            </w:r>
            <w:r w:rsidR="00154424" w:rsidRPr="00154424">
              <w:rPr>
                <w:rStyle w:val="Hyperlink"/>
                <w:rFonts w:ascii="Times New Roman" w:hAnsi="Times New Roman" w:cs="Times New Roman"/>
              </w:rPr>
              <w:t>SFERA ȘI ABORDAREA AUDITULUI</w:t>
            </w:r>
            <w:r w:rsidR="00154424" w:rsidRPr="00154424">
              <w:rPr>
                <w:rFonts w:ascii="Times New Roman" w:hAnsi="Times New Roman" w:cs="Times New Roman"/>
                <w:webHidden/>
              </w:rPr>
              <w:tab/>
            </w:r>
            <w:r w:rsidR="00154424" w:rsidRPr="00154424">
              <w:rPr>
                <w:rFonts w:ascii="Times New Roman" w:hAnsi="Times New Roman" w:cs="Times New Roman"/>
                <w:webHidden/>
              </w:rPr>
              <w:fldChar w:fldCharType="begin"/>
            </w:r>
            <w:r w:rsidR="00154424" w:rsidRPr="00154424">
              <w:rPr>
                <w:rFonts w:ascii="Times New Roman" w:hAnsi="Times New Roman" w:cs="Times New Roman"/>
                <w:webHidden/>
              </w:rPr>
              <w:instrText xml:space="preserve"> PAGEREF _Toc157776084 \h </w:instrText>
            </w:r>
            <w:r w:rsidR="00154424" w:rsidRPr="00154424">
              <w:rPr>
                <w:rFonts w:ascii="Times New Roman" w:hAnsi="Times New Roman" w:cs="Times New Roman"/>
                <w:webHidden/>
              </w:rPr>
            </w:r>
            <w:r w:rsidR="00154424" w:rsidRPr="00154424">
              <w:rPr>
                <w:rFonts w:ascii="Times New Roman" w:hAnsi="Times New Roman" w:cs="Times New Roman"/>
                <w:webHidden/>
              </w:rPr>
              <w:fldChar w:fldCharType="separate"/>
            </w:r>
            <w:r w:rsidR="008C14EF">
              <w:rPr>
                <w:rFonts w:ascii="Times New Roman" w:hAnsi="Times New Roman" w:cs="Times New Roman"/>
                <w:webHidden/>
              </w:rPr>
              <w:t>13</w:t>
            </w:r>
            <w:r w:rsidR="00154424" w:rsidRPr="00154424">
              <w:rPr>
                <w:rFonts w:ascii="Times New Roman" w:hAnsi="Times New Roman" w:cs="Times New Roman"/>
                <w:webHidden/>
              </w:rPr>
              <w:fldChar w:fldCharType="end"/>
            </w:r>
          </w:hyperlink>
        </w:p>
        <w:p w14:paraId="671E2AA1" w14:textId="6913CA41" w:rsidR="00154424" w:rsidRPr="00154424" w:rsidRDefault="00BB6FB5">
          <w:pPr>
            <w:pStyle w:val="TOC3"/>
            <w:rPr>
              <w:rFonts w:eastAsiaTheme="minorEastAsia"/>
              <w:b w:val="0"/>
              <w:bCs w:val="0"/>
              <w:i w:val="0"/>
              <w:color w:val="auto"/>
              <w:lang w:val="en-US"/>
            </w:rPr>
          </w:pPr>
          <w:hyperlink w:anchor="_Toc157776085" w:history="1">
            <w:r w:rsidR="00154424" w:rsidRPr="00154424">
              <w:rPr>
                <w:rStyle w:val="Hyperlink"/>
              </w:rPr>
              <w:t>3.1.</w:t>
            </w:r>
            <w:r w:rsidR="00154424" w:rsidRPr="00154424">
              <w:rPr>
                <w:rFonts w:eastAsiaTheme="minorEastAsia"/>
                <w:b w:val="0"/>
                <w:bCs w:val="0"/>
                <w:i w:val="0"/>
                <w:color w:val="auto"/>
                <w:lang w:val="en-US"/>
              </w:rPr>
              <w:tab/>
            </w:r>
            <w:r w:rsidR="00154424" w:rsidRPr="00154424">
              <w:rPr>
                <w:rStyle w:val="Hyperlink"/>
                <w:shd w:val="clear" w:color="auto" w:fill="FFFFFF"/>
              </w:rPr>
              <w:t>Mandatul legal și scopul auditului</w:t>
            </w:r>
            <w:r w:rsidR="00154424" w:rsidRPr="00154424">
              <w:rPr>
                <w:webHidden/>
              </w:rPr>
              <w:tab/>
            </w:r>
            <w:r w:rsidR="00154424" w:rsidRPr="00154424">
              <w:rPr>
                <w:webHidden/>
              </w:rPr>
              <w:fldChar w:fldCharType="begin"/>
            </w:r>
            <w:r w:rsidR="00154424" w:rsidRPr="00154424">
              <w:rPr>
                <w:webHidden/>
              </w:rPr>
              <w:instrText xml:space="preserve"> PAGEREF _Toc157776085 \h </w:instrText>
            </w:r>
            <w:r w:rsidR="00154424" w:rsidRPr="00154424">
              <w:rPr>
                <w:webHidden/>
              </w:rPr>
            </w:r>
            <w:r w:rsidR="00154424" w:rsidRPr="00154424">
              <w:rPr>
                <w:webHidden/>
              </w:rPr>
              <w:fldChar w:fldCharType="separate"/>
            </w:r>
            <w:r w:rsidR="008C14EF">
              <w:rPr>
                <w:webHidden/>
              </w:rPr>
              <w:t>13</w:t>
            </w:r>
            <w:r w:rsidR="00154424" w:rsidRPr="00154424">
              <w:rPr>
                <w:webHidden/>
              </w:rPr>
              <w:fldChar w:fldCharType="end"/>
            </w:r>
          </w:hyperlink>
        </w:p>
        <w:p w14:paraId="0B5653C9" w14:textId="21E10C5D" w:rsidR="00154424" w:rsidRPr="00154424" w:rsidRDefault="00BB6FB5">
          <w:pPr>
            <w:pStyle w:val="TOC3"/>
            <w:rPr>
              <w:rFonts w:eastAsiaTheme="minorEastAsia"/>
              <w:b w:val="0"/>
              <w:bCs w:val="0"/>
              <w:i w:val="0"/>
              <w:color w:val="auto"/>
              <w:lang w:val="en-US"/>
            </w:rPr>
          </w:pPr>
          <w:hyperlink w:anchor="_Toc157776086" w:history="1">
            <w:r w:rsidR="00154424" w:rsidRPr="00154424">
              <w:rPr>
                <w:rStyle w:val="Hyperlink"/>
              </w:rPr>
              <w:t>3.2.</w:t>
            </w:r>
            <w:r w:rsidR="00154424" w:rsidRPr="00154424">
              <w:rPr>
                <w:rFonts w:eastAsiaTheme="minorEastAsia"/>
                <w:b w:val="0"/>
                <w:bCs w:val="0"/>
                <w:i w:val="0"/>
                <w:color w:val="auto"/>
                <w:lang w:val="en-US"/>
              </w:rPr>
              <w:tab/>
            </w:r>
            <w:r w:rsidR="00154424" w:rsidRPr="00154424">
              <w:rPr>
                <w:rStyle w:val="Hyperlink"/>
                <w:shd w:val="clear" w:color="auto" w:fill="FFFFFF"/>
              </w:rPr>
              <w:t>Abordarea auditului</w:t>
            </w:r>
            <w:r w:rsidR="00154424" w:rsidRPr="00154424">
              <w:rPr>
                <w:webHidden/>
              </w:rPr>
              <w:tab/>
            </w:r>
            <w:r w:rsidR="00154424" w:rsidRPr="00154424">
              <w:rPr>
                <w:webHidden/>
              </w:rPr>
              <w:fldChar w:fldCharType="begin"/>
            </w:r>
            <w:r w:rsidR="00154424" w:rsidRPr="00154424">
              <w:rPr>
                <w:webHidden/>
              </w:rPr>
              <w:instrText xml:space="preserve"> PAGEREF _Toc157776086 \h </w:instrText>
            </w:r>
            <w:r w:rsidR="00154424" w:rsidRPr="00154424">
              <w:rPr>
                <w:webHidden/>
              </w:rPr>
            </w:r>
            <w:r w:rsidR="00154424" w:rsidRPr="00154424">
              <w:rPr>
                <w:webHidden/>
              </w:rPr>
              <w:fldChar w:fldCharType="separate"/>
            </w:r>
            <w:r w:rsidR="008C14EF">
              <w:rPr>
                <w:webHidden/>
              </w:rPr>
              <w:t>14</w:t>
            </w:r>
            <w:r w:rsidR="00154424" w:rsidRPr="00154424">
              <w:rPr>
                <w:webHidden/>
              </w:rPr>
              <w:fldChar w:fldCharType="end"/>
            </w:r>
          </w:hyperlink>
        </w:p>
        <w:p w14:paraId="09D8EBB6" w14:textId="1D8FA77A" w:rsidR="00154424" w:rsidRPr="00154424" w:rsidRDefault="00BB6FB5">
          <w:pPr>
            <w:pStyle w:val="TOC3"/>
            <w:rPr>
              <w:rFonts w:eastAsiaTheme="minorEastAsia"/>
              <w:b w:val="0"/>
              <w:bCs w:val="0"/>
              <w:i w:val="0"/>
              <w:color w:val="auto"/>
              <w:lang w:val="en-US"/>
            </w:rPr>
          </w:pPr>
          <w:hyperlink w:anchor="_Toc157776087" w:history="1">
            <w:r w:rsidR="00154424" w:rsidRPr="00154424">
              <w:rPr>
                <w:rStyle w:val="Hyperlink"/>
              </w:rPr>
              <w:t>3.3.</w:t>
            </w:r>
            <w:r w:rsidR="00154424" w:rsidRPr="00154424">
              <w:rPr>
                <w:rFonts w:eastAsiaTheme="minorEastAsia"/>
                <w:b w:val="0"/>
                <w:bCs w:val="0"/>
                <w:i w:val="0"/>
                <w:color w:val="auto"/>
                <w:lang w:val="en-US"/>
              </w:rPr>
              <w:tab/>
            </w:r>
            <w:r w:rsidR="00154424" w:rsidRPr="00154424">
              <w:rPr>
                <w:rStyle w:val="Hyperlink"/>
                <w:shd w:val="clear" w:color="auto" w:fill="FFFFFF"/>
              </w:rPr>
              <w:t>Responsabilitatea echipei de audit</w:t>
            </w:r>
            <w:r w:rsidR="00154424" w:rsidRPr="00154424">
              <w:rPr>
                <w:webHidden/>
              </w:rPr>
              <w:tab/>
            </w:r>
            <w:r w:rsidR="00154424" w:rsidRPr="00154424">
              <w:rPr>
                <w:webHidden/>
              </w:rPr>
              <w:fldChar w:fldCharType="begin"/>
            </w:r>
            <w:r w:rsidR="00154424" w:rsidRPr="00154424">
              <w:rPr>
                <w:webHidden/>
              </w:rPr>
              <w:instrText xml:space="preserve"> PAGEREF _Toc157776087 \h </w:instrText>
            </w:r>
            <w:r w:rsidR="00154424" w:rsidRPr="00154424">
              <w:rPr>
                <w:webHidden/>
              </w:rPr>
            </w:r>
            <w:r w:rsidR="00154424" w:rsidRPr="00154424">
              <w:rPr>
                <w:webHidden/>
              </w:rPr>
              <w:fldChar w:fldCharType="separate"/>
            </w:r>
            <w:r w:rsidR="008C14EF">
              <w:rPr>
                <w:webHidden/>
              </w:rPr>
              <w:t>14</w:t>
            </w:r>
            <w:r w:rsidR="00154424" w:rsidRPr="00154424">
              <w:rPr>
                <w:webHidden/>
              </w:rPr>
              <w:fldChar w:fldCharType="end"/>
            </w:r>
          </w:hyperlink>
        </w:p>
        <w:p w14:paraId="61D7669A" w14:textId="6E4794CF" w:rsidR="00154424" w:rsidRPr="00154424" w:rsidRDefault="00BB6FB5">
          <w:pPr>
            <w:pStyle w:val="TOC1"/>
            <w:rPr>
              <w:rFonts w:ascii="Times New Roman" w:eastAsiaTheme="minorEastAsia" w:hAnsi="Times New Roman" w:cs="Times New Roman"/>
              <w:b w:val="0"/>
              <w:bCs w:val="0"/>
              <w:lang w:val="en-US"/>
            </w:rPr>
          </w:pPr>
          <w:hyperlink w:anchor="_Toc157776088" w:history="1">
            <w:r w:rsidR="00154424" w:rsidRPr="00154424">
              <w:rPr>
                <w:rStyle w:val="Hyperlink"/>
                <w:rFonts w:ascii="Times New Roman" w:hAnsi="Times New Roman" w:cs="Times New Roman"/>
              </w:rPr>
              <w:t>IV.</w:t>
            </w:r>
            <w:r w:rsidR="00154424" w:rsidRPr="00154424">
              <w:rPr>
                <w:rFonts w:ascii="Times New Roman" w:eastAsiaTheme="minorEastAsia" w:hAnsi="Times New Roman" w:cs="Times New Roman"/>
                <w:b w:val="0"/>
                <w:bCs w:val="0"/>
                <w:lang w:val="en-US"/>
              </w:rPr>
              <w:tab/>
            </w:r>
            <w:r w:rsidR="00154424" w:rsidRPr="00154424">
              <w:rPr>
                <w:rStyle w:val="Hyperlink"/>
                <w:rFonts w:ascii="Times New Roman" w:hAnsi="Times New Roman" w:cs="Times New Roman"/>
              </w:rPr>
              <w:t>CONSTATĂRI</w:t>
            </w:r>
            <w:r w:rsidR="00154424" w:rsidRPr="00154424">
              <w:rPr>
                <w:rFonts w:ascii="Times New Roman" w:hAnsi="Times New Roman" w:cs="Times New Roman"/>
                <w:webHidden/>
              </w:rPr>
              <w:tab/>
            </w:r>
            <w:r w:rsidR="00154424" w:rsidRPr="00154424">
              <w:rPr>
                <w:rFonts w:ascii="Times New Roman" w:hAnsi="Times New Roman" w:cs="Times New Roman"/>
                <w:webHidden/>
              </w:rPr>
              <w:fldChar w:fldCharType="begin"/>
            </w:r>
            <w:r w:rsidR="00154424" w:rsidRPr="00154424">
              <w:rPr>
                <w:rFonts w:ascii="Times New Roman" w:hAnsi="Times New Roman" w:cs="Times New Roman"/>
                <w:webHidden/>
              </w:rPr>
              <w:instrText xml:space="preserve"> PAGEREF _Toc157776088 \h </w:instrText>
            </w:r>
            <w:r w:rsidR="00154424" w:rsidRPr="00154424">
              <w:rPr>
                <w:rFonts w:ascii="Times New Roman" w:hAnsi="Times New Roman" w:cs="Times New Roman"/>
                <w:webHidden/>
              </w:rPr>
            </w:r>
            <w:r w:rsidR="00154424" w:rsidRPr="00154424">
              <w:rPr>
                <w:rFonts w:ascii="Times New Roman" w:hAnsi="Times New Roman" w:cs="Times New Roman"/>
                <w:webHidden/>
              </w:rPr>
              <w:fldChar w:fldCharType="separate"/>
            </w:r>
            <w:r w:rsidR="008C14EF">
              <w:rPr>
                <w:rFonts w:ascii="Times New Roman" w:hAnsi="Times New Roman" w:cs="Times New Roman"/>
                <w:webHidden/>
              </w:rPr>
              <w:t>15</w:t>
            </w:r>
            <w:r w:rsidR="00154424" w:rsidRPr="00154424">
              <w:rPr>
                <w:rFonts w:ascii="Times New Roman" w:hAnsi="Times New Roman" w:cs="Times New Roman"/>
                <w:webHidden/>
              </w:rPr>
              <w:fldChar w:fldCharType="end"/>
            </w:r>
          </w:hyperlink>
        </w:p>
        <w:p w14:paraId="1F8818B5" w14:textId="5CE20B14" w:rsidR="00154424" w:rsidRPr="00154424" w:rsidRDefault="00BB6FB5">
          <w:pPr>
            <w:pStyle w:val="TOC2"/>
            <w:rPr>
              <w:rFonts w:ascii="Times New Roman" w:eastAsiaTheme="minorEastAsia" w:hAnsi="Times New Roman" w:cs="Times New Roman"/>
              <w:b w:val="0"/>
              <w:bCs w:val="0"/>
              <w:lang w:val="en-US"/>
            </w:rPr>
          </w:pPr>
          <w:hyperlink w:anchor="_Toc157776089" w:history="1">
            <w:r w:rsidR="00154424" w:rsidRPr="00154424">
              <w:rPr>
                <w:rStyle w:val="Hyperlink"/>
                <w:rFonts w:ascii="Times New Roman" w:hAnsi="Times New Roman" w:cs="Times New Roman"/>
                <w:lang w:eastAsia="ro-RO" w:bidi="ro-RO"/>
              </w:rPr>
              <w:t>4.1.</w:t>
            </w:r>
            <w:r w:rsidR="00154424" w:rsidRPr="00154424">
              <w:rPr>
                <w:rFonts w:ascii="Times New Roman" w:eastAsiaTheme="minorEastAsia" w:hAnsi="Times New Roman" w:cs="Times New Roman"/>
                <w:b w:val="0"/>
                <w:bCs w:val="0"/>
                <w:lang w:val="en-US"/>
              </w:rPr>
              <w:tab/>
            </w:r>
            <w:r w:rsidR="00154424" w:rsidRPr="00154424">
              <w:rPr>
                <w:rStyle w:val="Hyperlink"/>
                <w:rFonts w:ascii="Times New Roman" w:hAnsi="Times New Roman" w:cs="Times New Roman"/>
                <w:lang w:eastAsia="ro-RO" w:bidi="ro-RO"/>
              </w:rPr>
              <w:t>CNPDCP a asigurat elaborarea bugetului instituției în conformitate cu regulile și procedurile bugetar-fiscale prestabilite?</w:t>
            </w:r>
            <w:r w:rsidR="00154424" w:rsidRPr="00154424">
              <w:rPr>
                <w:rFonts w:ascii="Times New Roman" w:hAnsi="Times New Roman" w:cs="Times New Roman"/>
                <w:webHidden/>
              </w:rPr>
              <w:tab/>
            </w:r>
            <w:r w:rsidR="00154424" w:rsidRPr="00154424">
              <w:rPr>
                <w:rFonts w:ascii="Times New Roman" w:hAnsi="Times New Roman" w:cs="Times New Roman"/>
                <w:webHidden/>
              </w:rPr>
              <w:fldChar w:fldCharType="begin"/>
            </w:r>
            <w:r w:rsidR="00154424" w:rsidRPr="00154424">
              <w:rPr>
                <w:rFonts w:ascii="Times New Roman" w:hAnsi="Times New Roman" w:cs="Times New Roman"/>
                <w:webHidden/>
              </w:rPr>
              <w:instrText xml:space="preserve"> PAGEREF _Toc157776089 \h </w:instrText>
            </w:r>
            <w:r w:rsidR="00154424" w:rsidRPr="00154424">
              <w:rPr>
                <w:rFonts w:ascii="Times New Roman" w:hAnsi="Times New Roman" w:cs="Times New Roman"/>
                <w:webHidden/>
              </w:rPr>
            </w:r>
            <w:r w:rsidR="00154424" w:rsidRPr="00154424">
              <w:rPr>
                <w:rFonts w:ascii="Times New Roman" w:hAnsi="Times New Roman" w:cs="Times New Roman"/>
                <w:webHidden/>
              </w:rPr>
              <w:fldChar w:fldCharType="separate"/>
            </w:r>
            <w:r w:rsidR="008C14EF">
              <w:rPr>
                <w:rFonts w:ascii="Times New Roman" w:hAnsi="Times New Roman" w:cs="Times New Roman"/>
                <w:webHidden/>
              </w:rPr>
              <w:t>15</w:t>
            </w:r>
            <w:r w:rsidR="00154424" w:rsidRPr="00154424">
              <w:rPr>
                <w:rFonts w:ascii="Times New Roman" w:hAnsi="Times New Roman" w:cs="Times New Roman"/>
                <w:webHidden/>
              </w:rPr>
              <w:fldChar w:fldCharType="end"/>
            </w:r>
          </w:hyperlink>
        </w:p>
        <w:p w14:paraId="4328ADC6" w14:textId="501524CC" w:rsidR="00154424" w:rsidRPr="00154424" w:rsidRDefault="00BB6FB5">
          <w:pPr>
            <w:pStyle w:val="TOC3"/>
            <w:rPr>
              <w:rFonts w:eastAsiaTheme="minorEastAsia"/>
              <w:b w:val="0"/>
              <w:bCs w:val="0"/>
              <w:i w:val="0"/>
              <w:color w:val="auto"/>
              <w:lang w:val="en-US"/>
            </w:rPr>
          </w:pPr>
          <w:hyperlink w:anchor="_Toc157776090" w:history="1">
            <w:r w:rsidR="00154424" w:rsidRPr="00154424">
              <w:rPr>
                <w:rStyle w:val="Hyperlink"/>
                <w:lang w:eastAsia="ro-RO" w:bidi="ro-RO"/>
              </w:rPr>
              <w:t xml:space="preserve">4.1.1. </w:t>
            </w:r>
            <w:r w:rsidR="00154424" w:rsidRPr="00154424">
              <w:rPr>
                <w:rStyle w:val="Hyperlink"/>
              </w:rPr>
              <w:t>Se atestă unele incertitudini și deficiențe în procesul de estimare bugetară anuală a cheltuielilor pentru întreținerea CNPDCP.</w:t>
            </w:r>
            <w:r w:rsidR="00154424" w:rsidRPr="00154424">
              <w:rPr>
                <w:webHidden/>
              </w:rPr>
              <w:tab/>
            </w:r>
            <w:r w:rsidR="00154424" w:rsidRPr="00154424">
              <w:rPr>
                <w:webHidden/>
              </w:rPr>
              <w:fldChar w:fldCharType="begin"/>
            </w:r>
            <w:r w:rsidR="00154424" w:rsidRPr="00154424">
              <w:rPr>
                <w:webHidden/>
              </w:rPr>
              <w:instrText xml:space="preserve"> PAGEREF _Toc157776090 \h </w:instrText>
            </w:r>
            <w:r w:rsidR="00154424" w:rsidRPr="00154424">
              <w:rPr>
                <w:webHidden/>
              </w:rPr>
            </w:r>
            <w:r w:rsidR="00154424" w:rsidRPr="00154424">
              <w:rPr>
                <w:webHidden/>
              </w:rPr>
              <w:fldChar w:fldCharType="separate"/>
            </w:r>
            <w:r w:rsidR="008C14EF">
              <w:rPr>
                <w:webHidden/>
              </w:rPr>
              <w:t>15</w:t>
            </w:r>
            <w:r w:rsidR="00154424" w:rsidRPr="00154424">
              <w:rPr>
                <w:webHidden/>
              </w:rPr>
              <w:fldChar w:fldCharType="end"/>
            </w:r>
          </w:hyperlink>
        </w:p>
        <w:p w14:paraId="0A9F4C7D" w14:textId="44C6F649" w:rsidR="00154424" w:rsidRPr="00154424" w:rsidRDefault="00BB6FB5">
          <w:pPr>
            <w:pStyle w:val="TOC3"/>
            <w:rPr>
              <w:rFonts w:eastAsiaTheme="minorEastAsia"/>
              <w:b w:val="0"/>
              <w:bCs w:val="0"/>
              <w:i w:val="0"/>
              <w:color w:val="auto"/>
              <w:lang w:val="en-US"/>
            </w:rPr>
          </w:pPr>
          <w:hyperlink w:anchor="_Toc157776091" w:history="1">
            <w:r w:rsidR="00154424" w:rsidRPr="00154424">
              <w:rPr>
                <w:rStyle w:val="Hyperlink"/>
              </w:rPr>
              <w:t>4.1.2. Unii indicatori de performanță planificați, aferenți activității desfășurate de către CNPDCP, nu au fost executați, iar alții au fost supraestimați, având un caracter formal, fără a demonstra implementarea obiectivelor asumate de entitate și nu sunt formulați în baza principiului SMART.</w:t>
            </w:r>
            <w:r w:rsidR="00154424" w:rsidRPr="00154424">
              <w:rPr>
                <w:webHidden/>
              </w:rPr>
              <w:tab/>
            </w:r>
            <w:r w:rsidR="00154424" w:rsidRPr="00154424">
              <w:rPr>
                <w:webHidden/>
              </w:rPr>
              <w:fldChar w:fldCharType="begin"/>
            </w:r>
            <w:r w:rsidR="00154424" w:rsidRPr="00154424">
              <w:rPr>
                <w:webHidden/>
              </w:rPr>
              <w:instrText xml:space="preserve"> PAGEREF _Toc157776091 \h </w:instrText>
            </w:r>
            <w:r w:rsidR="00154424" w:rsidRPr="00154424">
              <w:rPr>
                <w:webHidden/>
              </w:rPr>
            </w:r>
            <w:r w:rsidR="00154424" w:rsidRPr="00154424">
              <w:rPr>
                <w:webHidden/>
              </w:rPr>
              <w:fldChar w:fldCharType="separate"/>
            </w:r>
            <w:r w:rsidR="008C14EF">
              <w:rPr>
                <w:webHidden/>
              </w:rPr>
              <w:t>17</w:t>
            </w:r>
            <w:r w:rsidR="00154424" w:rsidRPr="00154424">
              <w:rPr>
                <w:webHidden/>
              </w:rPr>
              <w:fldChar w:fldCharType="end"/>
            </w:r>
          </w:hyperlink>
        </w:p>
        <w:p w14:paraId="1C461CCC" w14:textId="675C90EE" w:rsidR="00154424" w:rsidRPr="00154424" w:rsidRDefault="00BB6FB5">
          <w:pPr>
            <w:pStyle w:val="TOC3"/>
            <w:rPr>
              <w:rFonts w:eastAsiaTheme="minorEastAsia"/>
              <w:b w:val="0"/>
              <w:bCs w:val="0"/>
              <w:i w:val="0"/>
              <w:color w:val="auto"/>
              <w:lang w:val="en-US"/>
            </w:rPr>
          </w:pPr>
          <w:hyperlink w:anchor="_Toc157776092" w:history="1">
            <w:r w:rsidR="00154424" w:rsidRPr="00154424">
              <w:rPr>
                <w:rStyle w:val="Hyperlink"/>
                <w:lang w:val="ro-RO"/>
              </w:rPr>
              <w:t>4.1.3. Cadrul normativ-legislativ care reglementează activitatea CNPDCP privind protecția datelor cu caracter personal nu a fost racordat la directivele și regulamentele Uniunii Europene; nu sunt implementate unele măsuri și indicatori de performanță stabiliți în Planurile naționale de acțiuni pentru implementarea Acordului de Asociere Republica Moldova - Uniunea Europeană.</w:t>
            </w:r>
            <w:r w:rsidR="00154424" w:rsidRPr="00154424">
              <w:rPr>
                <w:webHidden/>
              </w:rPr>
              <w:tab/>
            </w:r>
            <w:r w:rsidR="00154424" w:rsidRPr="00154424">
              <w:rPr>
                <w:webHidden/>
              </w:rPr>
              <w:fldChar w:fldCharType="begin"/>
            </w:r>
            <w:r w:rsidR="00154424" w:rsidRPr="00154424">
              <w:rPr>
                <w:webHidden/>
              </w:rPr>
              <w:instrText xml:space="preserve"> PAGEREF _Toc157776092 \h </w:instrText>
            </w:r>
            <w:r w:rsidR="00154424" w:rsidRPr="00154424">
              <w:rPr>
                <w:webHidden/>
              </w:rPr>
            </w:r>
            <w:r w:rsidR="00154424" w:rsidRPr="00154424">
              <w:rPr>
                <w:webHidden/>
              </w:rPr>
              <w:fldChar w:fldCharType="separate"/>
            </w:r>
            <w:r w:rsidR="008C14EF">
              <w:rPr>
                <w:webHidden/>
              </w:rPr>
              <w:t>19</w:t>
            </w:r>
            <w:r w:rsidR="00154424" w:rsidRPr="00154424">
              <w:rPr>
                <w:webHidden/>
              </w:rPr>
              <w:fldChar w:fldCharType="end"/>
            </w:r>
          </w:hyperlink>
        </w:p>
        <w:p w14:paraId="48CB793A" w14:textId="20135FB4" w:rsidR="00154424" w:rsidRPr="00154424" w:rsidRDefault="00BB6FB5">
          <w:pPr>
            <w:pStyle w:val="TOC2"/>
            <w:rPr>
              <w:rFonts w:ascii="Times New Roman" w:eastAsiaTheme="minorEastAsia" w:hAnsi="Times New Roman" w:cs="Times New Roman"/>
              <w:b w:val="0"/>
              <w:bCs w:val="0"/>
              <w:lang w:val="en-US"/>
            </w:rPr>
          </w:pPr>
          <w:hyperlink w:anchor="_Toc157776093" w:history="1">
            <w:r w:rsidR="00154424" w:rsidRPr="00154424">
              <w:rPr>
                <w:rStyle w:val="Hyperlink"/>
                <w:rFonts w:ascii="Times New Roman" w:hAnsi="Times New Roman" w:cs="Times New Roman"/>
                <w:lang w:eastAsia="ro-RO" w:bidi="ro-RO"/>
              </w:rPr>
              <w:t>4.2.</w:t>
            </w:r>
            <w:r w:rsidR="00154424" w:rsidRPr="00154424">
              <w:rPr>
                <w:rFonts w:ascii="Times New Roman" w:eastAsiaTheme="minorEastAsia" w:hAnsi="Times New Roman" w:cs="Times New Roman"/>
                <w:b w:val="0"/>
                <w:bCs w:val="0"/>
                <w:lang w:val="en-US"/>
              </w:rPr>
              <w:tab/>
            </w:r>
            <w:r w:rsidR="00154424" w:rsidRPr="00154424">
              <w:rPr>
                <w:rStyle w:val="Hyperlink"/>
                <w:rFonts w:ascii="Times New Roman" w:hAnsi="Times New Roman" w:cs="Times New Roman"/>
                <w:lang w:eastAsia="ro-RO" w:bidi="ro-RO"/>
              </w:rPr>
              <w:t>CNPDCP dispune de procese operaționale funcționale care să asigure valorificarea mijloacelor bugetare alocate instituției în conformitate cu principiile bunei guvernări?</w:t>
            </w:r>
            <w:r w:rsidR="00154424" w:rsidRPr="00154424">
              <w:rPr>
                <w:rFonts w:ascii="Times New Roman" w:hAnsi="Times New Roman" w:cs="Times New Roman"/>
                <w:webHidden/>
              </w:rPr>
              <w:tab/>
            </w:r>
            <w:r w:rsidR="00154424" w:rsidRPr="00154424">
              <w:rPr>
                <w:rFonts w:ascii="Times New Roman" w:hAnsi="Times New Roman" w:cs="Times New Roman"/>
                <w:webHidden/>
              </w:rPr>
              <w:fldChar w:fldCharType="begin"/>
            </w:r>
            <w:r w:rsidR="00154424" w:rsidRPr="00154424">
              <w:rPr>
                <w:rFonts w:ascii="Times New Roman" w:hAnsi="Times New Roman" w:cs="Times New Roman"/>
                <w:webHidden/>
              </w:rPr>
              <w:instrText xml:space="preserve"> PAGEREF _Toc157776093 \h </w:instrText>
            </w:r>
            <w:r w:rsidR="00154424" w:rsidRPr="00154424">
              <w:rPr>
                <w:rFonts w:ascii="Times New Roman" w:hAnsi="Times New Roman" w:cs="Times New Roman"/>
                <w:webHidden/>
              </w:rPr>
            </w:r>
            <w:r w:rsidR="00154424" w:rsidRPr="00154424">
              <w:rPr>
                <w:rFonts w:ascii="Times New Roman" w:hAnsi="Times New Roman" w:cs="Times New Roman"/>
                <w:webHidden/>
              </w:rPr>
              <w:fldChar w:fldCharType="separate"/>
            </w:r>
            <w:r w:rsidR="008C14EF">
              <w:rPr>
                <w:rFonts w:ascii="Times New Roman" w:hAnsi="Times New Roman" w:cs="Times New Roman"/>
                <w:webHidden/>
              </w:rPr>
              <w:t>22</w:t>
            </w:r>
            <w:r w:rsidR="00154424" w:rsidRPr="00154424">
              <w:rPr>
                <w:rFonts w:ascii="Times New Roman" w:hAnsi="Times New Roman" w:cs="Times New Roman"/>
                <w:webHidden/>
              </w:rPr>
              <w:fldChar w:fldCharType="end"/>
            </w:r>
          </w:hyperlink>
        </w:p>
        <w:p w14:paraId="40F68BF9" w14:textId="3C15EB30" w:rsidR="00154424" w:rsidRPr="00154424" w:rsidRDefault="00BB6FB5">
          <w:pPr>
            <w:pStyle w:val="TOC3"/>
            <w:rPr>
              <w:rFonts w:eastAsiaTheme="minorEastAsia"/>
              <w:b w:val="0"/>
              <w:bCs w:val="0"/>
              <w:i w:val="0"/>
              <w:color w:val="auto"/>
              <w:lang w:val="en-US"/>
            </w:rPr>
          </w:pPr>
          <w:hyperlink w:anchor="_Toc157776094" w:history="1">
            <w:r w:rsidR="00154424" w:rsidRPr="00154424">
              <w:rPr>
                <w:rStyle w:val="Hyperlink"/>
                <w:lang w:val="ro-RO"/>
              </w:rPr>
              <w:t xml:space="preserve">4.2.1. CNPDCP, în calitate de autoritate contractantă, nu a asigurat respectarea condițiilor și principiilor de bază aplicate la planificarea achizițiilor publice, fiind atestate neconformități la </w:t>
            </w:r>
            <w:r w:rsidR="00154424" w:rsidRPr="00154424">
              <w:rPr>
                <w:rStyle w:val="Hyperlink"/>
              </w:rPr>
              <w:t>utilizarea transparentă și eficientă a mijloacelor bugetare pentru achiziția bunurilor și serviciilor.</w:t>
            </w:r>
            <w:r w:rsidR="00154424" w:rsidRPr="00154424">
              <w:rPr>
                <w:webHidden/>
              </w:rPr>
              <w:tab/>
            </w:r>
            <w:r w:rsidR="00154424" w:rsidRPr="00154424">
              <w:rPr>
                <w:webHidden/>
              </w:rPr>
              <w:fldChar w:fldCharType="begin"/>
            </w:r>
            <w:r w:rsidR="00154424" w:rsidRPr="00154424">
              <w:rPr>
                <w:webHidden/>
              </w:rPr>
              <w:instrText xml:space="preserve"> PAGEREF _Toc157776094 \h </w:instrText>
            </w:r>
            <w:r w:rsidR="00154424" w:rsidRPr="00154424">
              <w:rPr>
                <w:webHidden/>
              </w:rPr>
            </w:r>
            <w:r w:rsidR="00154424" w:rsidRPr="00154424">
              <w:rPr>
                <w:webHidden/>
              </w:rPr>
              <w:fldChar w:fldCharType="separate"/>
            </w:r>
            <w:r w:rsidR="008C14EF">
              <w:rPr>
                <w:webHidden/>
              </w:rPr>
              <w:t>22</w:t>
            </w:r>
            <w:r w:rsidR="00154424" w:rsidRPr="00154424">
              <w:rPr>
                <w:webHidden/>
              </w:rPr>
              <w:fldChar w:fldCharType="end"/>
            </w:r>
          </w:hyperlink>
        </w:p>
        <w:p w14:paraId="4D64AA7F" w14:textId="1B799A2F" w:rsidR="00154424" w:rsidRPr="00154424" w:rsidRDefault="00BB6FB5">
          <w:pPr>
            <w:pStyle w:val="TOC3"/>
            <w:rPr>
              <w:rFonts w:eastAsiaTheme="minorEastAsia"/>
              <w:b w:val="0"/>
              <w:bCs w:val="0"/>
              <w:i w:val="0"/>
              <w:color w:val="auto"/>
              <w:lang w:val="en-US"/>
            </w:rPr>
          </w:pPr>
          <w:hyperlink w:anchor="_Toc157776095" w:history="1">
            <w:r w:rsidR="00154424" w:rsidRPr="00154424">
              <w:rPr>
                <w:rStyle w:val="Hyperlink"/>
                <w:rFonts w:eastAsia="Calibri"/>
              </w:rPr>
              <w:t xml:space="preserve">4.2.2. La remunerarea muncii angajaților </w:t>
            </w:r>
            <w:r w:rsidR="00154424" w:rsidRPr="00154424">
              <w:rPr>
                <w:rStyle w:val="Hyperlink"/>
                <w:lang w:eastAsia="ru-RU"/>
              </w:rPr>
              <w:t>Centrului Național pentru Protecția Datelor cu Caracter Personal au fost admise unele neconformități.</w:t>
            </w:r>
            <w:r w:rsidR="00154424" w:rsidRPr="00154424">
              <w:rPr>
                <w:webHidden/>
              </w:rPr>
              <w:tab/>
            </w:r>
            <w:r w:rsidR="00154424" w:rsidRPr="00154424">
              <w:rPr>
                <w:webHidden/>
              </w:rPr>
              <w:fldChar w:fldCharType="begin"/>
            </w:r>
            <w:r w:rsidR="00154424" w:rsidRPr="00154424">
              <w:rPr>
                <w:webHidden/>
              </w:rPr>
              <w:instrText xml:space="preserve"> PAGEREF _Toc157776095 \h </w:instrText>
            </w:r>
            <w:r w:rsidR="00154424" w:rsidRPr="00154424">
              <w:rPr>
                <w:webHidden/>
              </w:rPr>
            </w:r>
            <w:r w:rsidR="00154424" w:rsidRPr="00154424">
              <w:rPr>
                <w:webHidden/>
              </w:rPr>
              <w:fldChar w:fldCharType="separate"/>
            </w:r>
            <w:r w:rsidR="008C14EF">
              <w:rPr>
                <w:webHidden/>
              </w:rPr>
              <w:t>29</w:t>
            </w:r>
            <w:r w:rsidR="00154424" w:rsidRPr="00154424">
              <w:rPr>
                <w:webHidden/>
              </w:rPr>
              <w:fldChar w:fldCharType="end"/>
            </w:r>
          </w:hyperlink>
        </w:p>
        <w:p w14:paraId="29ED9837" w14:textId="201532BB" w:rsidR="00154424" w:rsidRPr="00154424" w:rsidRDefault="00BB6FB5">
          <w:pPr>
            <w:pStyle w:val="TOC3"/>
            <w:rPr>
              <w:rFonts w:eastAsiaTheme="minorEastAsia"/>
              <w:b w:val="0"/>
              <w:bCs w:val="0"/>
              <w:i w:val="0"/>
              <w:color w:val="auto"/>
              <w:lang w:val="en-US"/>
            </w:rPr>
          </w:pPr>
          <w:hyperlink w:anchor="_Toc157776096" w:history="1">
            <w:r w:rsidR="00154424" w:rsidRPr="00154424">
              <w:rPr>
                <w:rStyle w:val="Hyperlink"/>
              </w:rPr>
              <w:t xml:space="preserve">4.2.3 </w:t>
            </w:r>
            <w:r w:rsidR="00154424" w:rsidRPr="00154424">
              <w:rPr>
                <w:rStyle w:val="Hyperlink"/>
                <w:lang w:val="ro-RO"/>
              </w:rPr>
              <w:t xml:space="preserve">Se atestă nerespectarea cadrului legal la planificarea, </w:t>
            </w:r>
            <w:r w:rsidR="00154424" w:rsidRPr="00154424">
              <w:rPr>
                <w:rStyle w:val="Hyperlink"/>
                <w:rFonts w:eastAsia="Calibri"/>
                <w:iCs/>
                <w:lang w:val="ro-RO"/>
              </w:rPr>
              <w:t xml:space="preserve">achitarea, decontarea și raportarea unor </w:t>
            </w:r>
            <w:r w:rsidR="00154424" w:rsidRPr="00154424">
              <w:rPr>
                <w:rStyle w:val="Hyperlink"/>
                <w:rFonts w:eastAsia="Calibri"/>
                <w:lang w:val="ro-RO"/>
              </w:rPr>
              <w:t>cheltuieli aferente deplasărilor de serviciu.</w:t>
            </w:r>
            <w:r w:rsidR="00154424" w:rsidRPr="00154424">
              <w:rPr>
                <w:webHidden/>
              </w:rPr>
              <w:tab/>
            </w:r>
            <w:r w:rsidR="00154424" w:rsidRPr="00154424">
              <w:rPr>
                <w:webHidden/>
              </w:rPr>
              <w:fldChar w:fldCharType="begin"/>
            </w:r>
            <w:r w:rsidR="00154424" w:rsidRPr="00154424">
              <w:rPr>
                <w:webHidden/>
              </w:rPr>
              <w:instrText xml:space="preserve"> PAGEREF _Toc157776096 \h </w:instrText>
            </w:r>
            <w:r w:rsidR="00154424" w:rsidRPr="00154424">
              <w:rPr>
                <w:webHidden/>
              </w:rPr>
            </w:r>
            <w:r w:rsidR="00154424" w:rsidRPr="00154424">
              <w:rPr>
                <w:webHidden/>
              </w:rPr>
              <w:fldChar w:fldCharType="separate"/>
            </w:r>
            <w:r w:rsidR="008C14EF">
              <w:rPr>
                <w:webHidden/>
              </w:rPr>
              <w:t>30</w:t>
            </w:r>
            <w:r w:rsidR="00154424" w:rsidRPr="00154424">
              <w:rPr>
                <w:webHidden/>
              </w:rPr>
              <w:fldChar w:fldCharType="end"/>
            </w:r>
          </w:hyperlink>
        </w:p>
        <w:p w14:paraId="1AF533CD" w14:textId="2C24FFB4" w:rsidR="00154424" w:rsidRPr="00154424" w:rsidRDefault="00BB6FB5">
          <w:pPr>
            <w:pStyle w:val="TOC3"/>
            <w:rPr>
              <w:rFonts w:eastAsiaTheme="minorEastAsia"/>
              <w:b w:val="0"/>
              <w:bCs w:val="0"/>
              <w:i w:val="0"/>
              <w:color w:val="auto"/>
              <w:lang w:val="en-US"/>
            </w:rPr>
          </w:pPr>
          <w:hyperlink w:anchor="_Toc157776097" w:history="1">
            <w:r w:rsidR="00154424" w:rsidRPr="00154424">
              <w:rPr>
                <w:rStyle w:val="Hyperlink"/>
              </w:rPr>
              <w:t>4.2.4.</w:t>
            </w:r>
            <w:r w:rsidR="00154424" w:rsidRPr="00154424">
              <w:rPr>
                <w:rFonts w:eastAsiaTheme="minorEastAsia"/>
                <w:b w:val="0"/>
                <w:bCs w:val="0"/>
                <w:i w:val="0"/>
                <w:color w:val="auto"/>
                <w:lang w:val="en-US"/>
              </w:rPr>
              <w:tab/>
            </w:r>
            <w:r w:rsidR="00154424" w:rsidRPr="00154424">
              <w:rPr>
                <w:rStyle w:val="Hyperlink"/>
              </w:rPr>
              <w:t>Se atestă nerespectarea normelor prestabilite la efectuarea cheltuielilor privind utilizarea carburanților și lubrifianților, precum și a cheltuielilor pentru reparația curentă a mijloacelor de transport.</w:t>
            </w:r>
            <w:r w:rsidR="00154424" w:rsidRPr="00154424">
              <w:rPr>
                <w:webHidden/>
              </w:rPr>
              <w:tab/>
            </w:r>
            <w:r w:rsidR="00154424" w:rsidRPr="00154424">
              <w:rPr>
                <w:webHidden/>
              </w:rPr>
              <w:fldChar w:fldCharType="begin"/>
            </w:r>
            <w:r w:rsidR="00154424" w:rsidRPr="00154424">
              <w:rPr>
                <w:webHidden/>
              </w:rPr>
              <w:instrText xml:space="preserve"> PAGEREF _Toc157776097 \h </w:instrText>
            </w:r>
            <w:r w:rsidR="00154424" w:rsidRPr="00154424">
              <w:rPr>
                <w:webHidden/>
              </w:rPr>
            </w:r>
            <w:r w:rsidR="00154424" w:rsidRPr="00154424">
              <w:rPr>
                <w:webHidden/>
              </w:rPr>
              <w:fldChar w:fldCharType="separate"/>
            </w:r>
            <w:r w:rsidR="008C14EF">
              <w:rPr>
                <w:webHidden/>
              </w:rPr>
              <w:t>31</w:t>
            </w:r>
            <w:r w:rsidR="00154424" w:rsidRPr="00154424">
              <w:rPr>
                <w:webHidden/>
              </w:rPr>
              <w:fldChar w:fldCharType="end"/>
            </w:r>
          </w:hyperlink>
        </w:p>
        <w:p w14:paraId="4BD0ED54" w14:textId="17579ED9" w:rsidR="00154424" w:rsidRPr="00154424" w:rsidRDefault="00BB6FB5">
          <w:pPr>
            <w:pStyle w:val="TOC2"/>
            <w:rPr>
              <w:rFonts w:ascii="Times New Roman" w:eastAsiaTheme="minorEastAsia" w:hAnsi="Times New Roman" w:cs="Times New Roman"/>
              <w:b w:val="0"/>
              <w:bCs w:val="0"/>
              <w:lang w:val="en-US"/>
            </w:rPr>
          </w:pPr>
          <w:hyperlink w:anchor="_Toc157776098" w:history="1">
            <w:r w:rsidR="00154424" w:rsidRPr="00154424">
              <w:rPr>
                <w:rStyle w:val="Hyperlink"/>
                <w:rFonts w:ascii="Times New Roman" w:eastAsia="Times New Roman" w:hAnsi="Times New Roman" w:cs="Times New Roman"/>
              </w:rPr>
              <w:t>4.3.</w:t>
            </w:r>
            <w:r w:rsidR="00154424" w:rsidRPr="00154424">
              <w:rPr>
                <w:rFonts w:ascii="Times New Roman" w:eastAsiaTheme="minorEastAsia" w:hAnsi="Times New Roman" w:cs="Times New Roman"/>
                <w:b w:val="0"/>
                <w:bCs w:val="0"/>
                <w:lang w:val="en-US"/>
              </w:rPr>
              <w:tab/>
            </w:r>
            <w:r w:rsidR="00154424" w:rsidRPr="00154424">
              <w:rPr>
                <w:rStyle w:val="Hyperlink"/>
                <w:rFonts w:ascii="Times New Roman" w:eastAsia="Times New Roman" w:hAnsi="Times New Roman" w:cs="Times New Roman"/>
              </w:rPr>
              <w:t>CNPDCP a asigurat un management prudent și conformat rigorilor privind gestionarea patrimoniului entității?</w:t>
            </w:r>
            <w:r w:rsidR="00154424" w:rsidRPr="00154424">
              <w:rPr>
                <w:rFonts w:ascii="Times New Roman" w:hAnsi="Times New Roman" w:cs="Times New Roman"/>
                <w:webHidden/>
              </w:rPr>
              <w:tab/>
            </w:r>
            <w:r w:rsidR="00154424" w:rsidRPr="00154424">
              <w:rPr>
                <w:rFonts w:ascii="Times New Roman" w:hAnsi="Times New Roman" w:cs="Times New Roman"/>
                <w:webHidden/>
              </w:rPr>
              <w:fldChar w:fldCharType="begin"/>
            </w:r>
            <w:r w:rsidR="00154424" w:rsidRPr="00154424">
              <w:rPr>
                <w:rFonts w:ascii="Times New Roman" w:hAnsi="Times New Roman" w:cs="Times New Roman"/>
                <w:webHidden/>
              </w:rPr>
              <w:instrText xml:space="preserve"> PAGEREF _Toc157776098 \h </w:instrText>
            </w:r>
            <w:r w:rsidR="00154424" w:rsidRPr="00154424">
              <w:rPr>
                <w:rFonts w:ascii="Times New Roman" w:hAnsi="Times New Roman" w:cs="Times New Roman"/>
                <w:webHidden/>
              </w:rPr>
            </w:r>
            <w:r w:rsidR="00154424" w:rsidRPr="00154424">
              <w:rPr>
                <w:rFonts w:ascii="Times New Roman" w:hAnsi="Times New Roman" w:cs="Times New Roman"/>
                <w:webHidden/>
              </w:rPr>
              <w:fldChar w:fldCharType="separate"/>
            </w:r>
            <w:r w:rsidR="008C14EF">
              <w:rPr>
                <w:rFonts w:ascii="Times New Roman" w:hAnsi="Times New Roman" w:cs="Times New Roman"/>
                <w:webHidden/>
              </w:rPr>
              <w:t>34</w:t>
            </w:r>
            <w:r w:rsidR="00154424" w:rsidRPr="00154424">
              <w:rPr>
                <w:rFonts w:ascii="Times New Roman" w:hAnsi="Times New Roman" w:cs="Times New Roman"/>
                <w:webHidden/>
              </w:rPr>
              <w:fldChar w:fldCharType="end"/>
            </w:r>
          </w:hyperlink>
        </w:p>
        <w:p w14:paraId="292D8FA6" w14:textId="17ED9B5D" w:rsidR="00154424" w:rsidRPr="00154424" w:rsidRDefault="00BB6FB5">
          <w:pPr>
            <w:pStyle w:val="TOC3"/>
            <w:rPr>
              <w:rFonts w:eastAsiaTheme="minorEastAsia"/>
              <w:b w:val="0"/>
              <w:bCs w:val="0"/>
              <w:i w:val="0"/>
              <w:color w:val="auto"/>
              <w:lang w:val="en-US"/>
            </w:rPr>
          </w:pPr>
          <w:hyperlink w:anchor="_Toc157776099" w:history="1">
            <w:r w:rsidR="00154424" w:rsidRPr="00154424">
              <w:rPr>
                <w:rStyle w:val="Hyperlink"/>
              </w:rPr>
              <w:t>4.3.1.</w:t>
            </w:r>
            <w:r w:rsidR="00154424" w:rsidRPr="00154424">
              <w:rPr>
                <w:rFonts w:eastAsiaTheme="minorEastAsia"/>
                <w:b w:val="0"/>
                <w:bCs w:val="0"/>
                <w:i w:val="0"/>
                <w:color w:val="auto"/>
                <w:lang w:val="en-US"/>
              </w:rPr>
              <w:tab/>
            </w:r>
            <w:r w:rsidR="00154424" w:rsidRPr="00154424">
              <w:rPr>
                <w:rStyle w:val="Hyperlink"/>
              </w:rPr>
              <w:t>Este necesară îmbunătățirea activităților aferente monitoringului economico-financiar al  patrimoniului aflat în administrarea instituției.</w:t>
            </w:r>
            <w:r w:rsidR="00154424" w:rsidRPr="00154424">
              <w:rPr>
                <w:webHidden/>
              </w:rPr>
              <w:tab/>
            </w:r>
            <w:r w:rsidR="00154424" w:rsidRPr="00154424">
              <w:rPr>
                <w:webHidden/>
              </w:rPr>
              <w:fldChar w:fldCharType="begin"/>
            </w:r>
            <w:r w:rsidR="00154424" w:rsidRPr="00154424">
              <w:rPr>
                <w:webHidden/>
              </w:rPr>
              <w:instrText xml:space="preserve"> PAGEREF _Toc157776099 \h </w:instrText>
            </w:r>
            <w:r w:rsidR="00154424" w:rsidRPr="00154424">
              <w:rPr>
                <w:webHidden/>
              </w:rPr>
            </w:r>
            <w:r w:rsidR="00154424" w:rsidRPr="00154424">
              <w:rPr>
                <w:webHidden/>
              </w:rPr>
              <w:fldChar w:fldCharType="separate"/>
            </w:r>
            <w:r w:rsidR="008C14EF">
              <w:rPr>
                <w:webHidden/>
              </w:rPr>
              <w:t>34</w:t>
            </w:r>
            <w:r w:rsidR="00154424" w:rsidRPr="00154424">
              <w:rPr>
                <w:webHidden/>
              </w:rPr>
              <w:fldChar w:fldCharType="end"/>
            </w:r>
          </w:hyperlink>
        </w:p>
        <w:p w14:paraId="53ECAEDE" w14:textId="431618F3" w:rsidR="00154424" w:rsidRPr="00154424" w:rsidRDefault="00BB6FB5">
          <w:pPr>
            <w:pStyle w:val="TOC2"/>
            <w:rPr>
              <w:rFonts w:ascii="Times New Roman" w:eastAsiaTheme="minorEastAsia" w:hAnsi="Times New Roman" w:cs="Times New Roman"/>
              <w:b w:val="0"/>
              <w:bCs w:val="0"/>
              <w:lang w:val="en-US"/>
            </w:rPr>
          </w:pPr>
          <w:hyperlink w:anchor="_Toc157776100" w:history="1">
            <w:r w:rsidR="00154424" w:rsidRPr="00154424">
              <w:rPr>
                <w:rStyle w:val="Hyperlink"/>
                <w:rFonts w:ascii="Times New Roman" w:hAnsi="Times New Roman" w:cs="Times New Roman"/>
              </w:rPr>
              <w:t>4.4.</w:t>
            </w:r>
            <w:r w:rsidR="00154424" w:rsidRPr="00154424">
              <w:rPr>
                <w:rFonts w:ascii="Times New Roman" w:eastAsiaTheme="minorEastAsia" w:hAnsi="Times New Roman" w:cs="Times New Roman"/>
                <w:b w:val="0"/>
                <w:bCs w:val="0"/>
                <w:lang w:val="en-US"/>
              </w:rPr>
              <w:tab/>
            </w:r>
            <w:r w:rsidR="00154424" w:rsidRPr="00154424">
              <w:rPr>
                <w:rStyle w:val="Hyperlink"/>
                <w:rFonts w:ascii="Times New Roman" w:hAnsi="Times New Roman" w:cs="Times New Roman"/>
              </w:rPr>
              <w:t>CNPDCP, în calitate de autoritate publică, a implementat un sistem de control intern managerial funcțional?</w:t>
            </w:r>
            <w:r w:rsidR="00154424" w:rsidRPr="00154424">
              <w:rPr>
                <w:rFonts w:ascii="Times New Roman" w:hAnsi="Times New Roman" w:cs="Times New Roman"/>
                <w:webHidden/>
              </w:rPr>
              <w:tab/>
            </w:r>
            <w:r w:rsidR="00154424" w:rsidRPr="00154424">
              <w:rPr>
                <w:rFonts w:ascii="Times New Roman" w:hAnsi="Times New Roman" w:cs="Times New Roman"/>
                <w:webHidden/>
              </w:rPr>
              <w:fldChar w:fldCharType="begin"/>
            </w:r>
            <w:r w:rsidR="00154424" w:rsidRPr="00154424">
              <w:rPr>
                <w:rFonts w:ascii="Times New Roman" w:hAnsi="Times New Roman" w:cs="Times New Roman"/>
                <w:webHidden/>
              </w:rPr>
              <w:instrText xml:space="preserve"> PAGEREF _Toc157776100 \h </w:instrText>
            </w:r>
            <w:r w:rsidR="00154424" w:rsidRPr="00154424">
              <w:rPr>
                <w:rFonts w:ascii="Times New Roman" w:hAnsi="Times New Roman" w:cs="Times New Roman"/>
                <w:webHidden/>
              </w:rPr>
            </w:r>
            <w:r w:rsidR="00154424" w:rsidRPr="00154424">
              <w:rPr>
                <w:rFonts w:ascii="Times New Roman" w:hAnsi="Times New Roman" w:cs="Times New Roman"/>
                <w:webHidden/>
              </w:rPr>
              <w:fldChar w:fldCharType="separate"/>
            </w:r>
            <w:r w:rsidR="008C14EF">
              <w:rPr>
                <w:rFonts w:ascii="Times New Roman" w:hAnsi="Times New Roman" w:cs="Times New Roman"/>
                <w:webHidden/>
              </w:rPr>
              <w:t>39</w:t>
            </w:r>
            <w:r w:rsidR="00154424" w:rsidRPr="00154424">
              <w:rPr>
                <w:rFonts w:ascii="Times New Roman" w:hAnsi="Times New Roman" w:cs="Times New Roman"/>
                <w:webHidden/>
              </w:rPr>
              <w:fldChar w:fldCharType="end"/>
            </w:r>
          </w:hyperlink>
        </w:p>
        <w:p w14:paraId="39FD5324" w14:textId="30EBF364" w:rsidR="00154424" w:rsidRPr="00154424" w:rsidRDefault="00BB6FB5">
          <w:pPr>
            <w:pStyle w:val="TOC3"/>
            <w:rPr>
              <w:rFonts w:eastAsiaTheme="minorEastAsia"/>
              <w:b w:val="0"/>
              <w:bCs w:val="0"/>
              <w:i w:val="0"/>
              <w:color w:val="auto"/>
              <w:lang w:val="en-US"/>
            </w:rPr>
          </w:pPr>
          <w:hyperlink w:anchor="_Toc157776101" w:history="1">
            <w:r w:rsidR="00154424" w:rsidRPr="00154424">
              <w:rPr>
                <w:rStyle w:val="Hyperlink"/>
              </w:rPr>
              <w:t>4.4.1.</w:t>
            </w:r>
            <w:r w:rsidR="00154424" w:rsidRPr="00154424">
              <w:rPr>
                <w:rFonts w:eastAsiaTheme="minorEastAsia"/>
                <w:b w:val="0"/>
                <w:bCs w:val="0"/>
                <w:i w:val="0"/>
                <w:color w:val="auto"/>
                <w:lang w:val="en-US"/>
              </w:rPr>
              <w:tab/>
            </w:r>
            <w:r w:rsidR="00154424" w:rsidRPr="00154424">
              <w:rPr>
                <w:rStyle w:val="Hyperlink"/>
                <w:shd w:val="clear" w:color="auto" w:fill="FFFFFF"/>
              </w:rPr>
              <w:t>Componentele contorului intern managerial în cadrul CNPDCP necesită a fi fortificate.</w:t>
            </w:r>
            <w:r w:rsidR="00154424" w:rsidRPr="00154424">
              <w:rPr>
                <w:webHidden/>
              </w:rPr>
              <w:tab/>
            </w:r>
            <w:r w:rsidR="00154424" w:rsidRPr="00154424">
              <w:rPr>
                <w:webHidden/>
              </w:rPr>
              <w:fldChar w:fldCharType="begin"/>
            </w:r>
            <w:r w:rsidR="00154424" w:rsidRPr="00154424">
              <w:rPr>
                <w:webHidden/>
              </w:rPr>
              <w:instrText xml:space="preserve"> PAGEREF _Toc157776101 \h </w:instrText>
            </w:r>
            <w:r w:rsidR="00154424" w:rsidRPr="00154424">
              <w:rPr>
                <w:webHidden/>
              </w:rPr>
            </w:r>
            <w:r w:rsidR="00154424" w:rsidRPr="00154424">
              <w:rPr>
                <w:webHidden/>
              </w:rPr>
              <w:fldChar w:fldCharType="separate"/>
            </w:r>
            <w:r w:rsidR="008C14EF">
              <w:rPr>
                <w:webHidden/>
              </w:rPr>
              <w:t>39</w:t>
            </w:r>
            <w:r w:rsidR="00154424" w:rsidRPr="00154424">
              <w:rPr>
                <w:webHidden/>
              </w:rPr>
              <w:fldChar w:fldCharType="end"/>
            </w:r>
          </w:hyperlink>
        </w:p>
        <w:p w14:paraId="466B5369" w14:textId="7AF0D694" w:rsidR="00154424" w:rsidRPr="00154424" w:rsidRDefault="00BB6FB5">
          <w:pPr>
            <w:pStyle w:val="TOC1"/>
            <w:rPr>
              <w:rFonts w:ascii="Times New Roman" w:eastAsiaTheme="minorEastAsia" w:hAnsi="Times New Roman" w:cs="Times New Roman"/>
              <w:b w:val="0"/>
              <w:bCs w:val="0"/>
              <w:lang w:val="en-US"/>
            </w:rPr>
          </w:pPr>
          <w:hyperlink w:anchor="_Toc157776102" w:history="1">
            <w:r w:rsidR="00154424" w:rsidRPr="00154424">
              <w:rPr>
                <w:rStyle w:val="Hyperlink"/>
                <w:rFonts w:ascii="Times New Roman" w:hAnsi="Times New Roman" w:cs="Times New Roman"/>
              </w:rPr>
              <w:t>V.</w:t>
            </w:r>
            <w:r w:rsidR="00154424" w:rsidRPr="00154424">
              <w:rPr>
                <w:rFonts w:ascii="Times New Roman" w:eastAsiaTheme="minorEastAsia" w:hAnsi="Times New Roman" w:cs="Times New Roman"/>
                <w:b w:val="0"/>
                <w:bCs w:val="0"/>
                <w:lang w:val="en-US"/>
              </w:rPr>
              <w:tab/>
            </w:r>
            <w:r w:rsidR="00154424" w:rsidRPr="00154424">
              <w:rPr>
                <w:rStyle w:val="Hyperlink"/>
                <w:rFonts w:ascii="Times New Roman" w:hAnsi="Times New Roman" w:cs="Times New Roman"/>
              </w:rPr>
              <w:t>CONCLUZIA GENERALĂ</w:t>
            </w:r>
            <w:r w:rsidR="00154424" w:rsidRPr="00154424">
              <w:rPr>
                <w:rFonts w:ascii="Times New Roman" w:hAnsi="Times New Roman" w:cs="Times New Roman"/>
                <w:webHidden/>
              </w:rPr>
              <w:tab/>
            </w:r>
            <w:r w:rsidR="00154424" w:rsidRPr="00154424">
              <w:rPr>
                <w:rFonts w:ascii="Times New Roman" w:hAnsi="Times New Roman" w:cs="Times New Roman"/>
                <w:webHidden/>
              </w:rPr>
              <w:fldChar w:fldCharType="begin"/>
            </w:r>
            <w:r w:rsidR="00154424" w:rsidRPr="00154424">
              <w:rPr>
                <w:rFonts w:ascii="Times New Roman" w:hAnsi="Times New Roman" w:cs="Times New Roman"/>
                <w:webHidden/>
              </w:rPr>
              <w:instrText xml:space="preserve"> PAGEREF _Toc157776102 \h </w:instrText>
            </w:r>
            <w:r w:rsidR="00154424" w:rsidRPr="00154424">
              <w:rPr>
                <w:rFonts w:ascii="Times New Roman" w:hAnsi="Times New Roman" w:cs="Times New Roman"/>
                <w:webHidden/>
              </w:rPr>
            </w:r>
            <w:r w:rsidR="00154424" w:rsidRPr="00154424">
              <w:rPr>
                <w:rFonts w:ascii="Times New Roman" w:hAnsi="Times New Roman" w:cs="Times New Roman"/>
                <w:webHidden/>
              </w:rPr>
              <w:fldChar w:fldCharType="separate"/>
            </w:r>
            <w:r w:rsidR="008C14EF">
              <w:rPr>
                <w:rFonts w:ascii="Times New Roman" w:hAnsi="Times New Roman" w:cs="Times New Roman"/>
                <w:webHidden/>
              </w:rPr>
              <w:t>40</w:t>
            </w:r>
            <w:r w:rsidR="00154424" w:rsidRPr="00154424">
              <w:rPr>
                <w:rFonts w:ascii="Times New Roman" w:hAnsi="Times New Roman" w:cs="Times New Roman"/>
                <w:webHidden/>
              </w:rPr>
              <w:fldChar w:fldCharType="end"/>
            </w:r>
          </w:hyperlink>
        </w:p>
        <w:p w14:paraId="1E6BB9FD" w14:textId="2F66F349" w:rsidR="00154424" w:rsidRPr="00154424" w:rsidRDefault="00BB6FB5">
          <w:pPr>
            <w:pStyle w:val="TOC1"/>
            <w:rPr>
              <w:rFonts w:ascii="Times New Roman" w:eastAsiaTheme="minorEastAsia" w:hAnsi="Times New Roman" w:cs="Times New Roman"/>
              <w:b w:val="0"/>
              <w:bCs w:val="0"/>
              <w:lang w:val="en-US"/>
            </w:rPr>
          </w:pPr>
          <w:hyperlink w:anchor="_Toc157776103" w:history="1">
            <w:r w:rsidR="00154424" w:rsidRPr="00154424">
              <w:rPr>
                <w:rStyle w:val="Hyperlink"/>
                <w:rFonts w:ascii="Times New Roman" w:hAnsi="Times New Roman" w:cs="Times New Roman"/>
              </w:rPr>
              <w:t>VI.</w:t>
            </w:r>
            <w:r w:rsidR="00154424" w:rsidRPr="00154424">
              <w:rPr>
                <w:rFonts w:ascii="Times New Roman" w:eastAsiaTheme="minorEastAsia" w:hAnsi="Times New Roman" w:cs="Times New Roman"/>
                <w:b w:val="0"/>
                <w:bCs w:val="0"/>
                <w:lang w:val="en-US"/>
              </w:rPr>
              <w:tab/>
            </w:r>
            <w:r w:rsidR="00154424" w:rsidRPr="00154424">
              <w:rPr>
                <w:rStyle w:val="Hyperlink"/>
                <w:rFonts w:ascii="Times New Roman" w:hAnsi="Times New Roman" w:cs="Times New Roman"/>
              </w:rPr>
              <w:t>RECOMANDĂRI</w:t>
            </w:r>
            <w:r w:rsidR="00154424" w:rsidRPr="00154424">
              <w:rPr>
                <w:rFonts w:ascii="Times New Roman" w:hAnsi="Times New Roman" w:cs="Times New Roman"/>
                <w:webHidden/>
              </w:rPr>
              <w:tab/>
            </w:r>
            <w:r w:rsidR="00154424" w:rsidRPr="00154424">
              <w:rPr>
                <w:rFonts w:ascii="Times New Roman" w:hAnsi="Times New Roman" w:cs="Times New Roman"/>
                <w:webHidden/>
              </w:rPr>
              <w:fldChar w:fldCharType="begin"/>
            </w:r>
            <w:r w:rsidR="00154424" w:rsidRPr="00154424">
              <w:rPr>
                <w:rFonts w:ascii="Times New Roman" w:hAnsi="Times New Roman" w:cs="Times New Roman"/>
                <w:webHidden/>
              </w:rPr>
              <w:instrText xml:space="preserve"> PAGEREF _Toc157776103 \h </w:instrText>
            </w:r>
            <w:r w:rsidR="00154424" w:rsidRPr="00154424">
              <w:rPr>
                <w:rFonts w:ascii="Times New Roman" w:hAnsi="Times New Roman" w:cs="Times New Roman"/>
                <w:webHidden/>
              </w:rPr>
            </w:r>
            <w:r w:rsidR="00154424" w:rsidRPr="00154424">
              <w:rPr>
                <w:rFonts w:ascii="Times New Roman" w:hAnsi="Times New Roman" w:cs="Times New Roman"/>
                <w:webHidden/>
              </w:rPr>
              <w:fldChar w:fldCharType="separate"/>
            </w:r>
            <w:r w:rsidR="008C14EF">
              <w:rPr>
                <w:rFonts w:ascii="Times New Roman" w:hAnsi="Times New Roman" w:cs="Times New Roman"/>
                <w:webHidden/>
              </w:rPr>
              <w:t>41</w:t>
            </w:r>
            <w:r w:rsidR="00154424" w:rsidRPr="00154424">
              <w:rPr>
                <w:rFonts w:ascii="Times New Roman" w:hAnsi="Times New Roman" w:cs="Times New Roman"/>
                <w:webHidden/>
              </w:rPr>
              <w:fldChar w:fldCharType="end"/>
            </w:r>
          </w:hyperlink>
        </w:p>
        <w:p w14:paraId="25CAE665" w14:textId="010AE731" w:rsidR="00154424" w:rsidRPr="00154424" w:rsidRDefault="00BB6FB5">
          <w:pPr>
            <w:pStyle w:val="TOC1"/>
            <w:rPr>
              <w:rFonts w:ascii="Times New Roman" w:eastAsiaTheme="minorEastAsia" w:hAnsi="Times New Roman" w:cs="Times New Roman"/>
              <w:b w:val="0"/>
              <w:bCs w:val="0"/>
              <w:lang w:val="en-US"/>
            </w:rPr>
          </w:pPr>
          <w:hyperlink w:anchor="_Toc157776104" w:history="1">
            <w:r w:rsidR="00154424" w:rsidRPr="00154424">
              <w:rPr>
                <w:rStyle w:val="Hyperlink"/>
                <w:rFonts w:ascii="Times New Roman" w:eastAsia="TimesNewRoman" w:hAnsi="Times New Roman" w:cs="Times New Roman"/>
              </w:rPr>
              <w:t>VII.</w:t>
            </w:r>
            <w:r w:rsidR="00154424" w:rsidRPr="00154424">
              <w:rPr>
                <w:rFonts w:ascii="Times New Roman" w:eastAsiaTheme="minorEastAsia" w:hAnsi="Times New Roman" w:cs="Times New Roman"/>
                <w:b w:val="0"/>
                <w:bCs w:val="0"/>
                <w:lang w:val="en-US"/>
              </w:rPr>
              <w:tab/>
            </w:r>
            <w:r w:rsidR="00154424" w:rsidRPr="00154424">
              <w:rPr>
                <w:rStyle w:val="Hyperlink"/>
                <w:rFonts w:ascii="Times New Roman" w:eastAsia="TimesNewRoman" w:hAnsi="Times New Roman" w:cs="Times New Roman"/>
              </w:rPr>
              <w:t>SEMNĂTURILE ECHIPEI DE AUDIT</w:t>
            </w:r>
            <w:r w:rsidR="00154424" w:rsidRPr="00154424">
              <w:rPr>
                <w:rFonts w:ascii="Times New Roman" w:hAnsi="Times New Roman" w:cs="Times New Roman"/>
                <w:webHidden/>
              </w:rPr>
              <w:tab/>
            </w:r>
            <w:r w:rsidR="00154424" w:rsidRPr="00154424">
              <w:rPr>
                <w:rFonts w:ascii="Times New Roman" w:hAnsi="Times New Roman" w:cs="Times New Roman"/>
                <w:webHidden/>
              </w:rPr>
              <w:fldChar w:fldCharType="begin"/>
            </w:r>
            <w:r w:rsidR="00154424" w:rsidRPr="00154424">
              <w:rPr>
                <w:rFonts w:ascii="Times New Roman" w:hAnsi="Times New Roman" w:cs="Times New Roman"/>
                <w:webHidden/>
              </w:rPr>
              <w:instrText xml:space="preserve"> PAGEREF _Toc157776104 \h </w:instrText>
            </w:r>
            <w:r w:rsidR="00154424" w:rsidRPr="00154424">
              <w:rPr>
                <w:rFonts w:ascii="Times New Roman" w:hAnsi="Times New Roman" w:cs="Times New Roman"/>
                <w:webHidden/>
              </w:rPr>
            </w:r>
            <w:r w:rsidR="00154424" w:rsidRPr="00154424">
              <w:rPr>
                <w:rFonts w:ascii="Times New Roman" w:hAnsi="Times New Roman" w:cs="Times New Roman"/>
                <w:webHidden/>
              </w:rPr>
              <w:fldChar w:fldCharType="separate"/>
            </w:r>
            <w:r w:rsidR="008C14EF">
              <w:rPr>
                <w:rFonts w:ascii="Times New Roman" w:hAnsi="Times New Roman" w:cs="Times New Roman"/>
                <w:webHidden/>
              </w:rPr>
              <w:t>42</w:t>
            </w:r>
            <w:r w:rsidR="00154424" w:rsidRPr="00154424">
              <w:rPr>
                <w:rFonts w:ascii="Times New Roman" w:hAnsi="Times New Roman" w:cs="Times New Roman"/>
                <w:webHidden/>
              </w:rPr>
              <w:fldChar w:fldCharType="end"/>
            </w:r>
          </w:hyperlink>
        </w:p>
        <w:p w14:paraId="73F56F1B" w14:textId="2377A3D2" w:rsidR="00154424" w:rsidRPr="00154424" w:rsidRDefault="00BB6FB5">
          <w:pPr>
            <w:pStyle w:val="TOC1"/>
            <w:rPr>
              <w:rFonts w:ascii="Times New Roman" w:eastAsiaTheme="minorEastAsia" w:hAnsi="Times New Roman" w:cs="Times New Roman"/>
              <w:b w:val="0"/>
              <w:bCs w:val="0"/>
              <w:lang w:val="en-US"/>
            </w:rPr>
          </w:pPr>
          <w:hyperlink w:anchor="_Toc157776105" w:history="1">
            <w:r w:rsidR="00154424" w:rsidRPr="00154424">
              <w:rPr>
                <w:rStyle w:val="Hyperlink"/>
                <w:rFonts w:ascii="Times New Roman" w:hAnsi="Times New Roman" w:cs="Times New Roman"/>
              </w:rPr>
              <w:t>ANEXE</w:t>
            </w:r>
            <w:r w:rsidR="00154424" w:rsidRPr="00154424">
              <w:rPr>
                <w:rFonts w:ascii="Times New Roman" w:hAnsi="Times New Roman" w:cs="Times New Roman"/>
                <w:webHidden/>
              </w:rPr>
              <w:tab/>
            </w:r>
            <w:r w:rsidR="00154424" w:rsidRPr="00154424">
              <w:rPr>
                <w:rFonts w:ascii="Times New Roman" w:hAnsi="Times New Roman" w:cs="Times New Roman"/>
                <w:webHidden/>
              </w:rPr>
              <w:fldChar w:fldCharType="begin"/>
            </w:r>
            <w:r w:rsidR="00154424" w:rsidRPr="00154424">
              <w:rPr>
                <w:rFonts w:ascii="Times New Roman" w:hAnsi="Times New Roman" w:cs="Times New Roman"/>
                <w:webHidden/>
              </w:rPr>
              <w:instrText xml:space="preserve"> PAGEREF _Toc157776105 \h </w:instrText>
            </w:r>
            <w:r w:rsidR="00154424" w:rsidRPr="00154424">
              <w:rPr>
                <w:rFonts w:ascii="Times New Roman" w:hAnsi="Times New Roman" w:cs="Times New Roman"/>
                <w:webHidden/>
              </w:rPr>
            </w:r>
            <w:r w:rsidR="00154424" w:rsidRPr="00154424">
              <w:rPr>
                <w:rFonts w:ascii="Times New Roman" w:hAnsi="Times New Roman" w:cs="Times New Roman"/>
                <w:webHidden/>
              </w:rPr>
              <w:fldChar w:fldCharType="separate"/>
            </w:r>
            <w:r w:rsidR="008C14EF">
              <w:rPr>
                <w:rFonts w:ascii="Times New Roman" w:hAnsi="Times New Roman" w:cs="Times New Roman"/>
                <w:webHidden/>
              </w:rPr>
              <w:t>43</w:t>
            </w:r>
            <w:r w:rsidR="00154424" w:rsidRPr="00154424">
              <w:rPr>
                <w:rFonts w:ascii="Times New Roman" w:hAnsi="Times New Roman" w:cs="Times New Roman"/>
                <w:webHidden/>
              </w:rPr>
              <w:fldChar w:fldCharType="end"/>
            </w:r>
          </w:hyperlink>
        </w:p>
        <w:p w14:paraId="60217263" w14:textId="78F23F76" w:rsidR="006049D5" w:rsidRPr="007727C2" w:rsidRDefault="006049D5" w:rsidP="001D6594">
          <w:pPr>
            <w:pStyle w:val="TOC1"/>
            <w:rPr>
              <w:rFonts w:ascii="Times New Roman" w:eastAsiaTheme="minorEastAsia" w:hAnsi="Times New Roman" w:cs="Times New Roman"/>
              <w:lang w:val="en-US"/>
            </w:rPr>
          </w:pPr>
          <w:r w:rsidRPr="00154424">
            <w:rPr>
              <w:rFonts w:ascii="Times New Roman" w:hAnsi="Times New Roman" w:cs="Times New Roman"/>
            </w:rPr>
            <w:fldChar w:fldCharType="end"/>
          </w:r>
        </w:p>
      </w:sdtContent>
    </w:sdt>
    <w:p w14:paraId="7E2E2C15" w14:textId="77777777" w:rsidR="00F8665D" w:rsidRPr="00E3303C" w:rsidRDefault="00F8665D" w:rsidP="008C1B8F">
      <w:pPr>
        <w:pStyle w:val="Heading1"/>
        <w:spacing w:after="120" w:line="276" w:lineRule="auto"/>
        <w:rPr>
          <w:rFonts w:ascii="Times New Roman" w:hAnsi="Times New Roman" w:cs="Times New Roman"/>
          <w:b/>
          <w:color w:val="auto"/>
          <w:sz w:val="22"/>
          <w:szCs w:val="22"/>
          <w:shd w:val="clear" w:color="auto" w:fill="FFFFFF"/>
          <w:lang w:val="en-US"/>
        </w:rPr>
      </w:pPr>
      <w:bookmarkStart w:id="1" w:name="_Toc60045167"/>
      <w:bookmarkStart w:id="2" w:name="_Toc127032649"/>
      <w:bookmarkStart w:id="3" w:name="_Toc141374103"/>
    </w:p>
    <w:p w14:paraId="4C5E25F4" w14:textId="77777777" w:rsidR="00015BF3" w:rsidRPr="004D2FF7" w:rsidRDefault="00015BF3" w:rsidP="008C1B8F">
      <w:pPr>
        <w:pStyle w:val="Heading1"/>
        <w:spacing w:after="120" w:line="276" w:lineRule="auto"/>
        <w:rPr>
          <w:rFonts w:ascii="Times New Roman" w:hAnsi="Times New Roman" w:cs="Times New Roman"/>
          <w:b/>
          <w:color w:val="auto"/>
          <w:sz w:val="24"/>
          <w:szCs w:val="24"/>
          <w:shd w:val="clear" w:color="auto" w:fill="FFFFFF"/>
        </w:rPr>
      </w:pPr>
      <w:bookmarkStart w:id="4" w:name="_Toc157776077"/>
      <w:r w:rsidRPr="004D2FF7">
        <w:rPr>
          <w:rFonts w:ascii="Times New Roman" w:hAnsi="Times New Roman" w:cs="Times New Roman"/>
          <w:b/>
          <w:color w:val="auto"/>
          <w:sz w:val="24"/>
          <w:szCs w:val="24"/>
          <w:shd w:val="clear" w:color="auto" w:fill="FFFFFF"/>
        </w:rPr>
        <w:t>LISTA ACRONIMELOR</w:t>
      </w:r>
      <w:bookmarkEnd w:id="1"/>
      <w:bookmarkEnd w:id="2"/>
      <w:bookmarkEnd w:id="3"/>
      <w:bookmarkEnd w:id="4"/>
    </w:p>
    <w:tbl>
      <w:tblPr>
        <w:tblpPr w:leftFromText="180" w:rightFromText="180" w:vertAnchor="text" w:horzAnchor="margin" w:tblpY="220"/>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168"/>
      </w:tblGrid>
      <w:tr w:rsidR="00015BF3" w:rsidRPr="004D2FF7" w14:paraId="4EF35BB1" w14:textId="77777777" w:rsidTr="00810280">
        <w:tc>
          <w:tcPr>
            <w:tcW w:w="2273" w:type="dxa"/>
            <w:tcBorders>
              <w:top w:val="nil"/>
              <w:left w:val="nil"/>
              <w:bottom w:val="single" w:sz="4" w:space="0" w:color="auto"/>
              <w:right w:val="nil"/>
            </w:tcBorders>
            <w:shd w:val="clear" w:color="auto" w:fill="auto"/>
          </w:tcPr>
          <w:p w14:paraId="52E2D316" w14:textId="77777777" w:rsidR="00015BF3" w:rsidRPr="004D2FF7" w:rsidRDefault="00E53572" w:rsidP="008C1B8F">
            <w:pPr>
              <w:spacing w:after="0" w:line="276" w:lineRule="auto"/>
              <w:jc w:val="both"/>
              <w:rPr>
                <w:rFonts w:ascii="Times New Roman" w:eastAsia="Times New Roman" w:hAnsi="Times New Roman" w:cs="Times New Roman"/>
                <w:b/>
                <w:sz w:val="24"/>
                <w:szCs w:val="24"/>
                <w:lang w:eastAsia="ru-RU"/>
              </w:rPr>
            </w:pPr>
            <w:r w:rsidRPr="004D2FF7">
              <w:rPr>
                <w:rFonts w:ascii="Times New Roman" w:eastAsia="Times New Roman" w:hAnsi="Times New Roman" w:cs="Times New Roman"/>
                <w:b/>
                <w:sz w:val="24"/>
                <w:szCs w:val="24"/>
                <w:lang w:eastAsia="ru-RU"/>
              </w:rPr>
              <w:t>CNPDCP</w:t>
            </w:r>
          </w:p>
        </w:tc>
        <w:tc>
          <w:tcPr>
            <w:tcW w:w="7168" w:type="dxa"/>
            <w:tcBorders>
              <w:top w:val="nil"/>
              <w:left w:val="nil"/>
              <w:bottom w:val="single" w:sz="4" w:space="0" w:color="auto"/>
              <w:right w:val="nil"/>
            </w:tcBorders>
            <w:shd w:val="clear" w:color="auto" w:fill="auto"/>
          </w:tcPr>
          <w:p w14:paraId="62C8DDD7" w14:textId="77777777" w:rsidR="00015BF3" w:rsidRPr="004D2FF7" w:rsidRDefault="00E53572" w:rsidP="00497E0C">
            <w:pPr>
              <w:spacing w:after="0" w:line="276" w:lineRule="auto"/>
              <w:jc w:val="both"/>
              <w:rPr>
                <w:rFonts w:ascii="Times New Roman" w:eastAsia="Times New Roman" w:hAnsi="Times New Roman" w:cs="Times New Roman"/>
                <w:sz w:val="24"/>
                <w:szCs w:val="24"/>
                <w:lang w:eastAsia="ru-RU"/>
              </w:rPr>
            </w:pPr>
            <w:r w:rsidRPr="004D2FF7">
              <w:rPr>
                <w:rFonts w:ascii="Times New Roman" w:eastAsia="Times New Roman" w:hAnsi="Times New Roman" w:cs="Times New Roman"/>
                <w:sz w:val="24"/>
                <w:szCs w:val="24"/>
                <w:lang w:eastAsia="ru-RU"/>
              </w:rPr>
              <w:t xml:space="preserve">Centrul Național Pentru Protecția Datelor cu Caracter </w:t>
            </w:r>
            <w:r w:rsidR="00497E0C" w:rsidRPr="004D2FF7">
              <w:rPr>
                <w:rFonts w:ascii="Times New Roman" w:eastAsia="Times New Roman" w:hAnsi="Times New Roman" w:cs="Times New Roman"/>
                <w:sz w:val="24"/>
                <w:szCs w:val="24"/>
                <w:lang w:eastAsia="ru-RU"/>
              </w:rPr>
              <w:t>P</w:t>
            </w:r>
            <w:r w:rsidRPr="004D2FF7">
              <w:rPr>
                <w:rFonts w:ascii="Times New Roman" w:eastAsia="Times New Roman" w:hAnsi="Times New Roman" w:cs="Times New Roman"/>
                <w:sz w:val="24"/>
                <w:szCs w:val="24"/>
                <w:lang w:eastAsia="ru-RU"/>
              </w:rPr>
              <w:t>ersonal</w:t>
            </w:r>
          </w:p>
        </w:tc>
      </w:tr>
      <w:tr w:rsidR="00015BF3" w:rsidRPr="004D2FF7" w14:paraId="6E6C345A" w14:textId="77777777" w:rsidTr="00810280">
        <w:tc>
          <w:tcPr>
            <w:tcW w:w="2273" w:type="dxa"/>
            <w:tcBorders>
              <w:top w:val="nil"/>
              <w:left w:val="nil"/>
              <w:bottom w:val="single" w:sz="4" w:space="0" w:color="auto"/>
              <w:right w:val="nil"/>
            </w:tcBorders>
            <w:shd w:val="clear" w:color="auto" w:fill="auto"/>
          </w:tcPr>
          <w:p w14:paraId="6911864A" w14:textId="77777777" w:rsidR="00015BF3" w:rsidRPr="004D2FF7" w:rsidRDefault="00015BF3" w:rsidP="00D240D5">
            <w:pPr>
              <w:spacing w:after="0" w:line="276" w:lineRule="auto"/>
              <w:jc w:val="both"/>
              <w:rPr>
                <w:rFonts w:ascii="Times New Roman" w:eastAsia="Times New Roman" w:hAnsi="Times New Roman" w:cs="Times New Roman"/>
                <w:b/>
                <w:sz w:val="24"/>
                <w:szCs w:val="24"/>
                <w:lang w:eastAsia="ru-RU"/>
              </w:rPr>
            </w:pPr>
            <w:r w:rsidRPr="004D2FF7">
              <w:rPr>
                <w:rFonts w:ascii="Times New Roman" w:eastAsia="Times New Roman" w:hAnsi="Times New Roman" w:cs="Times New Roman"/>
                <w:b/>
                <w:sz w:val="24"/>
                <w:szCs w:val="24"/>
                <w:lang w:eastAsia="ru-RU"/>
              </w:rPr>
              <w:t>C</w:t>
            </w:r>
            <w:r w:rsidR="00D240D5" w:rsidRPr="004D2FF7">
              <w:rPr>
                <w:rFonts w:ascii="Times New Roman" w:eastAsia="Times New Roman" w:hAnsi="Times New Roman" w:cs="Times New Roman"/>
                <w:b/>
                <w:sz w:val="24"/>
                <w:szCs w:val="24"/>
                <w:lang w:eastAsia="ru-RU"/>
              </w:rPr>
              <w:t>C</w:t>
            </w:r>
          </w:p>
        </w:tc>
        <w:tc>
          <w:tcPr>
            <w:tcW w:w="7168" w:type="dxa"/>
            <w:tcBorders>
              <w:top w:val="nil"/>
              <w:left w:val="nil"/>
              <w:bottom w:val="single" w:sz="4" w:space="0" w:color="auto"/>
              <w:right w:val="nil"/>
            </w:tcBorders>
            <w:shd w:val="clear" w:color="auto" w:fill="auto"/>
          </w:tcPr>
          <w:p w14:paraId="6059C1C9" w14:textId="77777777" w:rsidR="00015BF3" w:rsidRPr="004D2FF7" w:rsidRDefault="00015BF3" w:rsidP="00D240D5">
            <w:pPr>
              <w:spacing w:after="0" w:line="276" w:lineRule="auto"/>
              <w:jc w:val="both"/>
              <w:rPr>
                <w:rFonts w:ascii="Times New Roman" w:eastAsia="Times New Roman" w:hAnsi="Times New Roman" w:cs="Times New Roman"/>
                <w:sz w:val="24"/>
                <w:szCs w:val="24"/>
                <w:lang w:eastAsia="ru-RU"/>
              </w:rPr>
            </w:pPr>
            <w:r w:rsidRPr="004D2FF7">
              <w:rPr>
                <w:rFonts w:ascii="Times New Roman" w:eastAsia="Times New Roman" w:hAnsi="Times New Roman" w:cs="Times New Roman"/>
                <w:sz w:val="24"/>
                <w:szCs w:val="24"/>
                <w:lang w:eastAsia="ru-RU"/>
              </w:rPr>
              <w:t xml:space="preserve">Consiliul </w:t>
            </w:r>
            <w:r w:rsidR="00D240D5" w:rsidRPr="004D2FF7">
              <w:rPr>
                <w:rFonts w:ascii="Times New Roman" w:eastAsia="Times New Roman" w:hAnsi="Times New Roman" w:cs="Times New Roman"/>
                <w:sz w:val="24"/>
                <w:szCs w:val="24"/>
                <w:lang w:eastAsia="ru-RU"/>
              </w:rPr>
              <w:t>Consultativ</w:t>
            </w:r>
          </w:p>
        </w:tc>
      </w:tr>
      <w:tr w:rsidR="0088387D" w:rsidRPr="004D2FF7" w14:paraId="0207EB4C" w14:textId="77777777" w:rsidTr="00810280">
        <w:tc>
          <w:tcPr>
            <w:tcW w:w="2273" w:type="dxa"/>
            <w:tcBorders>
              <w:top w:val="nil"/>
              <w:left w:val="nil"/>
              <w:bottom w:val="single" w:sz="4" w:space="0" w:color="auto"/>
              <w:right w:val="nil"/>
            </w:tcBorders>
            <w:shd w:val="clear" w:color="auto" w:fill="auto"/>
          </w:tcPr>
          <w:p w14:paraId="482155F5" w14:textId="77777777" w:rsidR="0088387D" w:rsidRPr="004D2FF7" w:rsidRDefault="0088387D" w:rsidP="008C1B8F">
            <w:pPr>
              <w:spacing w:after="0" w:line="276" w:lineRule="auto"/>
              <w:jc w:val="both"/>
              <w:rPr>
                <w:rFonts w:ascii="Times New Roman" w:eastAsia="Times New Roman" w:hAnsi="Times New Roman" w:cs="Times New Roman"/>
                <w:b/>
                <w:sz w:val="24"/>
                <w:szCs w:val="24"/>
                <w:lang w:eastAsia="ru-RU"/>
              </w:rPr>
            </w:pPr>
            <w:r w:rsidRPr="004D2FF7">
              <w:rPr>
                <w:rFonts w:ascii="Times New Roman" w:eastAsia="Times New Roman" w:hAnsi="Times New Roman" w:cs="Times New Roman"/>
                <w:b/>
                <w:sz w:val="24"/>
                <w:szCs w:val="24"/>
                <w:lang w:eastAsia="ru-RU"/>
              </w:rPr>
              <w:t>CCRM</w:t>
            </w:r>
          </w:p>
        </w:tc>
        <w:tc>
          <w:tcPr>
            <w:tcW w:w="7168" w:type="dxa"/>
            <w:tcBorders>
              <w:top w:val="nil"/>
              <w:left w:val="nil"/>
              <w:bottom w:val="single" w:sz="4" w:space="0" w:color="auto"/>
              <w:right w:val="nil"/>
            </w:tcBorders>
            <w:shd w:val="clear" w:color="auto" w:fill="auto"/>
          </w:tcPr>
          <w:p w14:paraId="41EB7C2F" w14:textId="77777777" w:rsidR="0088387D" w:rsidRPr="004D2FF7" w:rsidRDefault="0088387D" w:rsidP="008C1B8F">
            <w:pPr>
              <w:spacing w:after="0" w:line="276" w:lineRule="auto"/>
              <w:jc w:val="both"/>
              <w:rPr>
                <w:rFonts w:ascii="Times New Roman" w:eastAsia="Times New Roman" w:hAnsi="Times New Roman" w:cs="Times New Roman"/>
                <w:sz w:val="24"/>
                <w:szCs w:val="24"/>
                <w:lang w:eastAsia="ru-RU"/>
              </w:rPr>
            </w:pPr>
            <w:r w:rsidRPr="004D2FF7">
              <w:rPr>
                <w:rFonts w:ascii="Times New Roman" w:eastAsia="Times New Roman" w:hAnsi="Times New Roman" w:cs="Times New Roman"/>
                <w:sz w:val="24"/>
                <w:szCs w:val="24"/>
                <w:lang w:eastAsia="ru-RU"/>
              </w:rPr>
              <w:t>Curtea de Conturi a Republicii Moldova</w:t>
            </w:r>
          </w:p>
        </w:tc>
      </w:tr>
      <w:tr w:rsidR="0088387D" w:rsidRPr="004D2FF7" w14:paraId="260E57F5" w14:textId="77777777" w:rsidTr="00810280">
        <w:tc>
          <w:tcPr>
            <w:tcW w:w="2273" w:type="dxa"/>
            <w:tcBorders>
              <w:top w:val="nil"/>
              <w:left w:val="nil"/>
              <w:bottom w:val="single" w:sz="4" w:space="0" w:color="auto"/>
              <w:right w:val="nil"/>
            </w:tcBorders>
            <w:shd w:val="clear" w:color="auto" w:fill="auto"/>
          </w:tcPr>
          <w:p w14:paraId="04DA7C62" w14:textId="77777777" w:rsidR="0088387D" w:rsidRPr="004D2FF7" w:rsidRDefault="0088387D" w:rsidP="008C1B8F">
            <w:pPr>
              <w:spacing w:after="0" w:line="276" w:lineRule="auto"/>
              <w:jc w:val="both"/>
              <w:rPr>
                <w:rFonts w:ascii="Times New Roman" w:eastAsia="Times New Roman" w:hAnsi="Times New Roman" w:cs="Times New Roman"/>
                <w:b/>
                <w:sz w:val="24"/>
                <w:szCs w:val="24"/>
                <w:lang w:eastAsia="ru-RU"/>
              </w:rPr>
            </w:pPr>
            <w:r w:rsidRPr="004D2FF7">
              <w:rPr>
                <w:rFonts w:ascii="Times New Roman" w:eastAsia="Times New Roman" w:hAnsi="Times New Roman" w:cs="Times New Roman"/>
                <w:b/>
                <w:sz w:val="24"/>
                <w:szCs w:val="24"/>
                <w:lang w:eastAsia="ru-RU"/>
              </w:rPr>
              <w:t>MF</w:t>
            </w:r>
          </w:p>
        </w:tc>
        <w:tc>
          <w:tcPr>
            <w:tcW w:w="7168" w:type="dxa"/>
            <w:tcBorders>
              <w:top w:val="nil"/>
              <w:left w:val="nil"/>
              <w:bottom w:val="single" w:sz="4" w:space="0" w:color="auto"/>
              <w:right w:val="nil"/>
            </w:tcBorders>
            <w:shd w:val="clear" w:color="auto" w:fill="auto"/>
          </w:tcPr>
          <w:p w14:paraId="4CE270CD" w14:textId="77777777" w:rsidR="0088387D" w:rsidRPr="004D2FF7" w:rsidRDefault="0088387D" w:rsidP="008C1B8F">
            <w:pPr>
              <w:spacing w:after="0" w:line="276" w:lineRule="auto"/>
              <w:jc w:val="both"/>
              <w:rPr>
                <w:rFonts w:ascii="Times New Roman" w:eastAsia="Times New Roman" w:hAnsi="Times New Roman" w:cs="Times New Roman"/>
                <w:sz w:val="24"/>
                <w:szCs w:val="24"/>
                <w:lang w:eastAsia="ru-RU"/>
              </w:rPr>
            </w:pPr>
            <w:r w:rsidRPr="004D2FF7">
              <w:rPr>
                <w:rFonts w:ascii="Times New Roman" w:eastAsia="Times New Roman" w:hAnsi="Times New Roman" w:cs="Times New Roman"/>
                <w:sz w:val="24"/>
                <w:szCs w:val="24"/>
                <w:lang w:eastAsia="ru-RU"/>
              </w:rPr>
              <w:t>Ministerul Finanțelor</w:t>
            </w:r>
          </w:p>
        </w:tc>
      </w:tr>
      <w:tr w:rsidR="0088387D" w:rsidRPr="004D2FF7" w14:paraId="5F95A007" w14:textId="77777777" w:rsidTr="00810280">
        <w:tc>
          <w:tcPr>
            <w:tcW w:w="2273" w:type="dxa"/>
            <w:tcBorders>
              <w:top w:val="nil"/>
              <w:left w:val="nil"/>
              <w:bottom w:val="single" w:sz="4" w:space="0" w:color="auto"/>
              <w:right w:val="nil"/>
            </w:tcBorders>
            <w:shd w:val="clear" w:color="auto" w:fill="auto"/>
          </w:tcPr>
          <w:p w14:paraId="0F51275A" w14:textId="77777777" w:rsidR="0088387D" w:rsidRPr="004D2FF7" w:rsidRDefault="0088387D" w:rsidP="008C1B8F">
            <w:pPr>
              <w:spacing w:after="0" w:line="276" w:lineRule="auto"/>
              <w:jc w:val="both"/>
              <w:rPr>
                <w:rFonts w:ascii="Times New Roman" w:eastAsia="Times New Roman" w:hAnsi="Times New Roman" w:cs="Times New Roman"/>
                <w:b/>
                <w:sz w:val="24"/>
                <w:szCs w:val="24"/>
                <w:lang w:eastAsia="ru-RU"/>
              </w:rPr>
            </w:pPr>
            <w:r w:rsidRPr="004D2FF7">
              <w:rPr>
                <w:rFonts w:ascii="Times New Roman" w:eastAsia="Times New Roman" w:hAnsi="Times New Roman" w:cs="Times New Roman"/>
                <w:b/>
                <w:sz w:val="24"/>
                <w:szCs w:val="24"/>
                <w:lang w:eastAsia="ru-RU"/>
              </w:rPr>
              <w:t>DGACG</w:t>
            </w:r>
          </w:p>
        </w:tc>
        <w:tc>
          <w:tcPr>
            <w:tcW w:w="7168" w:type="dxa"/>
            <w:tcBorders>
              <w:top w:val="nil"/>
              <w:left w:val="nil"/>
              <w:bottom w:val="single" w:sz="4" w:space="0" w:color="auto"/>
              <w:right w:val="nil"/>
            </w:tcBorders>
            <w:shd w:val="clear" w:color="auto" w:fill="auto"/>
          </w:tcPr>
          <w:p w14:paraId="375F56E7" w14:textId="77777777" w:rsidR="0088387D" w:rsidRPr="004D2FF7" w:rsidRDefault="0088387D" w:rsidP="008C1B8F">
            <w:pPr>
              <w:spacing w:after="0" w:line="276" w:lineRule="auto"/>
              <w:jc w:val="both"/>
              <w:rPr>
                <w:rFonts w:ascii="Times New Roman" w:eastAsia="Times New Roman" w:hAnsi="Times New Roman" w:cs="Times New Roman"/>
                <w:sz w:val="24"/>
                <w:szCs w:val="24"/>
                <w:lang w:eastAsia="ru-RU"/>
              </w:rPr>
            </w:pPr>
            <w:r w:rsidRPr="004D2FF7">
              <w:rPr>
                <w:rFonts w:ascii="Times New Roman" w:eastAsia="Times New Roman" w:hAnsi="Times New Roman" w:cs="Times New Roman"/>
                <w:sz w:val="24"/>
                <w:szCs w:val="24"/>
                <w:lang w:eastAsia="ru-RU"/>
              </w:rPr>
              <w:t>Direcți</w:t>
            </w:r>
            <w:r w:rsidR="007811A5" w:rsidRPr="004D2FF7">
              <w:rPr>
                <w:rFonts w:ascii="Times New Roman" w:eastAsia="Times New Roman" w:hAnsi="Times New Roman" w:cs="Times New Roman"/>
                <w:sz w:val="24"/>
                <w:szCs w:val="24"/>
                <w:lang w:eastAsia="ru-RU"/>
              </w:rPr>
              <w:t>a</w:t>
            </w:r>
            <w:r w:rsidRPr="004D2FF7">
              <w:rPr>
                <w:rFonts w:ascii="Times New Roman" w:eastAsia="Times New Roman" w:hAnsi="Times New Roman" w:cs="Times New Roman"/>
                <w:sz w:val="24"/>
                <w:szCs w:val="24"/>
                <w:lang w:eastAsia="ru-RU"/>
              </w:rPr>
              <w:t xml:space="preserve"> General</w:t>
            </w:r>
            <w:r w:rsidR="007811A5" w:rsidRPr="004D2FF7">
              <w:rPr>
                <w:rFonts w:ascii="Times New Roman" w:eastAsia="Times New Roman" w:hAnsi="Times New Roman" w:cs="Times New Roman"/>
                <w:sz w:val="24"/>
                <w:szCs w:val="24"/>
                <w:lang w:eastAsia="ru-RU"/>
              </w:rPr>
              <w:t>ă</w:t>
            </w:r>
            <w:r w:rsidRPr="004D2FF7">
              <w:rPr>
                <w:rFonts w:ascii="Times New Roman" w:eastAsia="Times New Roman" w:hAnsi="Times New Roman" w:cs="Times New Roman"/>
                <w:sz w:val="24"/>
                <w:szCs w:val="24"/>
                <w:lang w:eastAsia="ru-RU"/>
              </w:rPr>
              <w:t xml:space="preserve"> pentru Administrarea Clădirilor Guvernului</w:t>
            </w:r>
          </w:p>
        </w:tc>
      </w:tr>
      <w:tr w:rsidR="0088387D" w:rsidRPr="004D2FF7" w14:paraId="548C7D96" w14:textId="77777777" w:rsidTr="00810280">
        <w:tc>
          <w:tcPr>
            <w:tcW w:w="2273" w:type="dxa"/>
            <w:tcBorders>
              <w:top w:val="nil"/>
              <w:left w:val="nil"/>
              <w:bottom w:val="single" w:sz="4" w:space="0" w:color="auto"/>
              <w:right w:val="nil"/>
            </w:tcBorders>
            <w:shd w:val="clear" w:color="auto" w:fill="auto"/>
          </w:tcPr>
          <w:p w14:paraId="0A290AA8" w14:textId="77777777" w:rsidR="0088387D" w:rsidRPr="004D2FF7" w:rsidRDefault="007811A5" w:rsidP="008C1B8F">
            <w:pPr>
              <w:spacing w:after="0" w:line="276" w:lineRule="auto"/>
              <w:jc w:val="both"/>
              <w:rPr>
                <w:rFonts w:ascii="Times New Roman" w:eastAsia="Times New Roman" w:hAnsi="Times New Roman" w:cs="Times New Roman"/>
                <w:b/>
                <w:sz w:val="24"/>
                <w:szCs w:val="24"/>
                <w:lang w:eastAsia="ru-RU"/>
              </w:rPr>
            </w:pPr>
            <w:r w:rsidRPr="004D2FF7">
              <w:rPr>
                <w:rFonts w:ascii="Times New Roman" w:eastAsia="Times New Roman" w:hAnsi="Times New Roman" w:cs="Times New Roman"/>
                <w:b/>
                <w:sz w:val="24"/>
                <w:szCs w:val="24"/>
                <w:lang w:eastAsia="ru-RU"/>
              </w:rPr>
              <w:t xml:space="preserve">IP </w:t>
            </w:r>
            <w:r w:rsidR="0088387D" w:rsidRPr="004D2FF7">
              <w:rPr>
                <w:rFonts w:ascii="Times New Roman" w:eastAsia="Times New Roman" w:hAnsi="Times New Roman" w:cs="Times New Roman"/>
                <w:b/>
                <w:sz w:val="24"/>
                <w:szCs w:val="24"/>
                <w:lang w:eastAsia="ru-RU"/>
              </w:rPr>
              <w:t>STISC</w:t>
            </w:r>
          </w:p>
        </w:tc>
        <w:tc>
          <w:tcPr>
            <w:tcW w:w="7168" w:type="dxa"/>
            <w:tcBorders>
              <w:top w:val="nil"/>
              <w:left w:val="nil"/>
              <w:bottom w:val="single" w:sz="4" w:space="0" w:color="auto"/>
              <w:right w:val="nil"/>
            </w:tcBorders>
            <w:shd w:val="clear" w:color="auto" w:fill="auto"/>
          </w:tcPr>
          <w:p w14:paraId="638A87E6" w14:textId="77777777" w:rsidR="0088387D" w:rsidRPr="004D2FF7" w:rsidRDefault="0088387D" w:rsidP="00571DDE">
            <w:pPr>
              <w:spacing w:after="0" w:line="276" w:lineRule="auto"/>
              <w:jc w:val="both"/>
              <w:rPr>
                <w:rFonts w:ascii="Times New Roman" w:eastAsia="Times New Roman" w:hAnsi="Times New Roman" w:cs="Times New Roman"/>
                <w:sz w:val="24"/>
                <w:szCs w:val="24"/>
                <w:lang w:eastAsia="ru-RU"/>
              </w:rPr>
            </w:pPr>
            <w:r w:rsidRPr="004D2FF7">
              <w:rPr>
                <w:rFonts w:ascii="Times New Roman" w:eastAsia="Times New Roman" w:hAnsi="Times New Roman" w:cs="Times New Roman"/>
                <w:sz w:val="24"/>
                <w:szCs w:val="24"/>
                <w:lang w:eastAsia="ru-RU"/>
              </w:rPr>
              <w:t>I</w:t>
            </w:r>
            <w:r w:rsidR="007811A5" w:rsidRPr="004D2FF7">
              <w:rPr>
                <w:rFonts w:ascii="Times New Roman" w:eastAsia="Times New Roman" w:hAnsi="Times New Roman" w:cs="Times New Roman"/>
                <w:sz w:val="24"/>
                <w:szCs w:val="24"/>
                <w:lang w:eastAsia="ru-RU"/>
              </w:rPr>
              <w:t xml:space="preserve">nstituția Publică </w:t>
            </w:r>
            <w:r w:rsidR="00571DDE" w:rsidRPr="004D2FF7">
              <w:rPr>
                <w:rFonts w:ascii="Times New Roman" w:eastAsia="Times New Roman" w:hAnsi="Times New Roman" w:cs="Times New Roman"/>
                <w:sz w:val="24"/>
                <w:szCs w:val="24"/>
                <w:lang w:eastAsia="ru-RU"/>
              </w:rPr>
              <w:t>„</w:t>
            </w:r>
            <w:r w:rsidRPr="004D2FF7">
              <w:rPr>
                <w:rFonts w:ascii="Times New Roman" w:eastAsia="Times New Roman" w:hAnsi="Times New Roman" w:cs="Times New Roman"/>
                <w:sz w:val="24"/>
                <w:szCs w:val="24"/>
                <w:lang w:eastAsia="ru-RU"/>
              </w:rPr>
              <w:t>Serviciul Tehnologia Informației și Securitate Cibernetică"</w:t>
            </w:r>
          </w:p>
        </w:tc>
      </w:tr>
      <w:tr w:rsidR="0088387D" w:rsidRPr="004D2FF7" w14:paraId="3D67BB66" w14:textId="77777777" w:rsidTr="00810280">
        <w:tc>
          <w:tcPr>
            <w:tcW w:w="2273" w:type="dxa"/>
            <w:tcBorders>
              <w:top w:val="nil"/>
              <w:left w:val="nil"/>
              <w:bottom w:val="single" w:sz="4" w:space="0" w:color="auto"/>
              <w:right w:val="nil"/>
            </w:tcBorders>
            <w:shd w:val="clear" w:color="auto" w:fill="auto"/>
          </w:tcPr>
          <w:p w14:paraId="2CBAC713" w14:textId="77777777" w:rsidR="0088387D" w:rsidRPr="004D2FF7" w:rsidRDefault="0088387D" w:rsidP="008C1B8F">
            <w:pPr>
              <w:spacing w:after="0" w:line="276" w:lineRule="auto"/>
              <w:jc w:val="both"/>
              <w:rPr>
                <w:rFonts w:ascii="Times New Roman" w:eastAsia="Times New Roman" w:hAnsi="Times New Roman" w:cs="Times New Roman"/>
                <w:b/>
                <w:sz w:val="24"/>
                <w:szCs w:val="24"/>
                <w:lang w:eastAsia="ru-RU"/>
              </w:rPr>
            </w:pPr>
            <w:r w:rsidRPr="004D2FF7">
              <w:rPr>
                <w:rFonts w:ascii="Times New Roman" w:eastAsia="Times New Roman" w:hAnsi="Times New Roman" w:cs="Times New Roman"/>
                <w:b/>
                <w:sz w:val="24"/>
                <w:szCs w:val="24"/>
                <w:lang w:eastAsia="ru-RU"/>
              </w:rPr>
              <w:t>APP</w:t>
            </w:r>
          </w:p>
        </w:tc>
        <w:tc>
          <w:tcPr>
            <w:tcW w:w="7168" w:type="dxa"/>
            <w:tcBorders>
              <w:top w:val="nil"/>
              <w:left w:val="nil"/>
              <w:bottom w:val="single" w:sz="4" w:space="0" w:color="auto"/>
              <w:right w:val="nil"/>
            </w:tcBorders>
            <w:shd w:val="clear" w:color="auto" w:fill="auto"/>
          </w:tcPr>
          <w:p w14:paraId="1473E6BE" w14:textId="77777777" w:rsidR="0088387D" w:rsidRPr="004D2FF7" w:rsidRDefault="0088387D" w:rsidP="008C1B8F">
            <w:pPr>
              <w:spacing w:after="0" w:line="276" w:lineRule="auto"/>
              <w:jc w:val="both"/>
              <w:rPr>
                <w:rFonts w:ascii="Times New Roman" w:eastAsia="Times New Roman" w:hAnsi="Times New Roman" w:cs="Times New Roman"/>
                <w:sz w:val="24"/>
                <w:szCs w:val="24"/>
                <w:lang w:eastAsia="ru-RU"/>
              </w:rPr>
            </w:pPr>
            <w:r w:rsidRPr="004D2FF7">
              <w:rPr>
                <w:rFonts w:ascii="Times New Roman" w:eastAsia="Times New Roman" w:hAnsi="Times New Roman" w:cs="Times New Roman"/>
                <w:sz w:val="24"/>
                <w:szCs w:val="24"/>
                <w:lang w:eastAsia="ru-RU"/>
              </w:rPr>
              <w:t>Agenția Proprietății Publice</w:t>
            </w:r>
          </w:p>
        </w:tc>
      </w:tr>
      <w:tr w:rsidR="00EA775E" w:rsidRPr="004D2FF7" w14:paraId="71FBA288" w14:textId="77777777" w:rsidTr="00810280">
        <w:tc>
          <w:tcPr>
            <w:tcW w:w="2273" w:type="dxa"/>
            <w:tcBorders>
              <w:top w:val="nil"/>
              <w:left w:val="nil"/>
              <w:bottom w:val="single" w:sz="4" w:space="0" w:color="auto"/>
              <w:right w:val="nil"/>
            </w:tcBorders>
            <w:shd w:val="clear" w:color="auto" w:fill="auto"/>
          </w:tcPr>
          <w:p w14:paraId="4F8D109F" w14:textId="77777777" w:rsidR="00EA775E" w:rsidRPr="004D2FF7" w:rsidRDefault="00EA775E" w:rsidP="00EA775E">
            <w:pPr>
              <w:spacing w:after="0" w:line="276" w:lineRule="auto"/>
              <w:jc w:val="both"/>
              <w:rPr>
                <w:rFonts w:ascii="Times New Roman" w:eastAsia="Times New Roman" w:hAnsi="Times New Roman" w:cs="Times New Roman"/>
                <w:b/>
                <w:sz w:val="24"/>
                <w:szCs w:val="24"/>
                <w:lang w:eastAsia="ru-RU"/>
              </w:rPr>
            </w:pPr>
            <w:r w:rsidRPr="004D2FF7">
              <w:rPr>
                <w:rFonts w:ascii="Times New Roman" w:eastAsia="Times New Roman" w:hAnsi="Times New Roman" w:cs="Times New Roman"/>
                <w:b/>
                <w:sz w:val="24"/>
                <w:szCs w:val="24"/>
                <w:lang w:eastAsia="ru-RU"/>
              </w:rPr>
              <w:t>HG</w:t>
            </w:r>
          </w:p>
        </w:tc>
        <w:tc>
          <w:tcPr>
            <w:tcW w:w="7168" w:type="dxa"/>
            <w:tcBorders>
              <w:top w:val="nil"/>
              <w:left w:val="nil"/>
              <w:bottom w:val="single" w:sz="4" w:space="0" w:color="auto"/>
              <w:right w:val="nil"/>
            </w:tcBorders>
            <w:shd w:val="clear" w:color="auto" w:fill="auto"/>
          </w:tcPr>
          <w:p w14:paraId="71C3720F" w14:textId="77777777" w:rsidR="00EA775E" w:rsidRPr="004D2FF7" w:rsidRDefault="00EA775E" w:rsidP="00EA775E">
            <w:pPr>
              <w:spacing w:after="0" w:line="276" w:lineRule="auto"/>
              <w:jc w:val="both"/>
              <w:rPr>
                <w:rFonts w:ascii="Times New Roman" w:eastAsia="Times New Roman" w:hAnsi="Times New Roman" w:cs="Times New Roman"/>
                <w:sz w:val="24"/>
                <w:szCs w:val="24"/>
                <w:lang w:eastAsia="ru-RU"/>
              </w:rPr>
            </w:pPr>
            <w:r w:rsidRPr="004D2FF7">
              <w:rPr>
                <w:rFonts w:ascii="Times New Roman" w:eastAsia="Times New Roman" w:hAnsi="Times New Roman" w:cs="Times New Roman"/>
                <w:sz w:val="24"/>
                <w:szCs w:val="24"/>
                <w:lang w:eastAsia="ru-RU"/>
              </w:rPr>
              <w:t>Hotărârea Guvernului</w:t>
            </w:r>
          </w:p>
        </w:tc>
      </w:tr>
      <w:tr w:rsidR="00EA775E" w:rsidRPr="004D2FF7" w14:paraId="1BF82079" w14:textId="77777777" w:rsidTr="00810280">
        <w:tc>
          <w:tcPr>
            <w:tcW w:w="2273" w:type="dxa"/>
            <w:tcBorders>
              <w:top w:val="single" w:sz="4" w:space="0" w:color="auto"/>
              <w:left w:val="nil"/>
              <w:bottom w:val="single" w:sz="4" w:space="0" w:color="auto"/>
              <w:right w:val="nil"/>
            </w:tcBorders>
            <w:shd w:val="clear" w:color="auto" w:fill="auto"/>
          </w:tcPr>
          <w:p w14:paraId="5D9729A0" w14:textId="77777777" w:rsidR="00EA775E" w:rsidRPr="004D2FF7" w:rsidRDefault="00EA775E" w:rsidP="00EA775E">
            <w:pPr>
              <w:spacing w:after="0" w:line="276" w:lineRule="auto"/>
              <w:jc w:val="both"/>
              <w:rPr>
                <w:rFonts w:ascii="Times New Roman" w:eastAsia="Times New Roman" w:hAnsi="Times New Roman" w:cs="Times New Roman"/>
                <w:b/>
                <w:sz w:val="24"/>
                <w:szCs w:val="24"/>
                <w:lang w:eastAsia="ru-RU"/>
              </w:rPr>
            </w:pPr>
            <w:r w:rsidRPr="004D2FF7">
              <w:rPr>
                <w:rFonts w:ascii="Times New Roman" w:eastAsia="Times New Roman" w:hAnsi="Times New Roman" w:cs="Times New Roman"/>
                <w:b/>
                <w:sz w:val="24"/>
                <w:szCs w:val="24"/>
                <w:lang w:eastAsia="ru-RU"/>
              </w:rPr>
              <w:t>HCC</w:t>
            </w:r>
          </w:p>
        </w:tc>
        <w:tc>
          <w:tcPr>
            <w:tcW w:w="7168" w:type="dxa"/>
            <w:tcBorders>
              <w:top w:val="single" w:sz="4" w:space="0" w:color="auto"/>
              <w:left w:val="nil"/>
              <w:bottom w:val="single" w:sz="4" w:space="0" w:color="auto"/>
              <w:right w:val="nil"/>
            </w:tcBorders>
            <w:shd w:val="clear" w:color="auto" w:fill="auto"/>
          </w:tcPr>
          <w:p w14:paraId="0B24C076" w14:textId="77777777" w:rsidR="00EA775E" w:rsidRPr="004D2FF7" w:rsidRDefault="00EA775E" w:rsidP="00EA775E">
            <w:pPr>
              <w:spacing w:after="0" w:line="276" w:lineRule="auto"/>
              <w:jc w:val="both"/>
              <w:rPr>
                <w:rFonts w:ascii="Times New Roman" w:eastAsia="Times New Roman" w:hAnsi="Times New Roman" w:cs="Times New Roman"/>
                <w:sz w:val="24"/>
                <w:szCs w:val="24"/>
                <w:lang w:eastAsia="ru-RU"/>
              </w:rPr>
            </w:pPr>
            <w:r w:rsidRPr="004D2FF7">
              <w:rPr>
                <w:rFonts w:ascii="Times New Roman" w:eastAsia="Times New Roman" w:hAnsi="Times New Roman" w:cs="Times New Roman"/>
                <w:sz w:val="24"/>
                <w:szCs w:val="24"/>
                <w:lang w:eastAsia="ru-RU"/>
              </w:rPr>
              <w:t>Hotărârea Curții de Conturi</w:t>
            </w:r>
          </w:p>
        </w:tc>
      </w:tr>
      <w:tr w:rsidR="00EA775E" w:rsidRPr="004D2FF7" w14:paraId="58EED240" w14:textId="77777777" w:rsidTr="00810280">
        <w:tc>
          <w:tcPr>
            <w:tcW w:w="2273" w:type="dxa"/>
            <w:tcBorders>
              <w:top w:val="single" w:sz="4" w:space="0" w:color="auto"/>
              <w:left w:val="nil"/>
              <w:bottom w:val="single" w:sz="4" w:space="0" w:color="auto"/>
              <w:right w:val="nil"/>
            </w:tcBorders>
            <w:shd w:val="clear" w:color="auto" w:fill="auto"/>
          </w:tcPr>
          <w:p w14:paraId="19027EE0" w14:textId="77777777" w:rsidR="00EA775E" w:rsidRPr="004D2FF7" w:rsidRDefault="00EA775E" w:rsidP="00EA775E">
            <w:pPr>
              <w:spacing w:after="0" w:line="276" w:lineRule="auto"/>
              <w:jc w:val="both"/>
              <w:rPr>
                <w:rFonts w:ascii="Times New Roman" w:eastAsia="Times New Roman" w:hAnsi="Times New Roman" w:cs="Times New Roman"/>
                <w:b/>
                <w:sz w:val="24"/>
                <w:szCs w:val="24"/>
                <w:lang w:eastAsia="ru-RU"/>
              </w:rPr>
            </w:pPr>
            <w:r w:rsidRPr="004D2FF7">
              <w:rPr>
                <w:rFonts w:ascii="Times New Roman" w:eastAsia="Times New Roman" w:hAnsi="Times New Roman" w:cs="Times New Roman"/>
                <w:b/>
                <w:sz w:val="24"/>
                <w:szCs w:val="24"/>
                <w:lang w:eastAsia="ru-RU"/>
              </w:rPr>
              <w:t>CIM</w:t>
            </w:r>
          </w:p>
        </w:tc>
        <w:tc>
          <w:tcPr>
            <w:tcW w:w="7168" w:type="dxa"/>
            <w:tcBorders>
              <w:top w:val="single" w:sz="4" w:space="0" w:color="auto"/>
              <w:left w:val="nil"/>
              <w:bottom w:val="single" w:sz="4" w:space="0" w:color="auto"/>
              <w:right w:val="nil"/>
            </w:tcBorders>
            <w:shd w:val="clear" w:color="auto" w:fill="auto"/>
          </w:tcPr>
          <w:p w14:paraId="0FCA24B4" w14:textId="77777777" w:rsidR="00EA775E" w:rsidRPr="004D2FF7" w:rsidRDefault="00EA775E" w:rsidP="00EA775E">
            <w:pPr>
              <w:spacing w:after="0" w:line="276" w:lineRule="auto"/>
              <w:jc w:val="both"/>
              <w:rPr>
                <w:rFonts w:ascii="Times New Roman" w:eastAsia="Times New Roman" w:hAnsi="Times New Roman" w:cs="Times New Roman"/>
                <w:sz w:val="24"/>
                <w:szCs w:val="24"/>
                <w:lang w:eastAsia="ru-RU"/>
              </w:rPr>
            </w:pPr>
            <w:r w:rsidRPr="004D2FF7">
              <w:rPr>
                <w:rFonts w:ascii="Times New Roman" w:eastAsia="Times New Roman" w:hAnsi="Times New Roman" w:cs="Times New Roman"/>
                <w:sz w:val="24"/>
                <w:szCs w:val="24"/>
                <w:lang w:eastAsia="ru-RU"/>
              </w:rPr>
              <w:t>Control intern managerial</w:t>
            </w:r>
          </w:p>
        </w:tc>
      </w:tr>
      <w:tr w:rsidR="00EA775E" w:rsidRPr="004D2FF7" w14:paraId="75A71EFA" w14:textId="77777777" w:rsidTr="00810280">
        <w:tc>
          <w:tcPr>
            <w:tcW w:w="2273" w:type="dxa"/>
            <w:tcBorders>
              <w:top w:val="single" w:sz="4" w:space="0" w:color="auto"/>
              <w:left w:val="nil"/>
              <w:bottom w:val="single" w:sz="4" w:space="0" w:color="auto"/>
              <w:right w:val="nil"/>
            </w:tcBorders>
            <w:shd w:val="clear" w:color="auto" w:fill="auto"/>
          </w:tcPr>
          <w:p w14:paraId="5D04B851" w14:textId="77777777" w:rsidR="00EA775E" w:rsidRPr="004D2FF7" w:rsidRDefault="00BD3258" w:rsidP="00EA775E">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SIA REODCP</w:t>
            </w:r>
          </w:p>
        </w:tc>
        <w:tc>
          <w:tcPr>
            <w:tcW w:w="7168" w:type="dxa"/>
            <w:tcBorders>
              <w:top w:val="single" w:sz="4" w:space="0" w:color="auto"/>
              <w:left w:val="nil"/>
              <w:bottom w:val="single" w:sz="4" w:space="0" w:color="auto"/>
              <w:right w:val="nil"/>
            </w:tcBorders>
            <w:shd w:val="clear" w:color="auto" w:fill="auto"/>
          </w:tcPr>
          <w:p w14:paraId="191FD7D1" w14:textId="45024934" w:rsidR="00EA775E" w:rsidRPr="004D2FF7" w:rsidRDefault="00BD3258" w:rsidP="00A63597">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S</w:t>
            </w:r>
            <w:r w:rsidRPr="004D2FF7">
              <w:rPr>
                <w:rFonts w:ascii="Times New Roman" w:hAnsi="Times New Roman" w:cs="Times New Roman"/>
                <w:sz w:val="24"/>
                <w:szCs w:val="24"/>
              </w:rPr>
              <w:t xml:space="preserve">istemul </w:t>
            </w:r>
            <w:r>
              <w:rPr>
                <w:rFonts w:ascii="Times New Roman" w:hAnsi="Times New Roman" w:cs="Times New Roman"/>
                <w:sz w:val="24"/>
                <w:szCs w:val="24"/>
              </w:rPr>
              <w:t>i</w:t>
            </w:r>
            <w:r w:rsidRPr="004D2FF7">
              <w:rPr>
                <w:rFonts w:ascii="Times New Roman" w:hAnsi="Times New Roman" w:cs="Times New Roman"/>
                <w:sz w:val="24"/>
                <w:szCs w:val="24"/>
              </w:rPr>
              <w:t>nformațional</w:t>
            </w:r>
            <w:r>
              <w:rPr>
                <w:rFonts w:ascii="Times New Roman" w:hAnsi="Times New Roman" w:cs="Times New Roman"/>
                <w:sz w:val="24"/>
                <w:szCs w:val="24"/>
              </w:rPr>
              <w:t xml:space="preserve"> automatizat</w:t>
            </w:r>
            <w:r w:rsidRPr="004D2FF7">
              <w:rPr>
                <w:rFonts w:ascii="Times New Roman" w:hAnsi="Times New Roman" w:cs="Times New Roman"/>
                <w:sz w:val="24"/>
                <w:szCs w:val="24"/>
              </w:rPr>
              <w:t xml:space="preserve"> „</w:t>
            </w:r>
            <w:r w:rsidRPr="004D2FF7">
              <w:rPr>
                <w:rFonts w:ascii="Times New Roman" w:hAnsi="Times New Roman" w:cs="Times New Roman"/>
                <w:color w:val="000000"/>
                <w:sz w:val="24"/>
                <w:szCs w:val="24"/>
                <w:lang w:val="ro-RO"/>
              </w:rPr>
              <w:t>Registrul de eviden</w:t>
            </w:r>
            <w:r w:rsidR="00A63597">
              <w:rPr>
                <w:rFonts w:ascii="Times New Roman" w:hAnsi="Times New Roman" w:cs="Times New Roman"/>
                <w:color w:val="000000"/>
                <w:sz w:val="24"/>
                <w:szCs w:val="24"/>
                <w:lang w:val="ro-RO"/>
              </w:rPr>
              <w:t>ț</w:t>
            </w:r>
            <w:r w:rsidRPr="004D2FF7">
              <w:rPr>
                <w:rFonts w:ascii="Times New Roman" w:hAnsi="Times New Roman" w:cs="Times New Roman"/>
                <w:color w:val="000000"/>
                <w:sz w:val="24"/>
                <w:szCs w:val="24"/>
                <w:lang w:val="ro-RO"/>
              </w:rPr>
              <w:t>ă al operatorilor de date cu caracter personal”</w:t>
            </w:r>
          </w:p>
        </w:tc>
      </w:tr>
    </w:tbl>
    <w:p w14:paraId="275C438D" w14:textId="77777777" w:rsidR="00015BF3" w:rsidRPr="004D2FF7" w:rsidRDefault="00015BF3" w:rsidP="008C1B8F">
      <w:pPr>
        <w:jc w:val="both"/>
        <w:rPr>
          <w:rFonts w:ascii="Times New Roman" w:hAnsi="Times New Roman" w:cs="Times New Roman"/>
          <w:sz w:val="24"/>
          <w:szCs w:val="24"/>
        </w:rPr>
      </w:pPr>
    </w:p>
    <w:p w14:paraId="19982CE6" w14:textId="77777777" w:rsidR="00F8665D" w:rsidRDefault="00F8665D" w:rsidP="008C1B8F">
      <w:pPr>
        <w:pStyle w:val="Heading1"/>
        <w:spacing w:after="120" w:line="276" w:lineRule="auto"/>
        <w:rPr>
          <w:rFonts w:ascii="Times New Roman" w:hAnsi="Times New Roman" w:cs="Times New Roman"/>
          <w:b/>
          <w:color w:val="auto"/>
          <w:sz w:val="24"/>
          <w:szCs w:val="24"/>
          <w:shd w:val="clear" w:color="auto" w:fill="FFFFFF"/>
        </w:rPr>
      </w:pPr>
      <w:bookmarkStart w:id="5" w:name="_Toc125470829"/>
      <w:bookmarkStart w:id="6" w:name="_Toc127032650"/>
      <w:bookmarkStart w:id="7" w:name="_Toc141374104"/>
    </w:p>
    <w:p w14:paraId="7DFF41A0" w14:textId="77777777" w:rsidR="00015BF3" w:rsidRPr="004D2FF7" w:rsidRDefault="00015BF3" w:rsidP="008C1B8F">
      <w:pPr>
        <w:pStyle w:val="Heading1"/>
        <w:spacing w:after="120" w:line="276" w:lineRule="auto"/>
        <w:rPr>
          <w:rFonts w:ascii="Times New Roman" w:hAnsi="Times New Roman" w:cs="Times New Roman"/>
          <w:b/>
          <w:color w:val="auto"/>
          <w:sz w:val="24"/>
          <w:szCs w:val="24"/>
          <w:shd w:val="clear" w:color="auto" w:fill="FFFFFF"/>
        </w:rPr>
      </w:pPr>
      <w:bookmarkStart w:id="8" w:name="_Toc157776078"/>
      <w:r w:rsidRPr="004D2FF7">
        <w:rPr>
          <w:rFonts w:ascii="Times New Roman" w:hAnsi="Times New Roman" w:cs="Times New Roman"/>
          <w:b/>
          <w:color w:val="auto"/>
          <w:sz w:val="24"/>
          <w:szCs w:val="24"/>
          <w:shd w:val="clear" w:color="auto" w:fill="FFFFFF"/>
        </w:rPr>
        <w:t>GLOSAR</w:t>
      </w:r>
      <w:bookmarkEnd w:id="5"/>
      <w:bookmarkEnd w:id="6"/>
      <w:bookmarkEnd w:id="7"/>
      <w:bookmarkEnd w:id="8"/>
    </w:p>
    <w:tbl>
      <w:tblPr>
        <w:tblW w:w="9351" w:type="dxa"/>
        <w:tblLook w:val="04A0" w:firstRow="1" w:lastRow="0" w:firstColumn="1" w:lastColumn="0" w:noHBand="0" w:noVBand="1"/>
      </w:tblPr>
      <w:tblGrid>
        <w:gridCol w:w="2405"/>
        <w:gridCol w:w="6946"/>
      </w:tblGrid>
      <w:tr w:rsidR="00015BF3" w:rsidRPr="004D2FF7" w14:paraId="4115569C" w14:textId="77777777" w:rsidTr="00810280">
        <w:tc>
          <w:tcPr>
            <w:tcW w:w="2405" w:type="dxa"/>
            <w:tcBorders>
              <w:top w:val="single" w:sz="4" w:space="0" w:color="auto"/>
              <w:bottom w:val="single" w:sz="4" w:space="0" w:color="auto"/>
            </w:tcBorders>
          </w:tcPr>
          <w:p w14:paraId="4485A1AB" w14:textId="03BF24F0" w:rsidR="00015BF3" w:rsidRPr="004D2FF7" w:rsidRDefault="00015BF3" w:rsidP="00A63597">
            <w:pPr>
              <w:spacing w:line="276" w:lineRule="auto"/>
              <w:jc w:val="both"/>
              <w:rPr>
                <w:rFonts w:ascii="Times New Roman" w:hAnsi="Times New Roman" w:cs="Times New Roman"/>
                <w:b/>
                <w:sz w:val="24"/>
                <w:szCs w:val="24"/>
              </w:rPr>
            </w:pPr>
            <w:r w:rsidRPr="004D2FF7">
              <w:rPr>
                <w:rFonts w:ascii="Times New Roman" w:hAnsi="Times New Roman" w:cs="Times New Roman"/>
                <w:b/>
                <w:sz w:val="24"/>
                <w:szCs w:val="24"/>
              </w:rPr>
              <w:t>Patrimoniu public</w:t>
            </w:r>
          </w:p>
        </w:tc>
        <w:tc>
          <w:tcPr>
            <w:tcW w:w="6946" w:type="dxa"/>
            <w:tcBorders>
              <w:top w:val="single" w:sz="4" w:space="0" w:color="auto"/>
              <w:bottom w:val="single" w:sz="4" w:space="0" w:color="auto"/>
            </w:tcBorders>
          </w:tcPr>
          <w:p w14:paraId="5597F16A" w14:textId="77777777" w:rsidR="00015BF3" w:rsidRPr="004D2FF7" w:rsidRDefault="007811A5" w:rsidP="008C1B8F">
            <w:pPr>
              <w:spacing w:line="276" w:lineRule="auto"/>
              <w:jc w:val="both"/>
              <w:rPr>
                <w:rFonts w:ascii="Times New Roman" w:hAnsi="Times New Roman" w:cs="Times New Roman"/>
                <w:sz w:val="24"/>
                <w:szCs w:val="24"/>
              </w:rPr>
            </w:pPr>
            <w:r w:rsidRPr="004D2FF7">
              <w:rPr>
                <w:rFonts w:ascii="Times New Roman" w:hAnsi="Times New Roman" w:cs="Times New Roman"/>
                <w:sz w:val="24"/>
                <w:szCs w:val="24"/>
              </w:rPr>
              <w:t>t</w:t>
            </w:r>
            <w:r w:rsidR="00015BF3" w:rsidRPr="004D2FF7">
              <w:rPr>
                <w:rFonts w:ascii="Times New Roman" w:hAnsi="Times New Roman" w:cs="Times New Roman"/>
                <w:sz w:val="24"/>
                <w:szCs w:val="24"/>
              </w:rPr>
              <w:t xml:space="preserve">otalitatea drepturilor și a obligațiilor cu valoare economică, precum și a bunurilor materiale </w:t>
            </w:r>
            <w:r w:rsidRPr="004D2FF7">
              <w:rPr>
                <w:rFonts w:ascii="Times New Roman" w:hAnsi="Times New Roman" w:cs="Times New Roman"/>
                <w:sz w:val="24"/>
                <w:szCs w:val="24"/>
              </w:rPr>
              <w:t>aferente</w:t>
            </w:r>
            <w:r w:rsidR="00015BF3" w:rsidRPr="004D2FF7">
              <w:rPr>
                <w:rFonts w:ascii="Times New Roman" w:hAnsi="Times New Roman" w:cs="Times New Roman"/>
                <w:sz w:val="24"/>
                <w:szCs w:val="24"/>
              </w:rPr>
              <w:t xml:space="preserve"> acest</w:t>
            </w:r>
            <w:r w:rsidRPr="004D2FF7">
              <w:rPr>
                <w:rFonts w:ascii="Times New Roman" w:hAnsi="Times New Roman" w:cs="Times New Roman"/>
                <w:sz w:val="24"/>
                <w:szCs w:val="24"/>
              </w:rPr>
              <w:t>or</w:t>
            </w:r>
            <w:r w:rsidR="00015BF3" w:rsidRPr="004D2FF7">
              <w:rPr>
                <w:rFonts w:ascii="Times New Roman" w:hAnsi="Times New Roman" w:cs="Times New Roman"/>
                <w:sz w:val="24"/>
                <w:szCs w:val="24"/>
              </w:rPr>
              <w:t xml:space="preserve"> drepturi, care aparțin unui subiect de drept public</w:t>
            </w:r>
          </w:p>
        </w:tc>
      </w:tr>
      <w:tr w:rsidR="00015BF3" w:rsidRPr="004D2FF7" w14:paraId="2503A63B" w14:textId="77777777" w:rsidTr="00810280">
        <w:tc>
          <w:tcPr>
            <w:tcW w:w="2405" w:type="dxa"/>
            <w:tcBorders>
              <w:top w:val="single" w:sz="4" w:space="0" w:color="auto"/>
              <w:bottom w:val="single" w:sz="4" w:space="0" w:color="auto"/>
            </w:tcBorders>
          </w:tcPr>
          <w:p w14:paraId="6AA8761C" w14:textId="77777777" w:rsidR="00015BF3" w:rsidRPr="004D2FF7" w:rsidRDefault="007811A5" w:rsidP="008C1B8F">
            <w:pPr>
              <w:spacing w:line="276" w:lineRule="auto"/>
              <w:jc w:val="both"/>
              <w:rPr>
                <w:rFonts w:ascii="Times New Roman" w:hAnsi="Times New Roman" w:cs="Times New Roman"/>
                <w:b/>
                <w:sz w:val="24"/>
                <w:szCs w:val="24"/>
              </w:rPr>
            </w:pPr>
            <w:r w:rsidRPr="004D2FF7">
              <w:rPr>
                <w:rFonts w:ascii="Times New Roman" w:hAnsi="Times New Roman" w:cs="Times New Roman"/>
                <w:b/>
                <w:sz w:val="24"/>
                <w:szCs w:val="24"/>
              </w:rPr>
              <w:t>A</w:t>
            </w:r>
            <w:r w:rsidR="00015BF3" w:rsidRPr="004D2FF7">
              <w:rPr>
                <w:rFonts w:ascii="Times New Roman" w:hAnsi="Times New Roman" w:cs="Times New Roman"/>
                <w:b/>
                <w:sz w:val="24"/>
                <w:szCs w:val="24"/>
              </w:rPr>
              <w:t>dministrare</w:t>
            </w:r>
            <w:r w:rsidR="007B314B">
              <w:rPr>
                <w:rFonts w:ascii="Times New Roman" w:hAnsi="Times New Roman" w:cs="Times New Roman"/>
                <w:b/>
                <w:sz w:val="24"/>
                <w:szCs w:val="24"/>
              </w:rPr>
              <w:t xml:space="preserve"> </w:t>
            </w:r>
            <w:r w:rsidR="00015BF3" w:rsidRPr="004D2FF7">
              <w:rPr>
                <w:rFonts w:ascii="Times New Roman" w:hAnsi="Times New Roman" w:cs="Times New Roman"/>
                <w:b/>
                <w:sz w:val="24"/>
                <w:szCs w:val="24"/>
              </w:rPr>
              <w:t>a patrimoniului public</w:t>
            </w:r>
          </w:p>
        </w:tc>
        <w:tc>
          <w:tcPr>
            <w:tcW w:w="6946" w:type="dxa"/>
            <w:tcBorders>
              <w:top w:val="single" w:sz="4" w:space="0" w:color="auto"/>
              <w:bottom w:val="single" w:sz="4" w:space="0" w:color="auto"/>
            </w:tcBorders>
          </w:tcPr>
          <w:p w14:paraId="5BC80F66" w14:textId="77777777" w:rsidR="00015BF3" w:rsidRPr="004D2FF7" w:rsidRDefault="00015BF3" w:rsidP="008C1B8F">
            <w:pPr>
              <w:spacing w:line="276" w:lineRule="auto"/>
              <w:jc w:val="both"/>
              <w:rPr>
                <w:rFonts w:ascii="Times New Roman" w:hAnsi="Times New Roman" w:cs="Times New Roman"/>
                <w:sz w:val="24"/>
                <w:szCs w:val="24"/>
              </w:rPr>
            </w:pPr>
            <w:r w:rsidRPr="004D2FF7">
              <w:rPr>
                <w:rFonts w:ascii="Times New Roman" w:hAnsi="Times New Roman" w:cs="Times New Roman"/>
                <w:sz w:val="24"/>
                <w:szCs w:val="24"/>
              </w:rPr>
              <w:t>realizarea activităților ce țin de exercitarea și modificarea drepturilor de proprietate, inclusiv prin ținerea evidenței acestuia, efectuarea monitoring-ului economico-financiar și asigurarea integrității și folosirii lui eficiente</w:t>
            </w:r>
          </w:p>
        </w:tc>
      </w:tr>
      <w:tr w:rsidR="00015BF3" w:rsidRPr="004D2FF7" w14:paraId="73155D46" w14:textId="77777777" w:rsidTr="00810280">
        <w:tc>
          <w:tcPr>
            <w:tcW w:w="2405" w:type="dxa"/>
            <w:tcBorders>
              <w:top w:val="single" w:sz="4" w:space="0" w:color="auto"/>
              <w:bottom w:val="single" w:sz="4" w:space="0" w:color="auto"/>
            </w:tcBorders>
          </w:tcPr>
          <w:p w14:paraId="180CE7AC" w14:textId="77777777" w:rsidR="00015BF3" w:rsidRPr="004D2FF7" w:rsidRDefault="00015BF3" w:rsidP="008C1B8F">
            <w:pPr>
              <w:spacing w:line="276" w:lineRule="auto"/>
              <w:jc w:val="both"/>
              <w:rPr>
                <w:rFonts w:ascii="Times New Roman" w:hAnsi="Times New Roman" w:cs="Times New Roman"/>
                <w:b/>
                <w:sz w:val="24"/>
                <w:szCs w:val="24"/>
              </w:rPr>
            </w:pPr>
            <w:r w:rsidRPr="004D2FF7">
              <w:rPr>
                <w:rFonts w:ascii="Times New Roman" w:hAnsi="Times New Roman" w:cs="Times New Roman"/>
                <w:b/>
                <w:sz w:val="24"/>
                <w:szCs w:val="24"/>
              </w:rPr>
              <w:t>Operator economic</w:t>
            </w:r>
          </w:p>
        </w:tc>
        <w:tc>
          <w:tcPr>
            <w:tcW w:w="6946" w:type="dxa"/>
            <w:tcBorders>
              <w:top w:val="single" w:sz="4" w:space="0" w:color="auto"/>
              <w:bottom w:val="single" w:sz="4" w:space="0" w:color="auto"/>
            </w:tcBorders>
          </w:tcPr>
          <w:p w14:paraId="42207AD7" w14:textId="77777777" w:rsidR="00015BF3" w:rsidRPr="004D2FF7" w:rsidRDefault="00061CFF" w:rsidP="008C1B8F">
            <w:pPr>
              <w:spacing w:line="276" w:lineRule="auto"/>
              <w:jc w:val="both"/>
              <w:rPr>
                <w:rFonts w:ascii="Times New Roman" w:hAnsi="Times New Roman" w:cs="Times New Roman"/>
                <w:sz w:val="24"/>
                <w:szCs w:val="24"/>
              </w:rPr>
            </w:pPr>
            <w:r w:rsidRPr="004D2FF7">
              <w:rPr>
                <w:rFonts w:ascii="Times New Roman" w:hAnsi="Times New Roman" w:cs="Times New Roman"/>
                <w:sz w:val="24"/>
                <w:szCs w:val="24"/>
              </w:rPr>
              <w:t>o</w:t>
            </w:r>
            <w:r w:rsidR="00015BF3" w:rsidRPr="004D2FF7">
              <w:rPr>
                <w:rFonts w:ascii="Times New Roman" w:hAnsi="Times New Roman" w:cs="Times New Roman"/>
                <w:sz w:val="24"/>
                <w:szCs w:val="24"/>
              </w:rPr>
              <w:t>rice persoană fizică sau juridică, orice entitate publică sau asociație a acestor persoane și/sau entități care furnizează bunuri, execută lucrări și/sau prestează servicii pe piață</w:t>
            </w:r>
          </w:p>
        </w:tc>
      </w:tr>
      <w:tr w:rsidR="00015BF3" w:rsidRPr="004D2FF7" w14:paraId="5E9E3D26" w14:textId="77777777" w:rsidTr="00810280">
        <w:tc>
          <w:tcPr>
            <w:tcW w:w="2405" w:type="dxa"/>
            <w:tcBorders>
              <w:top w:val="single" w:sz="4" w:space="0" w:color="auto"/>
              <w:bottom w:val="single" w:sz="4" w:space="0" w:color="auto"/>
            </w:tcBorders>
          </w:tcPr>
          <w:p w14:paraId="15A83819" w14:textId="77777777" w:rsidR="00015BF3" w:rsidRPr="004D2FF7" w:rsidRDefault="00015BF3" w:rsidP="008C1B8F">
            <w:pPr>
              <w:spacing w:line="276" w:lineRule="auto"/>
              <w:jc w:val="both"/>
              <w:rPr>
                <w:rFonts w:ascii="Times New Roman" w:hAnsi="Times New Roman" w:cs="Times New Roman"/>
                <w:b/>
                <w:sz w:val="24"/>
                <w:szCs w:val="24"/>
              </w:rPr>
            </w:pPr>
            <w:r w:rsidRPr="004D2FF7">
              <w:rPr>
                <w:rFonts w:ascii="Times New Roman" w:hAnsi="Times New Roman" w:cs="Times New Roman"/>
                <w:b/>
                <w:sz w:val="24"/>
                <w:szCs w:val="24"/>
              </w:rPr>
              <w:lastRenderedPageBreak/>
              <w:t>Procedură</w:t>
            </w:r>
          </w:p>
        </w:tc>
        <w:tc>
          <w:tcPr>
            <w:tcW w:w="6946" w:type="dxa"/>
            <w:tcBorders>
              <w:top w:val="single" w:sz="4" w:space="0" w:color="auto"/>
              <w:bottom w:val="single" w:sz="4" w:space="0" w:color="auto"/>
            </w:tcBorders>
          </w:tcPr>
          <w:p w14:paraId="717CDFAF" w14:textId="77777777" w:rsidR="00015BF3" w:rsidRPr="004D2FF7" w:rsidRDefault="007811A5" w:rsidP="008C1B8F">
            <w:pPr>
              <w:spacing w:line="276" w:lineRule="auto"/>
              <w:jc w:val="both"/>
              <w:rPr>
                <w:rFonts w:ascii="Times New Roman" w:hAnsi="Times New Roman" w:cs="Times New Roman"/>
                <w:sz w:val="24"/>
                <w:szCs w:val="24"/>
              </w:rPr>
            </w:pPr>
            <w:r w:rsidRPr="004D2FF7">
              <w:rPr>
                <w:rFonts w:ascii="Times New Roman" w:hAnsi="Times New Roman" w:cs="Times New Roman"/>
                <w:sz w:val="24"/>
                <w:szCs w:val="24"/>
              </w:rPr>
              <w:t>a</w:t>
            </w:r>
            <w:r w:rsidR="00015BF3" w:rsidRPr="004D2FF7">
              <w:rPr>
                <w:rFonts w:ascii="Times New Roman" w:hAnsi="Times New Roman" w:cs="Times New Roman"/>
                <w:sz w:val="24"/>
                <w:szCs w:val="24"/>
              </w:rPr>
              <w:t>nsamblu de reguli și/sau acțiuni întreprinse de către o persoană pentru a oferi probe precum că o acțiune legală sau normativă a fost realizată</w:t>
            </w:r>
          </w:p>
        </w:tc>
      </w:tr>
      <w:tr w:rsidR="00015BF3" w:rsidRPr="004D2FF7" w14:paraId="4B4274A6" w14:textId="77777777" w:rsidTr="00810280">
        <w:tc>
          <w:tcPr>
            <w:tcW w:w="2405" w:type="dxa"/>
            <w:tcBorders>
              <w:top w:val="single" w:sz="4" w:space="0" w:color="auto"/>
              <w:bottom w:val="single" w:sz="4" w:space="0" w:color="auto"/>
            </w:tcBorders>
          </w:tcPr>
          <w:p w14:paraId="779CCF51" w14:textId="77777777" w:rsidR="00015BF3" w:rsidRPr="004D2FF7" w:rsidRDefault="00015BF3" w:rsidP="008C1B8F">
            <w:pPr>
              <w:spacing w:line="276" w:lineRule="auto"/>
              <w:jc w:val="both"/>
              <w:rPr>
                <w:rFonts w:ascii="Times New Roman" w:hAnsi="Times New Roman" w:cs="Times New Roman"/>
                <w:b/>
                <w:sz w:val="24"/>
                <w:szCs w:val="24"/>
              </w:rPr>
            </w:pPr>
            <w:r w:rsidRPr="004D2FF7">
              <w:rPr>
                <w:rFonts w:ascii="Times New Roman" w:hAnsi="Times New Roman" w:cs="Times New Roman"/>
                <w:b/>
                <w:sz w:val="24"/>
                <w:szCs w:val="24"/>
              </w:rPr>
              <w:t>Proces</w:t>
            </w:r>
          </w:p>
        </w:tc>
        <w:tc>
          <w:tcPr>
            <w:tcW w:w="6946" w:type="dxa"/>
            <w:tcBorders>
              <w:top w:val="single" w:sz="4" w:space="0" w:color="auto"/>
              <w:bottom w:val="single" w:sz="4" w:space="0" w:color="auto"/>
            </w:tcBorders>
          </w:tcPr>
          <w:p w14:paraId="55CA4192" w14:textId="20A5E6B3" w:rsidR="00015BF3" w:rsidRPr="004D2FF7" w:rsidRDefault="00015BF3" w:rsidP="00A63597">
            <w:pPr>
              <w:spacing w:line="276" w:lineRule="auto"/>
              <w:jc w:val="both"/>
              <w:rPr>
                <w:rFonts w:ascii="Times New Roman" w:hAnsi="Times New Roman" w:cs="Times New Roman"/>
                <w:sz w:val="24"/>
                <w:szCs w:val="24"/>
              </w:rPr>
            </w:pPr>
            <w:r w:rsidRPr="004D2FF7">
              <w:rPr>
                <w:rFonts w:ascii="Times New Roman" w:hAnsi="Times New Roman" w:cs="Times New Roman"/>
                <w:sz w:val="24"/>
                <w:szCs w:val="24"/>
              </w:rPr>
              <w:t>succesiune de activități, logic structurată într-o anumită perioadă, care utilizează anumite resurse, adăugându-le valoare, oferă un produs și ating un obiectiv definit</w:t>
            </w:r>
          </w:p>
        </w:tc>
      </w:tr>
      <w:tr w:rsidR="00320522" w:rsidRPr="004D2FF7" w14:paraId="100C08DC" w14:textId="77777777" w:rsidTr="00810280">
        <w:tc>
          <w:tcPr>
            <w:tcW w:w="2405" w:type="dxa"/>
            <w:tcBorders>
              <w:top w:val="single" w:sz="4" w:space="0" w:color="auto"/>
              <w:bottom w:val="single" w:sz="4" w:space="0" w:color="auto"/>
            </w:tcBorders>
          </w:tcPr>
          <w:p w14:paraId="4F81F2C0" w14:textId="77777777" w:rsidR="00320522" w:rsidRPr="00320522" w:rsidRDefault="00320522" w:rsidP="00320522">
            <w:pPr>
              <w:spacing w:line="276" w:lineRule="auto"/>
              <w:jc w:val="both"/>
              <w:rPr>
                <w:rFonts w:ascii="Times New Roman" w:hAnsi="Times New Roman" w:cs="Times New Roman"/>
                <w:b/>
                <w:sz w:val="24"/>
                <w:szCs w:val="24"/>
                <w:lang w:val="ro-RO"/>
              </w:rPr>
            </w:pPr>
            <w:r w:rsidRPr="00320522">
              <w:rPr>
                <w:rFonts w:ascii="Times New Roman" w:hAnsi="Times New Roman" w:cs="Times New Roman"/>
                <w:b/>
                <w:sz w:val="24"/>
                <w:szCs w:val="24"/>
                <w:lang w:val="ro-RO"/>
              </w:rPr>
              <w:t>Monitoring economico-financiar</w:t>
            </w:r>
          </w:p>
        </w:tc>
        <w:tc>
          <w:tcPr>
            <w:tcW w:w="6946" w:type="dxa"/>
            <w:tcBorders>
              <w:top w:val="single" w:sz="4" w:space="0" w:color="auto"/>
              <w:bottom w:val="single" w:sz="4" w:space="0" w:color="auto"/>
            </w:tcBorders>
          </w:tcPr>
          <w:p w14:paraId="474A7F8C" w14:textId="0DD9C5C1" w:rsidR="00320522" w:rsidRPr="00E01E6B" w:rsidRDefault="00320522" w:rsidP="00A63597">
            <w:pPr>
              <w:spacing w:line="276" w:lineRule="auto"/>
              <w:jc w:val="both"/>
              <w:rPr>
                <w:rFonts w:ascii="Times New Roman" w:hAnsi="Times New Roman" w:cs="Times New Roman"/>
                <w:sz w:val="24"/>
                <w:szCs w:val="24"/>
                <w:lang w:val="ro-RO"/>
              </w:rPr>
            </w:pPr>
            <w:r w:rsidRPr="00E01E6B">
              <w:rPr>
                <w:rFonts w:ascii="Times New Roman" w:hAnsi="Times New Roman" w:cs="Times New Roman"/>
                <w:spacing w:val="8"/>
                <w:sz w:val="23"/>
                <w:szCs w:val="23"/>
                <w:shd w:val="clear" w:color="auto" w:fill="FFFFFF"/>
                <w:lang w:val="ro-RO"/>
              </w:rPr>
              <w:t>proces de selectare, prelucrare şi analiză a indicatorilor activității economico-financiare a entităților, în scopul consolidării disciplinei financiare și eficientizării utilizării patrimoniului public de către autoritățile publice responsabile de administrarea acestuia</w:t>
            </w:r>
          </w:p>
        </w:tc>
      </w:tr>
      <w:tr w:rsidR="00015BF3" w:rsidRPr="004D2FF7" w14:paraId="7FB9A887" w14:textId="77777777" w:rsidTr="00810280">
        <w:tc>
          <w:tcPr>
            <w:tcW w:w="2405" w:type="dxa"/>
            <w:tcBorders>
              <w:top w:val="single" w:sz="4" w:space="0" w:color="auto"/>
              <w:bottom w:val="single" w:sz="4" w:space="0" w:color="auto"/>
            </w:tcBorders>
          </w:tcPr>
          <w:p w14:paraId="38BCA216" w14:textId="77777777" w:rsidR="00015BF3" w:rsidRPr="004D2FF7" w:rsidRDefault="00015BF3" w:rsidP="008C1B8F">
            <w:pPr>
              <w:spacing w:line="276" w:lineRule="auto"/>
              <w:jc w:val="both"/>
              <w:rPr>
                <w:rFonts w:ascii="Times New Roman" w:hAnsi="Times New Roman" w:cs="Times New Roman"/>
                <w:b/>
                <w:sz w:val="24"/>
                <w:szCs w:val="24"/>
              </w:rPr>
            </w:pPr>
            <w:r w:rsidRPr="004D2FF7">
              <w:rPr>
                <w:rFonts w:ascii="Times New Roman" w:hAnsi="Times New Roman" w:cs="Times New Roman"/>
                <w:b/>
                <w:sz w:val="24"/>
                <w:szCs w:val="24"/>
              </w:rPr>
              <w:t>Sistem de control intern managerial</w:t>
            </w:r>
          </w:p>
        </w:tc>
        <w:tc>
          <w:tcPr>
            <w:tcW w:w="6946" w:type="dxa"/>
            <w:tcBorders>
              <w:top w:val="single" w:sz="4" w:space="0" w:color="auto"/>
              <w:bottom w:val="single" w:sz="4" w:space="0" w:color="auto"/>
            </w:tcBorders>
          </w:tcPr>
          <w:p w14:paraId="37A2E861" w14:textId="77777777" w:rsidR="00015BF3" w:rsidRPr="004D2FF7" w:rsidRDefault="007811A5" w:rsidP="008C1B8F">
            <w:pPr>
              <w:spacing w:line="276" w:lineRule="auto"/>
              <w:jc w:val="both"/>
              <w:rPr>
                <w:rFonts w:ascii="Times New Roman" w:hAnsi="Times New Roman" w:cs="Times New Roman"/>
                <w:sz w:val="24"/>
                <w:szCs w:val="24"/>
              </w:rPr>
            </w:pPr>
            <w:r w:rsidRPr="004D2FF7">
              <w:rPr>
                <w:rFonts w:ascii="Times New Roman" w:hAnsi="Times New Roman" w:cs="Times New Roman"/>
                <w:sz w:val="24"/>
                <w:szCs w:val="24"/>
              </w:rPr>
              <w:t>s</w:t>
            </w:r>
            <w:r w:rsidR="00015BF3" w:rsidRPr="004D2FF7">
              <w:rPr>
                <w:rFonts w:ascii="Times New Roman" w:hAnsi="Times New Roman" w:cs="Times New Roman"/>
                <w:sz w:val="24"/>
                <w:szCs w:val="24"/>
              </w:rPr>
              <w:t xml:space="preserve">istem organizat de managerul entității publice și </w:t>
            </w:r>
            <w:r w:rsidR="00061CFF" w:rsidRPr="004D2FF7">
              <w:rPr>
                <w:rFonts w:ascii="Times New Roman" w:hAnsi="Times New Roman" w:cs="Times New Roman"/>
                <w:sz w:val="24"/>
                <w:szCs w:val="24"/>
              </w:rPr>
              <w:t xml:space="preserve">de </w:t>
            </w:r>
            <w:r w:rsidR="00015BF3" w:rsidRPr="004D2FF7">
              <w:rPr>
                <w:rFonts w:ascii="Times New Roman" w:hAnsi="Times New Roman" w:cs="Times New Roman"/>
                <w:sz w:val="24"/>
                <w:szCs w:val="24"/>
              </w:rPr>
              <w:t>personalul acesteia</w:t>
            </w:r>
            <w:r w:rsidR="00061CFF" w:rsidRPr="004D2FF7">
              <w:rPr>
                <w:rFonts w:ascii="Times New Roman" w:hAnsi="Times New Roman" w:cs="Times New Roman"/>
                <w:sz w:val="24"/>
                <w:szCs w:val="24"/>
              </w:rPr>
              <w:t>,</w:t>
            </w:r>
            <w:r w:rsidR="00015BF3" w:rsidRPr="004D2FF7">
              <w:rPr>
                <w:rFonts w:ascii="Times New Roman" w:hAnsi="Times New Roman" w:cs="Times New Roman"/>
                <w:sz w:val="24"/>
                <w:szCs w:val="24"/>
              </w:rPr>
              <w:t xml:space="preserve"> în scopul asigurării bunei guvernări, care cuprinde totalitatea politicilor, procedurilor, regulilor interne, proceselor și activităților realizate în cadrul entității publice</w:t>
            </w:r>
            <w:r w:rsidR="00061CFF" w:rsidRPr="004D2FF7">
              <w:rPr>
                <w:rFonts w:ascii="Times New Roman" w:hAnsi="Times New Roman" w:cs="Times New Roman"/>
                <w:sz w:val="24"/>
                <w:szCs w:val="24"/>
              </w:rPr>
              <w:t>,</w:t>
            </w:r>
            <w:r w:rsidR="00015BF3" w:rsidRPr="004D2FF7">
              <w:rPr>
                <w:rFonts w:ascii="Times New Roman" w:hAnsi="Times New Roman" w:cs="Times New Roman"/>
                <w:sz w:val="24"/>
                <w:szCs w:val="24"/>
              </w:rPr>
              <w:t xml:space="preserve"> pentru a gestiona riscurile și a oferi o asigurare rezonabilă privind atingerea obiectivelor și rezultatelor planificate</w:t>
            </w:r>
          </w:p>
        </w:tc>
      </w:tr>
      <w:tr w:rsidR="00015BF3" w:rsidRPr="004D2FF7" w14:paraId="63CE8C18" w14:textId="77777777" w:rsidTr="00810280">
        <w:tc>
          <w:tcPr>
            <w:tcW w:w="2405" w:type="dxa"/>
            <w:tcBorders>
              <w:top w:val="single" w:sz="4" w:space="0" w:color="auto"/>
              <w:bottom w:val="single" w:sz="4" w:space="0" w:color="auto"/>
            </w:tcBorders>
          </w:tcPr>
          <w:p w14:paraId="10833456" w14:textId="77777777" w:rsidR="00015BF3" w:rsidRPr="004D2FF7" w:rsidRDefault="00015BF3" w:rsidP="008C1B8F">
            <w:pPr>
              <w:spacing w:line="276" w:lineRule="auto"/>
              <w:jc w:val="both"/>
              <w:rPr>
                <w:rFonts w:ascii="Times New Roman" w:hAnsi="Times New Roman" w:cs="Times New Roman"/>
                <w:b/>
                <w:sz w:val="24"/>
                <w:szCs w:val="24"/>
              </w:rPr>
            </w:pPr>
            <w:r w:rsidRPr="004D2FF7">
              <w:rPr>
                <w:rFonts w:ascii="Times New Roman" w:hAnsi="Times New Roman" w:cs="Times New Roman"/>
                <w:b/>
                <w:sz w:val="24"/>
                <w:szCs w:val="24"/>
              </w:rPr>
              <w:t>Activități de control</w:t>
            </w:r>
          </w:p>
        </w:tc>
        <w:tc>
          <w:tcPr>
            <w:tcW w:w="6946" w:type="dxa"/>
            <w:tcBorders>
              <w:top w:val="single" w:sz="4" w:space="0" w:color="auto"/>
              <w:bottom w:val="single" w:sz="4" w:space="0" w:color="auto"/>
            </w:tcBorders>
          </w:tcPr>
          <w:p w14:paraId="147B934C" w14:textId="77777777" w:rsidR="00015BF3" w:rsidRPr="004D2FF7" w:rsidRDefault="007811A5" w:rsidP="008C1B8F">
            <w:pPr>
              <w:spacing w:line="276" w:lineRule="auto"/>
              <w:jc w:val="both"/>
              <w:rPr>
                <w:rFonts w:ascii="Times New Roman" w:hAnsi="Times New Roman" w:cs="Times New Roman"/>
                <w:sz w:val="24"/>
                <w:szCs w:val="24"/>
              </w:rPr>
            </w:pPr>
            <w:r w:rsidRPr="004D2FF7">
              <w:rPr>
                <w:rFonts w:ascii="Times New Roman" w:hAnsi="Times New Roman" w:cs="Times New Roman"/>
                <w:sz w:val="24"/>
                <w:szCs w:val="24"/>
              </w:rPr>
              <w:t>p</w:t>
            </w:r>
            <w:r w:rsidR="00015BF3" w:rsidRPr="004D2FF7">
              <w:rPr>
                <w:rFonts w:ascii="Times New Roman" w:hAnsi="Times New Roman" w:cs="Times New Roman"/>
                <w:sz w:val="24"/>
                <w:szCs w:val="24"/>
              </w:rPr>
              <w:t>olitici și proceduri stabilite pentru abordarea riscurilor și atingerea obiectivelor entității publice</w:t>
            </w:r>
          </w:p>
        </w:tc>
      </w:tr>
    </w:tbl>
    <w:p w14:paraId="05E16B7C" w14:textId="77777777" w:rsidR="006049D5" w:rsidRPr="004D2FF7" w:rsidRDefault="00015BF3" w:rsidP="008C1B8F">
      <w:pPr>
        <w:spacing w:line="276" w:lineRule="auto"/>
        <w:jc w:val="both"/>
        <w:rPr>
          <w:rFonts w:ascii="Times New Roman" w:eastAsia="Times New Roman" w:hAnsi="Times New Roman" w:cs="Times New Roman"/>
          <w:i/>
          <w:sz w:val="20"/>
          <w:szCs w:val="20"/>
          <w:lang w:eastAsia="ro-MD"/>
        </w:rPr>
      </w:pPr>
      <w:r w:rsidRPr="004D2FF7">
        <w:rPr>
          <w:rFonts w:ascii="Times New Roman" w:eastAsia="Times New Roman" w:hAnsi="Times New Roman" w:cs="Times New Roman"/>
          <w:b/>
          <w:bCs/>
          <w:i/>
          <w:iCs/>
          <w:sz w:val="20"/>
          <w:szCs w:val="20"/>
          <w:lang w:eastAsia="ro-MD"/>
        </w:rPr>
        <w:t>Notă:</w:t>
      </w:r>
      <w:r w:rsidRPr="004D2FF7">
        <w:rPr>
          <w:rFonts w:ascii="Times New Roman" w:eastAsia="Times New Roman" w:hAnsi="Times New Roman" w:cs="Times New Roman"/>
          <w:bCs/>
          <w:i/>
          <w:iCs/>
          <w:sz w:val="20"/>
          <w:szCs w:val="20"/>
          <w:lang w:eastAsia="ro-MD"/>
        </w:rPr>
        <w:t xml:space="preserve"> </w:t>
      </w:r>
      <w:r w:rsidRPr="004D2FF7">
        <w:rPr>
          <w:rFonts w:ascii="Times New Roman" w:eastAsia="Times New Roman" w:hAnsi="Times New Roman" w:cs="Times New Roman"/>
          <w:i/>
          <w:sz w:val="20"/>
          <w:szCs w:val="20"/>
          <w:lang w:eastAsia="ro-MD"/>
        </w:rPr>
        <w:t>Glosarul de termeni prezentat are un rol informativ și nu produce efecte legale</w:t>
      </w:r>
      <w:r w:rsidR="007811A5" w:rsidRPr="004D2FF7">
        <w:rPr>
          <w:rFonts w:ascii="Times New Roman" w:eastAsia="Times New Roman" w:hAnsi="Times New Roman" w:cs="Times New Roman"/>
          <w:i/>
          <w:sz w:val="20"/>
          <w:szCs w:val="20"/>
          <w:lang w:eastAsia="ro-MD"/>
        </w:rPr>
        <w:t>.</w:t>
      </w:r>
    </w:p>
    <w:p w14:paraId="33E523B4" w14:textId="77777777" w:rsidR="006049D5" w:rsidRDefault="006049D5" w:rsidP="008C1B8F">
      <w:pPr>
        <w:spacing w:line="240" w:lineRule="auto"/>
        <w:rPr>
          <w:rFonts w:ascii="Times New Roman" w:eastAsiaTheme="majorEastAsia" w:hAnsi="Times New Roman" w:cs="Times New Roman"/>
          <w:b/>
          <w:color w:val="1F4E79" w:themeColor="accent1" w:themeShade="80"/>
          <w:sz w:val="20"/>
          <w:szCs w:val="20"/>
        </w:rPr>
      </w:pPr>
    </w:p>
    <w:p w14:paraId="789777F2" w14:textId="77777777" w:rsidR="00F8665D" w:rsidRPr="004D2FF7" w:rsidRDefault="00F8665D" w:rsidP="008C1B8F">
      <w:pPr>
        <w:spacing w:line="240" w:lineRule="auto"/>
        <w:rPr>
          <w:rFonts w:ascii="Times New Roman" w:eastAsiaTheme="majorEastAsia" w:hAnsi="Times New Roman" w:cs="Times New Roman"/>
          <w:b/>
          <w:color w:val="1F4E79" w:themeColor="accent1" w:themeShade="80"/>
          <w:sz w:val="20"/>
          <w:szCs w:val="20"/>
        </w:rPr>
      </w:pPr>
    </w:p>
    <w:p w14:paraId="65E16AA9" w14:textId="77777777" w:rsidR="00564B70" w:rsidRPr="004D2FF7" w:rsidRDefault="00C60E5C" w:rsidP="00ED5A00">
      <w:pPr>
        <w:pStyle w:val="Heading1"/>
        <w:numPr>
          <w:ilvl w:val="0"/>
          <w:numId w:val="11"/>
        </w:numPr>
        <w:tabs>
          <w:tab w:val="left" w:pos="3600"/>
          <w:tab w:val="left" w:pos="3780"/>
        </w:tabs>
        <w:spacing w:before="0" w:after="120" w:line="276" w:lineRule="auto"/>
        <w:ind w:left="142" w:firstLine="0"/>
        <w:rPr>
          <w:rFonts w:ascii="Times New Roman" w:eastAsiaTheme="minorHAnsi" w:hAnsi="Times New Roman" w:cs="Times New Roman"/>
          <w:b/>
          <w:color w:val="auto"/>
          <w:sz w:val="24"/>
          <w:szCs w:val="24"/>
          <w:shd w:val="clear" w:color="auto" w:fill="FFFFFF"/>
        </w:rPr>
      </w:pPr>
      <w:bookmarkStart w:id="9" w:name="_Toc141776925"/>
      <w:r w:rsidRPr="004D2FF7">
        <w:rPr>
          <w:rFonts w:ascii="Times New Roman" w:eastAsiaTheme="minorHAnsi" w:hAnsi="Times New Roman" w:cs="Times New Roman"/>
          <w:b/>
          <w:color w:val="auto"/>
          <w:sz w:val="24"/>
          <w:szCs w:val="24"/>
          <w:shd w:val="clear" w:color="auto" w:fill="FFFFFF"/>
        </w:rPr>
        <w:t xml:space="preserve"> </w:t>
      </w:r>
      <w:bookmarkStart w:id="10" w:name="_Toc157776079"/>
      <w:r w:rsidR="00564B70" w:rsidRPr="004D2FF7">
        <w:rPr>
          <w:rFonts w:ascii="Times New Roman" w:eastAsiaTheme="minorHAnsi" w:hAnsi="Times New Roman" w:cs="Times New Roman"/>
          <w:b/>
          <w:color w:val="auto"/>
          <w:sz w:val="24"/>
          <w:szCs w:val="24"/>
          <w:shd w:val="clear" w:color="auto" w:fill="FFFFFF"/>
        </w:rPr>
        <w:t>SINTEZA</w:t>
      </w:r>
      <w:bookmarkEnd w:id="9"/>
      <w:bookmarkEnd w:id="10"/>
    </w:p>
    <w:p w14:paraId="13C5B707" w14:textId="1EE00D23" w:rsidR="00564B70" w:rsidRPr="004D2FF7" w:rsidRDefault="00232FD3" w:rsidP="007C271A">
      <w:pPr>
        <w:spacing w:after="120" w:line="276" w:lineRule="auto"/>
        <w:jc w:val="both"/>
        <w:rPr>
          <w:rFonts w:ascii="Times New Roman" w:hAnsi="Times New Roman" w:cs="Times New Roman"/>
          <w:sz w:val="24"/>
          <w:szCs w:val="24"/>
        </w:rPr>
      </w:pPr>
      <w:r w:rsidRPr="004D2FF7">
        <w:rPr>
          <w:rFonts w:ascii="Times New Roman" w:eastAsia="Times New Roman" w:hAnsi="Times New Roman" w:cs="Times New Roman"/>
          <w:sz w:val="24"/>
          <w:szCs w:val="24"/>
        </w:rPr>
        <w:t>Centrul Național pentru Protecția Datelor cu Caracter Personal</w:t>
      </w:r>
      <w:r w:rsidR="00560D8E" w:rsidRPr="004D2FF7">
        <w:rPr>
          <w:rFonts w:ascii="Times New Roman" w:eastAsia="Times New Roman" w:hAnsi="Times New Roman" w:cs="Times New Roman"/>
          <w:sz w:val="24"/>
          <w:szCs w:val="24"/>
        </w:rPr>
        <w:t xml:space="preserve"> (in continuare – CNPDCP)</w:t>
      </w:r>
      <w:r w:rsidRPr="004D2FF7">
        <w:rPr>
          <w:rFonts w:ascii="Times New Roman" w:eastAsia="Times New Roman" w:hAnsi="Times New Roman" w:cs="Times New Roman"/>
          <w:sz w:val="24"/>
          <w:szCs w:val="24"/>
        </w:rPr>
        <w:t xml:space="preserve"> este o autoritate publică autonomă, independentă </w:t>
      </w:r>
      <w:r w:rsidR="00477765" w:rsidRPr="004D2FF7">
        <w:rPr>
          <w:rFonts w:ascii="Times New Roman" w:eastAsia="Times New Roman" w:hAnsi="Times New Roman" w:cs="Times New Roman"/>
          <w:sz w:val="24"/>
          <w:szCs w:val="24"/>
        </w:rPr>
        <w:t>și</w:t>
      </w:r>
      <w:r w:rsidRPr="004D2FF7">
        <w:rPr>
          <w:rFonts w:ascii="Times New Roman" w:eastAsia="Times New Roman" w:hAnsi="Times New Roman" w:cs="Times New Roman"/>
          <w:sz w:val="24"/>
          <w:szCs w:val="24"/>
        </w:rPr>
        <w:t xml:space="preserve"> imparțială față de alte autorități publice, persoane fizice </w:t>
      </w:r>
      <w:r w:rsidR="00477765" w:rsidRPr="004D2FF7">
        <w:rPr>
          <w:rFonts w:ascii="Times New Roman" w:eastAsia="Times New Roman" w:hAnsi="Times New Roman" w:cs="Times New Roman"/>
          <w:sz w:val="24"/>
          <w:szCs w:val="24"/>
        </w:rPr>
        <w:t>și</w:t>
      </w:r>
      <w:r w:rsidRPr="004D2FF7">
        <w:rPr>
          <w:rFonts w:ascii="Times New Roman" w:eastAsia="Times New Roman" w:hAnsi="Times New Roman" w:cs="Times New Roman"/>
          <w:sz w:val="24"/>
          <w:szCs w:val="24"/>
        </w:rPr>
        <w:t xml:space="preserve"> juridice, care își exercită atribuțiile ce îi sunt date în competen</w:t>
      </w:r>
      <w:r w:rsidR="005059B5">
        <w:rPr>
          <w:rFonts w:ascii="Times New Roman" w:eastAsia="Times New Roman" w:hAnsi="Times New Roman" w:cs="Times New Roman"/>
          <w:sz w:val="24"/>
          <w:szCs w:val="24"/>
        </w:rPr>
        <w:t>ț</w:t>
      </w:r>
      <w:r w:rsidRPr="004D2FF7">
        <w:rPr>
          <w:rFonts w:ascii="Times New Roman" w:eastAsia="Times New Roman" w:hAnsi="Times New Roman" w:cs="Times New Roman"/>
          <w:sz w:val="24"/>
          <w:szCs w:val="24"/>
        </w:rPr>
        <w:t xml:space="preserve">ă prin </w:t>
      </w:r>
      <w:hyperlink r:id="rId12" w:history="1">
        <w:r w:rsidRPr="004D2FF7">
          <w:rPr>
            <w:rFonts w:ascii="Times New Roman" w:eastAsia="Times New Roman" w:hAnsi="Times New Roman" w:cs="Times New Roman"/>
            <w:sz w:val="24"/>
            <w:szCs w:val="24"/>
          </w:rPr>
          <w:t>Legea cu privire la protecția datelor cu caracter personal</w:t>
        </w:r>
      </w:hyperlink>
      <w:r w:rsidRPr="004D2FF7">
        <w:rPr>
          <w:rFonts w:ascii="Times New Roman" w:eastAsia="Times New Roman" w:hAnsi="Times New Roman" w:cs="Times New Roman"/>
          <w:bCs/>
          <w:sz w:val="24"/>
          <w:szCs w:val="24"/>
        </w:rPr>
        <w:t xml:space="preserve"> nr.133  din  08.07.2011</w:t>
      </w:r>
      <w:r w:rsidR="0097432A" w:rsidRPr="004D2FF7">
        <w:rPr>
          <w:rStyle w:val="FootnoteReference"/>
          <w:rFonts w:ascii="Times New Roman" w:eastAsia="Times New Roman" w:hAnsi="Times New Roman" w:cs="Times New Roman"/>
          <w:bCs/>
          <w:sz w:val="24"/>
          <w:szCs w:val="24"/>
        </w:rPr>
        <w:footnoteReference w:id="1"/>
      </w:r>
      <w:r w:rsidRPr="004D2FF7">
        <w:rPr>
          <w:rFonts w:ascii="Times New Roman" w:eastAsia="Times New Roman" w:hAnsi="Times New Roman" w:cs="Times New Roman"/>
          <w:sz w:val="24"/>
          <w:szCs w:val="24"/>
        </w:rPr>
        <w:t>.</w:t>
      </w:r>
      <w:r w:rsidR="00560D8E" w:rsidRPr="004D2FF7">
        <w:rPr>
          <w:rFonts w:ascii="Times New Roman" w:eastAsia="Times New Roman" w:hAnsi="Times New Roman" w:cs="Times New Roman"/>
          <w:sz w:val="24"/>
          <w:szCs w:val="24"/>
        </w:rPr>
        <w:t xml:space="preserve"> </w:t>
      </w:r>
      <w:r w:rsidR="00477765" w:rsidRPr="004D2FF7">
        <w:rPr>
          <w:rFonts w:ascii="Times New Roman" w:eastAsia="Times New Roman" w:hAnsi="Times New Roman" w:cs="Times New Roman"/>
          <w:sz w:val="24"/>
          <w:szCs w:val="24"/>
        </w:rPr>
        <w:t>CNPDCP</w:t>
      </w:r>
      <w:r w:rsidR="00477765" w:rsidRPr="004D2FF7">
        <w:rPr>
          <w:rFonts w:ascii="Times New Roman" w:eastAsia="Times New Roman" w:hAnsi="Times New Roman" w:cs="Times New Roman"/>
          <w:sz w:val="24"/>
          <w:szCs w:val="24"/>
          <w:lang w:val="ro-RO"/>
        </w:rPr>
        <w:t xml:space="preserve"> </w:t>
      </w:r>
      <w:r w:rsidR="00A6263C" w:rsidRPr="004D2FF7">
        <w:rPr>
          <w:rFonts w:ascii="Times New Roman" w:eastAsia="Times New Roman" w:hAnsi="Times New Roman" w:cs="Times New Roman"/>
          <w:sz w:val="24"/>
          <w:szCs w:val="24"/>
          <w:lang w:val="ro-RO"/>
        </w:rPr>
        <w:t xml:space="preserve">are drept obiectiv apărarea drepturilor </w:t>
      </w:r>
      <w:r w:rsidR="00477765" w:rsidRPr="004D2FF7">
        <w:rPr>
          <w:rFonts w:ascii="Times New Roman" w:eastAsia="Times New Roman" w:hAnsi="Times New Roman" w:cs="Times New Roman"/>
          <w:sz w:val="24"/>
          <w:szCs w:val="24"/>
          <w:lang w:val="ro-RO"/>
        </w:rPr>
        <w:t>și</w:t>
      </w:r>
      <w:r w:rsidR="00A6263C" w:rsidRPr="004D2FF7">
        <w:rPr>
          <w:rFonts w:ascii="Times New Roman" w:eastAsia="Times New Roman" w:hAnsi="Times New Roman" w:cs="Times New Roman"/>
          <w:sz w:val="24"/>
          <w:szCs w:val="24"/>
          <w:lang w:val="ro-RO"/>
        </w:rPr>
        <w:t xml:space="preserve"> </w:t>
      </w:r>
      <w:r w:rsidR="00477765" w:rsidRPr="004D2FF7">
        <w:rPr>
          <w:rFonts w:ascii="Times New Roman" w:eastAsia="Times New Roman" w:hAnsi="Times New Roman" w:cs="Times New Roman"/>
          <w:sz w:val="24"/>
          <w:szCs w:val="24"/>
          <w:lang w:val="ro-RO"/>
        </w:rPr>
        <w:t>libertăților</w:t>
      </w:r>
      <w:r w:rsidR="00A6263C" w:rsidRPr="004D2FF7">
        <w:rPr>
          <w:rFonts w:ascii="Times New Roman" w:eastAsia="Times New Roman" w:hAnsi="Times New Roman" w:cs="Times New Roman"/>
          <w:sz w:val="24"/>
          <w:szCs w:val="24"/>
          <w:lang w:val="ro-RO"/>
        </w:rPr>
        <w:t xml:space="preserve"> fundamentale ale persoanelor fizice, în special a dreptului la </w:t>
      </w:r>
      <w:r w:rsidR="00477765" w:rsidRPr="004D2FF7">
        <w:rPr>
          <w:rFonts w:ascii="Times New Roman" w:eastAsia="Times New Roman" w:hAnsi="Times New Roman" w:cs="Times New Roman"/>
          <w:sz w:val="24"/>
          <w:szCs w:val="24"/>
          <w:lang w:val="ro-RO"/>
        </w:rPr>
        <w:t>viață</w:t>
      </w:r>
      <w:r w:rsidR="00A6263C" w:rsidRPr="004D2FF7">
        <w:rPr>
          <w:rFonts w:ascii="Times New Roman" w:eastAsia="Times New Roman" w:hAnsi="Times New Roman" w:cs="Times New Roman"/>
          <w:sz w:val="24"/>
          <w:szCs w:val="24"/>
          <w:lang w:val="ro-RO"/>
        </w:rPr>
        <w:t xml:space="preserve"> privată în legătură cu prelucrarea </w:t>
      </w:r>
      <w:r w:rsidR="00477765" w:rsidRPr="004D2FF7">
        <w:rPr>
          <w:rFonts w:ascii="Times New Roman" w:eastAsia="Times New Roman" w:hAnsi="Times New Roman" w:cs="Times New Roman"/>
          <w:sz w:val="24"/>
          <w:szCs w:val="24"/>
          <w:lang w:val="ro-RO"/>
        </w:rPr>
        <w:t>și</w:t>
      </w:r>
      <w:r w:rsidR="00A6263C" w:rsidRPr="004D2FF7">
        <w:rPr>
          <w:rFonts w:ascii="Times New Roman" w:eastAsia="Times New Roman" w:hAnsi="Times New Roman" w:cs="Times New Roman"/>
          <w:sz w:val="24"/>
          <w:szCs w:val="24"/>
          <w:lang w:val="ro-RO"/>
        </w:rPr>
        <w:t xml:space="preserve"> transmiterea transfrontalieră a datelor cu caracter personal.</w:t>
      </w:r>
      <w:r w:rsidR="00477765" w:rsidRPr="004D2FF7">
        <w:rPr>
          <w:rFonts w:ascii="Times New Roman" w:eastAsia="Times New Roman" w:hAnsi="Times New Roman" w:cs="Times New Roman"/>
          <w:sz w:val="24"/>
          <w:szCs w:val="24"/>
          <w:lang w:val="ro-RO"/>
        </w:rPr>
        <w:t xml:space="preserve"> </w:t>
      </w:r>
      <w:r w:rsidR="00564B70" w:rsidRPr="004D2FF7">
        <w:rPr>
          <w:rFonts w:ascii="Times New Roman" w:hAnsi="Times New Roman" w:cs="Times New Roman"/>
          <w:sz w:val="24"/>
          <w:szCs w:val="24"/>
        </w:rPr>
        <w:t xml:space="preserve">În acest context, este important ca mijloacele bugetare alocate de la buget să acopere necesitățile instituției pentru sfera sa de competență, </w:t>
      </w:r>
      <w:r w:rsidR="005059B5">
        <w:rPr>
          <w:rFonts w:ascii="Times New Roman" w:hAnsi="Times New Roman" w:cs="Times New Roman"/>
          <w:sz w:val="24"/>
          <w:szCs w:val="24"/>
        </w:rPr>
        <w:t>inclusiv</w:t>
      </w:r>
      <w:r w:rsidR="00564B70" w:rsidRPr="004D2FF7">
        <w:rPr>
          <w:rFonts w:ascii="Times New Roman" w:hAnsi="Times New Roman" w:cs="Times New Roman"/>
          <w:sz w:val="24"/>
          <w:szCs w:val="24"/>
        </w:rPr>
        <w:t xml:space="preserve"> valorificarea acestora</w:t>
      </w:r>
      <w:r w:rsidR="005059B5">
        <w:rPr>
          <w:rFonts w:ascii="Times New Roman" w:hAnsi="Times New Roman" w:cs="Times New Roman"/>
          <w:sz w:val="24"/>
          <w:szCs w:val="24"/>
        </w:rPr>
        <w:t>,</w:t>
      </w:r>
      <w:r w:rsidR="00564B70" w:rsidRPr="004D2FF7">
        <w:rPr>
          <w:rFonts w:ascii="Times New Roman" w:hAnsi="Times New Roman" w:cs="Times New Roman"/>
          <w:sz w:val="24"/>
          <w:szCs w:val="24"/>
        </w:rPr>
        <w:t xml:space="preserve"> să fie bazat</w:t>
      </w:r>
      <w:r w:rsidR="005059B5">
        <w:rPr>
          <w:rFonts w:ascii="Times New Roman" w:hAnsi="Times New Roman" w:cs="Times New Roman"/>
          <w:sz w:val="24"/>
          <w:szCs w:val="24"/>
        </w:rPr>
        <w:t>e</w:t>
      </w:r>
      <w:r w:rsidR="00564B70" w:rsidRPr="004D2FF7">
        <w:rPr>
          <w:rFonts w:ascii="Times New Roman" w:hAnsi="Times New Roman" w:cs="Times New Roman"/>
          <w:sz w:val="24"/>
          <w:szCs w:val="24"/>
        </w:rPr>
        <w:t xml:space="preserve"> pe respectarea principiilor bunei guvernări. </w:t>
      </w:r>
      <w:r w:rsidR="000444D3" w:rsidRPr="004D2FF7">
        <w:rPr>
          <w:rFonts w:ascii="Times New Roman" w:hAnsi="Times New Roman" w:cs="Times New Roman"/>
          <w:sz w:val="24"/>
          <w:szCs w:val="24"/>
        </w:rPr>
        <w:t xml:space="preserve">Astfel, una dintre </w:t>
      </w:r>
      <w:r w:rsidR="001841F1" w:rsidRPr="004D2FF7">
        <w:rPr>
          <w:rFonts w:ascii="Times New Roman" w:hAnsi="Times New Roman" w:cs="Times New Roman"/>
          <w:sz w:val="24"/>
          <w:szCs w:val="24"/>
        </w:rPr>
        <w:t>funcțiile</w:t>
      </w:r>
      <w:r w:rsidR="000444D3" w:rsidRPr="004D2FF7">
        <w:rPr>
          <w:rFonts w:ascii="Times New Roman" w:hAnsi="Times New Roman" w:cs="Times New Roman"/>
          <w:sz w:val="24"/>
          <w:szCs w:val="24"/>
        </w:rPr>
        <w:t xml:space="preserve"> care revin conducerii </w:t>
      </w:r>
      <w:r w:rsidR="000444D3" w:rsidRPr="004D2FF7">
        <w:rPr>
          <w:rFonts w:ascii="Times New Roman" w:eastAsia="Times New Roman" w:hAnsi="Times New Roman" w:cs="Times New Roman"/>
          <w:sz w:val="24"/>
          <w:szCs w:val="24"/>
        </w:rPr>
        <w:t>CNPDCP</w:t>
      </w:r>
      <w:r w:rsidR="00DF6E55" w:rsidRPr="004D2FF7">
        <w:rPr>
          <w:rFonts w:ascii="Times New Roman" w:hAnsi="Times New Roman" w:cs="Times New Roman"/>
          <w:sz w:val="24"/>
          <w:szCs w:val="24"/>
        </w:rPr>
        <w:t xml:space="preserve"> conform</w:t>
      </w:r>
      <w:r w:rsidR="000444D3" w:rsidRPr="004D2FF7">
        <w:rPr>
          <w:rFonts w:ascii="Times New Roman" w:hAnsi="Times New Roman" w:cs="Times New Roman"/>
          <w:sz w:val="24"/>
          <w:szCs w:val="24"/>
        </w:rPr>
        <w:t xml:space="preserve"> </w:t>
      </w:r>
      <w:r w:rsidR="00DF6E55" w:rsidRPr="004D2FF7">
        <w:rPr>
          <w:rFonts w:ascii="Times New Roman" w:eastAsia="Times New Roman" w:hAnsi="Times New Roman" w:cs="Times New Roman"/>
          <w:bCs/>
          <w:sz w:val="24"/>
          <w:szCs w:val="24"/>
          <w:lang w:val="ro-RO"/>
        </w:rPr>
        <w:t>Regulamentului</w:t>
      </w:r>
      <w:r w:rsidR="005059B5">
        <w:rPr>
          <w:rFonts w:ascii="Times New Roman" w:eastAsia="Times New Roman" w:hAnsi="Times New Roman" w:cs="Times New Roman"/>
          <w:bCs/>
          <w:sz w:val="24"/>
          <w:szCs w:val="24"/>
          <w:lang w:val="ro-RO"/>
        </w:rPr>
        <w:t xml:space="preserve"> său de activitate</w:t>
      </w:r>
      <w:r w:rsidR="00DF6E55" w:rsidRPr="004D2FF7">
        <w:rPr>
          <w:rFonts w:ascii="Times New Roman" w:eastAsia="Times New Roman" w:hAnsi="Times New Roman" w:cs="Times New Roman"/>
          <w:bCs/>
          <w:sz w:val="24"/>
          <w:szCs w:val="24"/>
          <w:lang w:val="ro-RO"/>
        </w:rPr>
        <w:t>, aprobat prin</w:t>
      </w:r>
      <w:r w:rsidR="00DF6E55" w:rsidRPr="004D2FF7">
        <w:rPr>
          <w:rFonts w:ascii="Times New Roman" w:hAnsi="Times New Roman" w:cs="Times New Roman"/>
          <w:sz w:val="24"/>
          <w:szCs w:val="24"/>
        </w:rPr>
        <w:t xml:space="preserve"> </w:t>
      </w:r>
      <w:r w:rsidR="000444D3" w:rsidRPr="004D2FF7">
        <w:rPr>
          <w:rFonts w:ascii="Times New Roman" w:hAnsi="Times New Roman" w:cs="Times New Roman"/>
          <w:sz w:val="24"/>
          <w:szCs w:val="24"/>
        </w:rPr>
        <w:t>Legea</w:t>
      </w:r>
      <w:r w:rsidR="00610B0C" w:rsidRPr="004D2FF7">
        <w:rPr>
          <w:rFonts w:ascii="Times New Roman" w:eastAsia="Times New Roman" w:hAnsi="Times New Roman" w:cs="Times New Roman"/>
          <w:bCs/>
          <w:sz w:val="24"/>
          <w:szCs w:val="24"/>
          <w:lang w:val="ro-RO"/>
        </w:rPr>
        <w:t xml:space="preserve"> nr.182-XVI  din  10.07.2008</w:t>
      </w:r>
      <w:r w:rsidR="00610B0C" w:rsidRPr="004D2FF7">
        <w:rPr>
          <w:rStyle w:val="FootnoteReference"/>
          <w:rFonts w:ascii="Times New Roman" w:eastAsia="Times New Roman" w:hAnsi="Times New Roman" w:cs="Times New Roman"/>
          <w:bCs/>
          <w:sz w:val="24"/>
          <w:szCs w:val="24"/>
          <w:lang w:val="ro-RO"/>
        </w:rPr>
        <w:footnoteReference w:id="2"/>
      </w:r>
      <w:r w:rsidR="00564B70" w:rsidRPr="004D2FF7">
        <w:rPr>
          <w:rFonts w:ascii="Times New Roman" w:hAnsi="Times New Roman" w:cs="Times New Roman"/>
          <w:sz w:val="24"/>
          <w:szCs w:val="24"/>
        </w:rPr>
        <w:t xml:space="preserve">, constă în organizarea și implementarea sistemului de control intern managerial și răspunderea managerială pentru administrarea </w:t>
      </w:r>
      <w:r w:rsidR="001841F1" w:rsidRPr="004D2FF7">
        <w:rPr>
          <w:rFonts w:ascii="Times New Roman" w:hAnsi="Times New Roman" w:cs="Times New Roman"/>
          <w:sz w:val="24"/>
          <w:szCs w:val="24"/>
        </w:rPr>
        <w:t>alocațiilor bugetare ale</w:t>
      </w:r>
      <w:r w:rsidR="00564B70" w:rsidRPr="004D2FF7">
        <w:rPr>
          <w:rFonts w:ascii="Times New Roman" w:hAnsi="Times New Roman" w:cs="Times New Roman"/>
          <w:sz w:val="24"/>
          <w:szCs w:val="24"/>
        </w:rPr>
        <w:t xml:space="preserve"> instituției și a patrimoniului public </w:t>
      </w:r>
      <w:r w:rsidR="001841F1" w:rsidRPr="004D2FF7">
        <w:rPr>
          <w:rFonts w:ascii="Times New Roman" w:hAnsi="Times New Roman" w:cs="Times New Roman"/>
          <w:sz w:val="24"/>
          <w:szCs w:val="24"/>
        </w:rPr>
        <w:t>aflat în</w:t>
      </w:r>
      <w:r w:rsidR="00564B70" w:rsidRPr="004D2FF7">
        <w:rPr>
          <w:rFonts w:ascii="Times New Roman" w:hAnsi="Times New Roman" w:cs="Times New Roman"/>
          <w:sz w:val="24"/>
          <w:szCs w:val="24"/>
        </w:rPr>
        <w:t xml:space="preserve"> gestiune.</w:t>
      </w:r>
    </w:p>
    <w:p w14:paraId="230B5505" w14:textId="1464B875" w:rsidR="00564B70" w:rsidRPr="004D2FF7" w:rsidRDefault="00564B70" w:rsidP="00D44EA4">
      <w:pPr>
        <w:spacing w:after="120" w:line="276" w:lineRule="auto"/>
        <w:jc w:val="both"/>
        <w:rPr>
          <w:rFonts w:ascii="Times New Roman" w:hAnsi="Times New Roman" w:cs="Times New Roman"/>
          <w:sz w:val="24"/>
          <w:szCs w:val="24"/>
        </w:rPr>
      </w:pPr>
      <w:r w:rsidRPr="004D2FF7">
        <w:rPr>
          <w:rFonts w:ascii="Times New Roman" w:eastAsia="Times New Roman" w:hAnsi="Times New Roman" w:cs="Times New Roman"/>
          <w:bCs/>
          <w:color w:val="000000" w:themeColor="text1"/>
          <w:sz w:val="24"/>
          <w:szCs w:val="24"/>
        </w:rPr>
        <w:t xml:space="preserve">La baza </w:t>
      </w:r>
      <w:r w:rsidRPr="004D2FF7">
        <w:rPr>
          <w:rFonts w:ascii="Times New Roman" w:hAnsi="Times New Roman" w:cs="Times New Roman"/>
          <w:sz w:val="24"/>
          <w:szCs w:val="24"/>
        </w:rPr>
        <w:t xml:space="preserve">selectării entității și tematicii pentru auditare au stat </w:t>
      </w:r>
      <w:r w:rsidRPr="004D2FF7">
        <w:rPr>
          <w:rFonts w:ascii="Times New Roman" w:eastAsia="Times New Roman" w:hAnsi="Times New Roman" w:cs="Times New Roman"/>
          <w:color w:val="000000" w:themeColor="text1"/>
          <w:sz w:val="24"/>
          <w:szCs w:val="24"/>
          <w:lang w:eastAsia="ro-MD"/>
        </w:rPr>
        <w:t xml:space="preserve">atât </w:t>
      </w:r>
      <w:r w:rsidRPr="004D2FF7">
        <w:rPr>
          <w:rFonts w:ascii="Times New Roman" w:hAnsi="Times New Roman" w:cs="Times New Roman"/>
          <w:color w:val="000000" w:themeColor="text1"/>
          <w:sz w:val="24"/>
          <w:szCs w:val="24"/>
        </w:rPr>
        <w:t xml:space="preserve">cele </w:t>
      </w:r>
      <w:r w:rsidRPr="004D2FF7">
        <w:rPr>
          <w:rFonts w:ascii="Times New Roman" w:hAnsi="Times New Roman" w:cs="Times New Roman"/>
          <w:sz w:val="24"/>
          <w:szCs w:val="24"/>
        </w:rPr>
        <w:t xml:space="preserve">menționate mai sus, pentru a verifica dacă procesele și activitățile instituite de </w:t>
      </w:r>
      <w:r w:rsidR="000444D3" w:rsidRPr="004D2FF7">
        <w:rPr>
          <w:rFonts w:ascii="Times New Roman" w:eastAsia="Times New Roman" w:hAnsi="Times New Roman" w:cs="Times New Roman"/>
          <w:sz w:val="24"/>
          <w:szCs w:val="24"/>
        </w:rPr>
        <w:t>CNPDCP</w:t>
      </w:r>
      <w:r w:rsidR="000444D3" w:rsidRPr="004D2FF7">
        <w:rPr>
          <w:rFonts w:ascii="Times New Roman" w:hAnsi="Times New Roman" w:cs="Times New Roman"/>
          <w:sz w:val="24"/>
          <w:szCs w:val="24"/>
        </w:rPr>
        <w:t xml:space="preserve"> </w:t>
      </w:r>
      <w:r w:rsidRPr="004D2FF7">
        <w:rPr>
          <w:rFonts w:ascii="Times New Roman" w:hAnsi="Times New Roman" w:cs="Times New Roman"/>
          <w:sz w:val="24"/>
          <w:szCs w:val="24"/>
        </w:rPr>
        <w:t xml:space="preserve">asigură conformitatea valorificării </w:t>
      </w:r>
      <w:r w:rsidRPr="004D2FF7">
        <w:rPr>
          <w:rFonts w:ascii="Times New Roman" w:hAnsi="Times New Roman" w:cs="Times New Roman"/>
          <w:sz w:val="24"/>
          <w:szCs w:val="24"/>
        </w:rPr>
        <w:lastRenderedPageBreak/>
        <w:t>alocațiilor</w:t>
      </w:r>
      <w:r w:rsidRPr="004D2FF7">
        <w:rPr>
          <w:rFonts w:ascii="Times New Roman" w:eastAsia="Times New Roman" w:hAnsi="Times New Roman" w:cs="Times New Roman"/>
          <w:bCs/>
          <w:color w:val="000000" w:themeColor="text1"/>
          <w:sz w:val="24"/>
          <w:szCs w:val="24"/>
        </w:rPr>
        <w:t xml:space="preserve"> bugetare, precum și a gestionării patrimoniului public, cât și aplicarea </w:t>
      </w:r>
      <w:r w:rsidRPr="004D2FF7">
        <w:rPr>
          <w:rFonts w:ascii="Times New Roman" w:hAnsi="Times New Roman" w:cs="Times New Roman"/>
          <w:sz w:val="24"/>
          <w:szCs w:val="24"/>
        </w:rPr>
        <w:t>criteriului periodicității acoperirii cu activități de audit a autorităților publice (o dată la 3-5 ani).</w:t>
      </w:r>
    </w:p>
    <w:p w14:paraId="04C9739E" w14:textId="0F094F9A" w:rsidR="00C944A3" w:rsidRPr="004D2FF7" w:rsidRDefault="00564B70" w:rsidP="008C1B8F">
      <w:pPr>
        <w:spacing w:after="80" w:line="276" w:lineRule="auto"/>
        <w:jc w:val="both"/>
        <w:rPr>
          <w:rFonts w:ascii="Times New Roman" w:eastAsia="Times New Roman" w:hAnsi="Times New Roman" w:cs="Times New Roman"/>
          <w:bCs/>
          <w:color w:val="000000" w:themeColor="text1"/>
          <w:sz w:val="24"/>
          <w:szCs w:val="24"/>
        </w:rPr>
      </w:pPr>
      <w:r w:rsidRPr="004D2FF7">
        <w:rPr>
          <w:rFonts w:ascii="Times New Roman" w:eastAsia="Times New Roman" w:hAnsi="Times New Roman" w:cs="Times New Roman"/>
          <w:bCs/>
          <w:color w:val="000000" w:themeColor="text1"/>
          <w:sz w:val="24"/>
          <w:szCs w:val="24"/>
        </w:rPr>
        <w:t>Astfel, Curtea de Conturi, în conformitate cu Programul activității de audit pe anul 2023</w:t>
      </w:r>
      <w:r w:rsidRPr="004D2FF7">
        <w:rPr>
          <w:rFonts w:ascii="Times New Roman" w:eastAsia="Times New Roman" w:hAnsi="Times New Roman" w:cs="Times New Roman"/>
          <w:bCs/>
          <w:color w:val="000000" w:themeColor="text1"/>
          <w:sz w:val="24"/>
          <w:szCs w:val="24"/>
          <w:vertAlign w:val="superscript"/>
        </w:rPr>
        <w:footnoteReference w:id="3"/>
      </w:r>
      <w:r w:rsidRPr="004D2FF7">
        <w:rPr>
          <w:rFonts w:ascii="Times New Roman" w:eastAsia="Times New Roman" w:hAnsi="Times New Roman" w:cs="Times New Roman"/>
          <w:bCs/>
          <w:color w:val="000000" w:themeColor="text1"/>
          <w:sz w:val="24"/>
          <w:szCs w:val="24"/>
        </w:rPr>
        <w:t xml:space="preserve">, </w:t>
      </w:r>
      <w:r w:rsidR="00C944A3" w:rsidRPr="004D2FF7">
        <w:rPr>
          <w:rFonts w:ascii="Times New Roman" w:hAnsi="Times New Roman" w:cs="Times New Roman"/>
          <w:sz w:val="24"/>
          <w:szCs w:val="24"/>
        </w:rPr>
        <w:t>a efectuat prezenta misiune de audit, care a avut drept scop evaluarea conformității asupra modului de formare, administrare și întrebuințare a resurselor financiare publice și</w:t>
      </w:r>
      <w:r w:rsidR="000B5C4C" w:rsidRPr="004D2FF7">
        <w:rPr>
          <w:rFonts w:ascii="Times New Roman" w:hAnsi="Times New Roman" w:cs="Times New Roman"/>
          <w:sz w:val="24"/>
          <w:szCs w:val="24"/>
        </w:rPr>
        <w:t xml:space="preserve"> a</w:t>
      </w:r>
      <w:r w:rsidR="00C944A3" w:rsidRPr="004D2FF7">
        <w:rPr>
          <w:rFonts w:ascii="Times New Roman" w:hAnsi="Times New Roman" w:cs="Times New Roman"/>
          <w:sz w:val="24"/>
          <w:szCs w:val="24"/>
        </w:rPr>
        <w:t xml:space="preserve"> patrimoniului public de către </w:t>
      </w:r>
      <w:r w:rsidR="00D44EA4" w:rsidRPr="004D2FF7">
        <w:rPr>
          <w:rFonts w:ascii="Times New Roman" w:eastAsia="Times New Roman" w:hAnsi="Times New Roman" w:cs="Times New Roman"/>
          <w:sz w:val="24"/>
          <w:szCs w:val="24"/>
        </w:rPr>
        <w:t>CNPDCP</w:t>
      </w:r>
      <w:r w:rsidR="00D44EA4" w:rsidRPr="004D2FF7">
        <w:rPr>
          <w:rFonts w:ascii="Times New Roman" w:hAnsi="Times New Roman" w:cs="Times New Roman"/>
          <w:sz w:val="24"/>
          <w:szCs w:val="24"/>
        </w:rPr>
        <w:t xml:space="preserve"> </w:t>
      </w:r>
      <w:r w:rsidR="00C944A3" w:rsidRPr="004D2FF7">
        <w:rPr>
          <w:rFonts w:ascii="Times New Roman" w:hAnsi="Times New Roman" w:cs="Times New Roman"/>
          <w:sz w:val="24"/>
          <w:szCs w:val="24"/>
        </w:rPr>
        <w:t>în perioada 2018-2022</w:t>
      </w:r>
      <w:r w:rsidR="002F18F5" w:rsidRPr="004D2FF7">
        <w:rPr>
          <w:rFonts w:ascii="Times New Roman" w:hAnsi="Times New Roman" w:cs="Times New Roman"/>
          <w:sz w:val="24"/>
          <w:szCs w:val="24"/>
        </w:rPr>
        <w:t>.</w:t>
      </w:r>
    </w:p>
    <w:p w14:paraId="3F651CDC" w14:textId="77777777" w:rsidR="00D44EA4" w:rsidRPr="004D2FF7" w:rsidRDefault="00564B70" w:rsidP="00D44EA4">
      <w:pPr>
        <w:spacing w:after="80" w:line="276" w:lineRule="auto"/>
        <w:jc w:val="both"/>
        <w:rPr>
          <w:rFonts w:ascii="Times New Roman" w:eastAsia="Times New Roman" w:hAnsi="Times New Roman" w:cs="Times New Roman"/>
          <w:bCs/>
          <w:color w:val="000000" w:themeColor="text1"/>
          <w:sz w:val="24"/>
          <w:szCs w:val="24"/>
        </w:rPr>
      </w:pPr>
      <w:r w:rsidRPr="004D2FF7">
        <w:rPr>
          <w:rFonts w:ascii="Times New Roman" w:eastAsia="Times New Roman" w:hAnsi="Times New Roman" w:cs="Times New Roman"/>
          <w:bCs/>
          <w:color w:val="000000" w:themeColor="text1"/>
          <w:sz w:val="24"/>
          <w:szCs w:val="24"/>
        </w:rPr>
        <w:t xml:space="preserve">Generalizând constatările și concluziile formulate în prezentul Raport, auditul public extern conchide că în cadrul </w:t>
      </w:r>
      <w:r w:rsidR="00D44EA4" w:rsidRPr="004D2FF7">
        <w:rPr>
          <w:rFonts w:ascii="Times New Roman" w:eastAsia="Times New Roman" w:hAnsi="Times New Roman" w:cs="Times New Roman"/>
          <w:sz w:val="24"/>
          <w:szCs w:val="24"/>
        </w:rPr>
        <w:t>CNPDCP</w:t>
      </w:r>
      <w:r w:rsidR="00D44EA4" w:rsidRPr="004D2FF7">
        <w:rPr>
          <w:rFonts w:ascii="Times New Roman" w:eastAsia="Times New Roman" w:hAnsi="Times New Roman" w:cs="Times New Roman"/>
          <w:bCs/>
          <w:color w:val="000000" w:themeColor="text1"/>
          <w:sz w:val="24"/>
          <w:szCs w:val="24"/>
        </w:rPr>
        <w:t xml:space="preserve"> </w:t>
      </w:r>
      <w:r w:rsidRPr="004D2FF7">
        <w:rPr>
          <w:rFonts w:ascii="Times New Roman" w:eastAsia="Times New Roman" w:hAnsi="Times New Roman" w:cs="Times New Roman"/>
          <w:bCs/>
          <w:color w:val="000000" w:themeColor="text1"/>
          <w:sz w:val="24"/>
          <w:szCs w:val="24"/>
        </w:rPr>
        <w:t xml:space="preserve">nu a fost </w:t>
      </w:r>
      <w:r w:rsidRPr="004D2FF7">
        <w:rPr>
          <w:rFonts w:ascii="Times New Roman" w:hAnsi="Times New Roman" w:cs="Times New Roman"/>
          <w:sz w:val="24"/>
          <w:szCs w:val="24"/>
        </w:rPr>
        <w:t>organizat și implementat un sistem de control intern managerial pe deplin funcțional</w:t>
      </w:r>
      <w:r w:rsidRPr="004D2FF7">
        <w:rPr>
          <w:rFonts w:ascii="Times New Roman" w:hAnsi="Times New Roman" w:cs="Times New Roman"/>
          <w:sz w:val="24"/>
          <w:szCs w:val="24"/>
          <w:lang w:bidi="en-US"/>
        </w:rPr>
        <w:t>,</w:t>
      </w:r>
      <w:r w:rsidRPr="004D2FF7">
        <w:rPr>
          <w:rFonts w:ascii="Times New Roman" w:eastAsia="Times New Roman" w:hAnsi="Times New Roman" w:cs="Times New Roman"/>
          <w:bCs/>
          <w:color w:val="000000" w:themeColor="text1"/>
          <w:sz w:val="24"/>
          <w:szCs w:val="24"/>
        </w:rPr>
        <w:t xml:space="preserve"> ceea ce a generat neconformități, deficiențe și aspecte problematice atât la valorificarea alocațiilor bugetare, cât </w:t>
      </w:r>
      <w:r w:rsidR="00FD787F" w:rsidRPr="004D2FF7">
        <w:rPr>
          <w:rFonts w:ascii="Times New Roman" w:eastAsia="Times New Roman" w:hAnsi="Times New Roman" w:cs="Times New Roman"/>
          <w:bCs/>
          <w:color w:val="000000" w:themeColor="text1"/>
          <w:sz w:val="24"/>
          <w:szCs w:val="24"/>
        </w:rPr>
        <w:t xml:space="preserve">și </w:t>
      </w:r>
      <w:r w:rsidRPr="004D2FF7">
        <w:rPr>
          <w:rFonts w:ascii="Times New Roman" w:eastAsia="Times New Roman" w:hAnsi="Times New Roman" w:cs="Times New Roman"/>
          <w:bCs/>
          <w:color w:val="000000" w:themeColor="text1"/>
          <w:sz w:val="24"/>
          <w:szCs w:val="24"/>
        </w:rPr>
        <w:t>la gestionarea patrimoniului public.</w:t>
      </w:r>
      <w:r w:rsidRPr="004D2FF7">
        <w:rPr>
          <w:rFonts w:ascii="Times New Roman" w:hAnsi="Times New Roman" w:cs="Times New Roman"/>
          <w:sz w:val="24"/>
          <w:szCs w:val="24"/>
          <w:lang w:bidi="en-US"/>
        </w:rPr>
        <w:t xml:space="preserve"> </w:t>
      </w:r>
    </w:p>
    <w:p w14:paraId="2511010F" w14:textId="733F70C1" w:rsidR="00F61A9B" w:rsidRPr="004D2FF7" w:rsidRDefault="00564B70" w:rsidP="00F61A9B">
      <w:pPr>
        <w:tabs>
          <w:tab w:val="left" w:pos="284"/>
          <w:tab w:val="left" w:pos="993"/>
        </w:tabs>
        <w:spacing w:after="120" w:line="276" w:lineRule="auto"/>
        <w:jc w:val="both"/>
        <w:rPr>
          <w:rFonts w:ascii="Times New Roman" w:eastAsia="Times New Roman" w:hAnsi="Times New Roman" w:cs="Times New Roman"/>
          <w:bCs/>
          <w:color w:val="000000" w:themeColor="text1"/>
          <w:sz w:val="24"/>
          <w:szCs w:val="24"/>
        </w:rPr>
      </w:pPr>
      <w:r w:rsidRPr="004D2FF7">
        <w:rPr>
          <w:rFonts w:ascii="Times New Roman" w:eastAsia="Times New Roman" w:hAnsi="Times New Roman" w:cs="Times New Roman"/>
          <w:bCs/>
          <w:color w:val="000000" w:themeColor="text1"/>
          <w:sz w:val="24"/>
          <w:szCs w:val="24"/>
        </w:rPr>
        <w:t>În contextul</w:t>
      </w:r>
      <w:r w:rsidR="00627E16" w:rsidRPr="004D2FF7">
        <w:rPr>
          <w:rFonts w:ascii="Times New Roman" w:eastAsia="Times New Roman" w:hAnsi="Times New Roman" w:cs="Times New Roman"/>
          <w:bCs/>
          <w:color w:val="000000" w:themeColor="text1"/>
          <w:sz w:val="24"/>
          <w:szCs w:val="24"/>
        </w:rPr>
        <w:t xml:space="preserve"> menționat</w:t>
      </w:r>
      <w:r w:rsidRPr="004D2FF7">
        <w:rPr>
          <w:rFonts w:ascii="Times New Roman" w:eastAsia="Times New Roman" w:hAnsi="Times New Roman" w:cs="Times New Roman"/>
          <w:bCs/>
          <w:color w:val="000000" w:themeColor="text1"/>
          <w:sz w:val="24"/>
          <w:szCs w:val="24"/>
        </w:rPr>
        <w:t>, expunem următoarele observații de audit</w:t>
      </w:r>
      <w:r w:rsidR="004C692D">
        <w:rPr>
          <w:rFonts w:ascii="Times New Roman" w:eastAsia="Times New Roman" w:hAnsi="Times New Roman" w:cs="Times New Roman"/>
          <w:bCs/>
          <w:color w:val="000000" w:themeColor="text1"/>
          <w:sz w:val="24"/>
          <w:szCs w:val="24"/>
        </w:rPr>
        <w:t>.</w:t>
      </w:r>
    </w:p>
    <w:p w14:paraId="18626DD3" w14:textId="77777777" w:rsidR="004B1A15" w:rsidRDefault="00A16340" w:rsidP="004B1A15">
      <w:pPr>
        <w:tabs>
          <w:tab w:val="left" w:pos="284"/>
          <w:tab w:val="left" w:pos="993"/>
        </w:tabs>
        <w:spacing w:after="120" w:line="276" w:lineRule="auto"/>
        <w:jc w:val="both"/>
        <w:rPr>
          <w:rFonts w:ascii="Times New Roman" w:eastAsia="Times New Roman" w:hAnsi="Times New Roman" w:cs="Times New Roman"/>
          <w:b/>
          <w:sz w:val="24"/>
          <w:szCs w:val="24"/>
          <w:lang w:eastAsia="ro-MD"/>
        </w:rPr>
      </w:pPr>
      <w:r>
        <w:rPr>
          <w:rFonts w:ascii="Times New Roman" w:eastAsia="Times New Roman" w:hAnsi="Times New Roman" w:cs="Times New Roman"/>
          <w:b/>
          <w:sz w:val="24"/>
          <w:szCs w:val="24"/>
          <w:lang w:eastAsia="ro-MD"/>
        </w:rPr>
        <w:t>Conformitatea e</w:t>
      </w:r>
      <w:r w:rsidR="004B1A15" w:rsidRPr="004D2FF7">
        <w:rPr>
          <w:rFonts w:ascii="Times New Roman" w:eastAsia="Times New Roman" w:hAnsi="Times New Roman" w:cs="Times New Roman"/>
          <w:b/>
          <w:sz w:val="24"/>
          <w:szCs w:val="24"/>
          <w:lang w:eastAsia="ro-MD"/>
        </w:rPr>
        <w:t>labor</w:t>
      </w:r>
      <w:r>
        <w:rPr>
          <w:rFonts w:ascii="Times New Roman" w:eastAsia="Times New Roman" w:hAnsi="Times New Roman" w:cs="Times New Roman"/>
          <w:b/>
          <w:sz w:val="24"/>
          <w:szCs w:val="24"/>
          <w:lang w:eastAsia="ro-MD"/>
        </w:rPr>
        <w:t>ării</w:t>
      </w:r>
      <w:r w:rsidR="004B1A15" w:rsidRPr="004D2FF7">
        <w:rPr>
          <w:rFonts w:ascii="Times New Roman" w:eastAsia="Times New Roman" w:hAnsi="Times New Roman" w:cs="Times New Roman"/>
          <w:b/>
          <w:sz w:val="24"/>
          <w:szCs w:val="24"/>
          <w:lang w:eastAsia="ro-MD"/>
        </w:rPr>
        <w:t xml:space="preserve"> anual</w:t>
      </w:r>
      <w:r>
        <w:rPr>
          <w:rFonts w:ascii="Times New Roman" w:eastAsia="Times New Roman" w:hAnsi="Times New Roman" w:cs="Times New Roman"/>
          <w:b/>
          <w:sz w:val="24"/>
          <w:szCs w:val="24"/>
          <w:lang w:eastAsia="ro-MD"/>
        </w:rPr>
        <w:t>e</w:t>
      </w:r>
      <w:r w:rsidR="004B1A15" w:rsidRPr="004D2FF7">
        <w:rPr>
          <w:rFonts w:ascii="Times New Roman" w:eastAsia="Times New Roman" w:hAnsi="Times New Roman" w:cs="Times New Roman"/>
          <w:b/>
          <w:sz w:val="24"/>
          <w:szCs w:val="24"/>
          <w:lang w:eastAsia="ro-MD"/>
        </w:rPr>
        <w:t xml:space="preserve"> a proiectului de buget al instituției și cadrul legal de activitate </w:t>
      </w:r>
    </w:p>
    <w:p w14:paraId="131BF52C" w14:textId="11260BDA" w:rsidR="004B1A15" w:rsidRPr="0037151F" w:rsidRDefault="000437C9" w:rsidP="004B1A15">
      <w:pPr>
        <w:pStyle w:val="ListParagraph"/>
        <w:numPr>
          <w:ilvl w:val="0"/>
          <w:numId w:val="38"/>
        </w:numPr>
        <w:tabs>
          <w:tab w:val="left" w:pos="284"/>
          <w:tab w:val="left" w:pos="709"/>
        </w:tabs>
        <w:spacing w:after="120" w:line="276" w:lineRule="auto"/>
        <w:ind w:left="0" w:firstLine="357"/>
        <w:jc w:val="both"/>
        <w:rPr>
          <w:rFonts w:ascii="Times New Roman" w:eastAsia="Times New Roman" w:hAnsi="Times New Roman" w:cs="Times New Roman"/>
          <w:b/>
          <w:sz w:val="24"/>
          <w:szCs w:val="24"/>
          <w:lang w:eastAsia="ro-MD"/>
        </w:rPr>
      </w:pPr>
      <w:r>
        <w:rPr>
          <w:rFonts w:ascii="Times New Roman" w:hAnsi="Times New Roman" w:cs="Times New Roman"/>
          <w:i/>
          <w:sz w:val="24"/>
          <w:szCs w:val="24"/>
        </w:rPr>
        <w:t>În</w:t>
      </w:r>
      <w:r w:rsidR="0026222E">
        <w:rPr>
          <w:rFonts w:ascii="Times New Roman" w:hAnsi="Times New Roman" w:cs="Times New Roman"/>
          <w:i/>
          <w:sz w:val="24"/>
          <w:szCs w:val="24"/>
        </w:rPr>
        <w:t xml:space="preserve"> perioada </w:t>
      </w:r>
      <w:r>
        <w:rPr>
          <w:rFonts w:ascii="Times New Roman" w:hAnsi="Times New Roman" w:cs="Times New Roman"/>
          <w:i/>
          <w:sz w:val="24"/>
          <w:szCs w:val="24"/>
        </w:rPr>
        <w:t>2018-2022 m</w:t>
      </w:r>
      <w:r w:rsidR="004B1A15" w:rsidRPr="0037151F">
        <w:rPr>
          <w:rFonts w:ascii="Times New Roman" w:hAnsi="Times New Roman" w:cs="Times New Roman"/>
          <w:i/>
          <w:sz w:val="24"/>
          <w:szCs w:val="24"/>
        </w:rPr>
        <w:t>ecanismul de elaborare și prezentare</w:t>
      </w:r>
      <w:r w:rsidR="0026222E">
        <w:rPr>
          <w:rFonts w:ascii="Times New Roman" w:hAnsi="Times New Roman" w:cs="Times New Roman"/>
          <w:i/>
          <w:sz w:val="24"/>
          <w:szCs w:val="24"/>
        </w:rPr>
        <w:t>,</w:t>
      </w:r>
      <w:r w:rsidR="004B1A15" w:rsidRPr="0037151F">
        <w:rPr>
          <w:rFonts w:ascii="Times New Roman" w:hAnsi="Times New Roman" w:cs="Times New Roman"/>
          <w:i/>
          <w:sz w:val="24"/>
          <w:szCs w:val="24"/>
        </w:rPr>
        <w:t xml:space="preserve"> spre aprobare, a proiectului de buget al CNPDCP nu </w:t>
      </w:r>
      <w:r>
        <w:rPr>
          <w:rFonts w:ascii="Times New Roman" w:hAnsi="Times New Roman" w:cs="Times New Roman"/>
          <w:i/>
          <w:sz w:val="24"/>
          <w:szCs w:val="24"/>
        </w:rPr>
        <w:t>a fost</w:t>
      </w:r>
      <w:r w:rsidR="004B1A15" w:rsidRPr="0037151F">
        <w:rPr>
          <w:rFonts w:ascii="Times New Roman" w:hAnsi="Times New Roman" w:cs="Times New Roman"/>
          <w:i/>
          <w:sz w:val="24"/>
          <w:szCs w:val="24"/>
        </w:rPr>
        <w:t xml:space="preserve"> aliniat la rigorile Legii nr.181/2014</w:t>
      </w:r>
      <w:r w:rsidR="004B1A15" w:rsidRPr="004D2FF7">
        <w:rPr>
          <w:rStyle w:val="FootnoteReference"/>
          <w:rFonts w:ascii="Times New Roman" w:hAnsi="Times New Roman" w:cs="Times New Roman"/>
          <w:i/>
        </w:rPr>
        <w:footnoteReference w:id="4"/>
      </w:r>
      <w:r w:rsidR="004B1A15" w:rsidRPr="0037151F">
        <w:rPr>
          <w:rFonts w:ascii="Times New Roman" w:hAnsi="Times New Roman" w:cs="Times New Roman"/>
          <w:i/>
          <w:sz w:val="24"/>
          <w:szCs w:val="24"/>
        </w:rPr>
        <w:t>, care statuează că instituția, având statut de instituție autonomă, își elaborează, potrivit necesităților</w:t>
      </w:r>
      <w:r w:rsidR="004C692D">
        <w:rPr>
          <w:rFonts w:ascii="Times New Roman" w:hAnsi="Times New Roman" w:cs="Times New Roman"/>
          <w:i/>
          <w:sz w:val="24"/>
          <w:szCs w:val="24"/>
        </w:rPr>
        <w:t>,</w:t>
      </w:r>
      <w:r w:rsidR="004B1A15" w:rsidRPr="0037151F">
        <w:rPr>
          <w:rFonts w:ascii="Times New Roman" w:hAnsi="Times New Roman" w:cs="Times New Roman"/>
          <w:i/>
          <w:sz w:val="24"/>
          <w:szCs w:val="24"/>
        </w:rPr>
        <w:t xml:space="preserve"> proiectul de buget, acesta fiind ulterior avizat de către Ministerul Finanțelor și prezentat Guvernului, spre aprobare, pentru includere în proiectul bug</w:t>
      </w:r>
      <w:r w:rsidR="004B1A15">
        <w:rPr>
          <w:rFonts w:ascii="Times New Roman" w:hAnsi="Times New Roman" w:cs="Times New Roman"/>
          <w:i/>
          <w:sz w:val="24"/>
          <w:szCs w:val="24"/>
        </w:rPr>
        <w:t>etului de stat (pct.4.1.1).</w:t>
      </w:r>
    </w:p>
    <w:p w14:paraId="32995155" w14:textId="77777777" w:rsidR="004B1A15" w:rsidRPr="004C692D" w:rsidRDefault="004B1A15" w:rsidP="004B1A15">
      <w:pPr>
        <w:pStyle w:val="ListParagraph"/>
        <w:numPr>
          <w:ilvl w:val="0"/>
          <w:numId w:val="38"/>
        </w:numPr>
        <w:tabs>
          <w:tab w:val="left" w:pos="284"/>
          <w:tab w:val="left" w:pos="709"/>
        </w:tabs>
        <w:spacing w:after="120" w:line="276" w:lineRule="auto"/>
        <w:ind w:left="0" w:firstLine="357"/>
        <w:jc w:val="both"/>
        <w:rPr>
          <w:rFonts w:ascii="Times New Roman" w:eastAsia="Times New Roman" w:hAnsi="Times New Roman" w:cs="Times New Roman"/>
          <w:b/>
          <w:sz w:val="24"/>
          <w:szCs w:val="24"/>
          <w:lang w:eastAsia="ro-MD"/>
        </w:rPr>
      </w:pPr>
      <w:r w:rsidRPr="0037151F">
        <w:rPr>
          <w:rFonts w:ascii="Times New Roman" w:hAnsi="Times New Roman" w:cs="Times New Roman"/>
          <w:i/>
          <w:sz w:val="24"/>
          <w:szCs w:val="24"/>
        </w:rPr>
        <w:t xml:space="preserve">Proiectele de </w:t>
      </w:r>
      <w:r w:rsidRPr="004C692D">
        <w:rPr>
          <w:rFonts w:ascii="Times New Roman" w:hAnsi="Times New Roman" w:cs="Times New Roman"/>
          <w:i/>
          <w:sz w:val="24"/>
          <w:szCs w:val="24"/>
        </w:rPr>
        <w:t xml:space="preserve">buget ale CNPDCP pentru perioada verificată au fost elaborate în limitele de cheltuieli stabilite de către Ministerul Finanțelor, unele din acestea nefiind corelate cu necesitățile reale ale instituției, fiind atestată o planificare cu surplusuri a bugetelor anuale (pct. 4.1.1). </w:t>
      </w:r>
    </w:p>
    <w:p w14:paraId="3ED1F422" w14:textId="7BA1756C" w:rsidR="004B1A15" w:rsidRPr="004C692D" w:rsidRDefault="004B1A15" w:rsidP="004B1A15">
      <w:pPr>
        <w:pStyle w:val="ListParagraph"/>
        <w:numPr>
          <w:ilvl w:val="0"/>
          <w:numId w:val="38"/>
        </w:numPr>
        <w:tabs>
          <w:tab w:val="left" w:pos="284"/>
          <w:tab w:val="left" w:pos="709"/>
        </w:tabs>
        <w:spacing w:after="120" w:line="276" w:lineRule="auto"/>
        <w:ind w:left="0" w:firstLine="360"/>
        <w:jc w:val="both"/>
        <w:rPr>
          <w:rFonts w:ascii="Times New Roman" w:eastAsia="Times New Roman" w:hAnsi="Times New Roman" w:cs="Times New Roman"/>
          <w:b/>
          <w:sz w:val="24"/>
          <w:szCs w:val="24"/>
          <w:lang w:eastAsia="ro-MD"/>
        </w:rPr>
      </w:pPr>
      <w:r w:rsidRPr="004C692D">
        <w:rPr>
          <w:rFonts w:ascii="Times New Roman" w:hAnsi="Times New Roman" w:cs="Times New Roman"/>
          <w:i/>
          <w:sz w:val="24"/>
          <w:szCs w:val="24"/>
        </w:rPr>
        <w:t>Setul indicatorilor de performanță, elaborat de CNPDCP, nu a fost prioritizat corespunzător bugetării în bază de program al instituției</w:t>
      </w:r>
      <w:r w:rsidRPr="0077171B">
        <w:rPr>
          <w:rFonts w:ascii="Times New Roman" w:hAnsi="Times New Roman" w:cs="Times New Roman"/>
          <w:sz w:val="24"/>
          <w:szCs w:val="24"/>
          <w:vertAlign w:val="superscript"/>
        </w:rPr>
        <w:footnoteReference w:id="5"/>
      </w:r>
      <w:r w:rsidRPr="004C692D">
        <w:rPr>
          <w:rFonts w:ascii="Times New Roman" w:hAnsi="Times New Roman" w:cs="Times New Roman"/>
          <w:i/>
          <w:sz w:val="24"/>
          <w:szCs w:val="24"/>
        </w:rPr>
        <w:t xml:space="preserve"> și nu oferă o viziune clară asupra activităților realizate. În anii 2018-2022 nu au fost executați de la 4 până la 10 indicatori de performanță  din 16 aprobați, inclusiv indicatorii „numărul controalelor efectuate de CNPDCP</w:t>
      </w:r>
      <w:r w:rsidR="00B27DDE" w:rsidRPr="004C692D">
        <w:rPr>
          <w:rFonts w:ascii="Times New Roman" w:hAnsi="Times New Roman" w:cs="Times New Roman"/>
          <w:i/>
          <w:sz w:val="24"/>
          <w:szCs w:val="24"/>
        </w:rPr>
        <w:t xml:space="preserve"> în anii 2021-2022</w:t>
      </w:r>
      <w:r w:rsidRPr="004C692D">
        <w:rPr>
          <w:rFonts w:ascii="Times New Roman" w:hAnsi="Times New Roman" w:cs="Times New Roman"/>
          <w:i/>
          <w:sz w:val="24"/>
          <w:szCs w:val="24"/>
        </w:rPr>
        <w:t>” și „numărul instrucțiunilor executate (linii directo</w:t>
      </w:r>
      <w:r w:rsidR="004C692D">
        <w:rPr>
          <w:rFonts w:ascii="Times New Roman" w:hAnsi="Times New Roman" w:cs="Times New Roman"/>
          <w:i/>
          <w:sz w:val="24"/>
          <w:szCs w:val="24"/>
        </w:rPr>
        <w:t>a</w:t>
      </w:r>
      <w:r w:rsidRPr="004C692D">
        <w:rPr>
          <w:rFonts w:ascii="Times New Roman" w:hAnsi="Times New Roman" w:cs="Times New Roman"/>
          <w:i/>
          <w:sz w:val="24"/>
          <w:szCs w:val="24"/>
        </w:rPr>
        <w:t>r</w:t>
      </w:r>
      <w:r w:rsidR="004C692D">
        <w:rPr>
          <w:rFonts w:ascii="Times New Roman" w:hAnsi="Times New Roman" w:cs="Times New Roman"/>
          <w:i/>
          <w:sz w:val="24"/>
          <w:szCs w:val="24"/>
        </w:rPr>
        <w:t>e</w:t>
      </w:r>
      <w:r w:rsidRPr="004C692D">
        <w:rPr>
          <w:rFonts w:ascii="Times New Roman" w:hAnsi="Times New Roman" w:cs="Times New Roman"/>
          <w:i/>
          <w:sz w:val="24"/>
          <w:szCs w:val="24"/>
        </w:rPr>
        <w:t>)”</w:t>
      </w:r>
      <w:r w:rsidR="004C692D">
        <w:rPr>
          <w:rFonts w:ascii="Times New Roman" w:hAnsi="Times New Roman" w:cs="Times New Roman"/>
          <w:i/>
          <w:sz w:val="24"/>
          <w:szCs w:val="24"/>
        </w:rPr>
        <w:t xml:space="preserve"> </w:t>
      </w:r>
      <w:r w:rsidRPr="004C692D">
        <w:rPr>
          <w:rFonts w:ascii="Times New Roman" w:hAnsi="Times New Roman" w:cs="Times New Roman"/>
          <w:i/>
          <w:sz w:val="24"/>
          <w:szCs w:val="24"/>
        </w:rPr>
        <w:t>(pct. 4.1.2).</w:t>
      </w:r>
    </w:p>
    <w:p w14:paraId="178F966B" w14:textId="7C229828" w:rsidR="004B1A15" w:rsidRPr="00E87F33" w:rsidRDefault="004B1A15" w:rsidP="00823746">
      <w:pPr>
        <w:pStyle w:val="ListParagraph"/>
        <w:numPr>
          <w:ilvl w:val="0"/>
          <w:numId w:val="38"/>
        </w:numPr>
        <w:tabs>
          <w:tab w:val="left" w:pos="284"/>
          <w:tab w:val="left" w:pos="709"/>
        </w:tabs>
        <w:spacing w:after="120" w:line="276" w:lineRule="auto"/>
        <w:ind w:left="0" w:firstLine="360"/>
        <w:jc w:val="both"/>
        <w:rPr>
          <w:rFonts w:ascii="Times New Roman" w:eastAsia="Times New Roman" w:hAnsi="Times New Roman" w:cs="Times New Roman"/>
          <w:b/>
          <w:sz w:val="24"/>
          <w:szCs w:val="24"/>
          <w:lang w:eastAsia="ro-MD"/>
        </w:rPr>
      </w:pPr>
      <w:r w:rsidRPr="004C692D">
        <w:rPr>
          <w:rFonts w:ascii="Times New Roman" w:hAnsi="Times New Roman" w:cs="Times New Roman"/>
          <w:i/>
          <w:color w:val="000000"/>
          <w:sz w:val="24"/>
          <w:szCs w:val="24"/>
          <w:lang w:val="ro-RO"/>
        </w:rPr>
        <w:t xml:space="preserve"> </w:t>
      </w:r>
      <w:r w:rsidRPr="004C692D">
        <w:rPr>
          <w:rFonts w:ascii="Times New Roman" w:hAnsi="Times New Roman" w:cs="Times New Roman"/>
          <w:bCs/>
          <w:i/>
          <w:iCs/>
          <w:sz w:val="24"/>
          <w:szCs w:val="24"/>
        </w:rPr>
        <w:t>În pofida faptului că bugetele de cheltuieli au fost utilizate,</w:t>
      </w:r>
      <w:r w:rsidRPr="004C692D">
        <w:rPr>
          <w:rFonts w:ascii="Times New Roman" w:eastAsia="Times New Roman" w:hAnsi="Times New Roman" w:cs="Times New Roman"/>
          <w:i/>
          <w:sz w:val="24"/>
          <w:szCs w:val="24"/>
        </w:rPr>
        <w:t xml:space="preserve"> CNPDCP nu a realizat </w:t>
      </w:r>
      <w:r w:rsidRPr="004C692D">
        <w:rPr>
          <w:rFonts w:ascii="Times New Roman" w:hAnsi="Times New Roman" w:cs="Times New Roman"/>
          <w:i/>
          <w:sz w:val="24"/>
          <w:szCs w:val="24"/>
        </w:rPr>
        <w:t>obiectivele din Planul național de acțiuni pentru implementarea Acordului de Asociere Republica Moldova-Uniunea Europeană</w:t>
      </w:r>
      <w:r w:rsidRPr="0077171B">
        <w:rPr>
          <w:rStyle w:val="FootnoteReference"/>
          <w:rFonts w:ascii="Times New Roman" w:hAnsi="Times New Roman" w:cs="Times New Roman"/>
          <w:sz w:val="24"/>
          <w:szCs w:val="24"/>
          <w:lang w:val="ro-RO"/>
        </w:rPr>
        <w:footnoteReference w:id="6"/>
      </w:r>
      <w:r w:rsidRPr="004C692D">
        <w:rPr>
          <w:rFonts w:ascii="Times New Roman" w:hAnsi="Times New Roman" w:cs="Times New Roman"/>
          <w:i/>
          <w:sz w:val="24"/>
          <w:szCs w:val="24"/>
        </w:rPr>
        <w:t xml:space="preserve">, prevăzute la capitolul </w:t>
      </w:r>
      <w:r w:rsidRPr="004C692D">
        <w:rPr>
          <w:rFonts w:ascii="Times New Roman" w:hAnsi="Times New Roman" w:cs="Times New Roman"/>
          <w:i/>
          <w:sz w:val="24"/>
          <w:szCs w:val="24"/>
          <w:lang w:val="ro-RO"/>
        </w:rPr>
        <w:t>„Protecția datelor cu caracter personal”</w:t>
      </w:r>
      <w:r w:rsidR="004C692D">
        <w:rPr>
          <w:rFonts w:ascii="Times New Roman" w:hAnsi="Times New Roman" w:cs="Times New Roman"/>
          <w:i/>
          <w:sz w:val="24"/>
          <w:szCs w:val="24"/>
          <w:lang w:val="ro-RO"/>
        </w:rPr>
        <w:t>,</w:t>
      </w:r>
      <w:r w:rsidRPr="004C692D">
        <w:rPr>
          <w:rFonts w:ascii="Times New Roman" w:hAnsi="Times New Roman" w:cs="Times New Roman"/>
          <w:i/>
          <w:sz w:val="24"/>
          <w:szCs w:val="24"/>
          <w:lang w:val="ro-RO"/>
        </w:rPr>
        <w:t xml:space="preserve"> </w:t>
      </w:r>
      <w:r w:rsidRPr="004C692D">
        <w:rPr>
          <w:rFonts w:ascii="Times New Roman" w:eastAsia="Times New Roman" w:hAnsi="Times New Roman" w:cs="Times New Roman"/>
          <w:bCs/>
          <w:i/>
          <w:sz w:val="24"/>
          <w:szCs w:val="24"/>
        </w:rPr>
        <w:t>în speță</w:t>
      </w:r>
      <w:r w:rsidRPr="004C692D">
        <w:rPr>
          <w:rFonts w:ascii="Times New Roman" w:hAnsi="Times New Roman" w:cs="Times New Roman"/>
          <w:i/>
          <w:sz w:val="24"/>
          <w:szCs w:val="24"/>
        </w:rPr>
        <w:t xml:space="preserve"> </w:t>
      </w:r>
      <w:r w:rsidRPr="004C692D">
        <w:rPr>
          <w:rFonts w:ascii="Times New Roman" w:hAnsi="Times New Roman" w:cs="Times New Roman"/>
          <w:i/>
          <w:sz w:val="24"/>
          <w:szCs w:val="24"/>
          <w:lang w:val="ro-RO"/>
        </w:rPr>
        <w:t xml:space="preserve">transpunerea în legislația națională </w:t>
      </w:r>
      <w:r w:rsidRPr="004C692D">
        <w:rPr>
          <w:rFonts w:ascii="Times New Roman" w:hAnsi="Times New Roman" w:cs="Times New Roman"/>
          <w:bCs/>
          <w:i/>
          <w:sz w:val="24"/>
          <w:szCs w:val="24"/>
          <w:lang w:val="ro-RO"/>
        </w:rPr>
        <w:t xml:space="preserve">privind protecția datelor </w:t>
      </w:r>
      <w:r w:rsidRPr="00E87F33">
        <w:rPr>
          <w:rFonts w:ascii="Times New Roman" w:hAnsi="Times New Roman" w:cs="Times New Roman"/>
          <w:bCs/>
          <w:i/>
          <w:sz w:val="24"/>
          <w:szCs w:val="24"/>
          <w:lang w:val="ro-RO"/>
        </w:rPr>
        <w:t xml:space="preserve">cu caracter personal a prevederilor </w:t>
      </w:r>
      <w:r w:rsidRPr="00E87F33">
        <w:rPr>
          <w:rFonts w:ascii="Times New Roman" w:eastAsia="Times New Roman" w:hAnsi="Times New Roman" w:cs="Times New Roman"/>
          <w:bCs/>
          <w:i/>
          <w:sz w:val="24"/>
          <w:szCs w:val="24"/>
          <w:lang w:val="ro-RO"/>
        </w:rPr>
        <w:t xml:space="preserve">Directivei (UE) 2016/680 și </w:t>
      </w:r>
      <w:r w:rsidRPr="00E87F33">
        <w:rPr>
          <w:rFonts w:ascii="Times New Roman" w:hAnsi="Times New Roman" w:cs="Times New Roman"/>
          <w:bCs/>
          <w:i/>
          <w:iCs/>
          <w:sz w:val="24"/>
          <w:szCs w:val="24"/>
          <w:lang w:val="ro-RO"/>
        </w:rPr>
        <w:t>Regulamentului (UE) 2016/679</w:t>
      </w:r>
      <w:r w:rsidRPr="00E87F33">
        <w:rPr>
          <w:rFonts w:ascii="Times New Roman" w:eastAsia="Times New Roman" w:hAnsi="Times New Roman" w:cs="Times New Roman"/>
          <w:i/>
          <w:sz w:val="24"/>
          <w:szCs w:val="24"/>
          <w:lang w:val="ro-RO"/>
        </w:rPr>
        <w:t xml:space="preserve"> din 27 aprilie 2016 a</w:t>
      </w:r>
      <w:r w:rsidR="004C692D">
        <w:rPr>
          <w:rFonts w:ascii="Times New Roman" w:eastAsia="Times New Roman" w:hAnsi="Times New Roman" w:cs="Times New Roman"/>
          <w:i/>
          <w:sz w:val="24"/>
          <w:szCs w:val="24"/>
          <w:lang w:val="ro-RO"/>
        </w:rPr>
        <w:t>l</w:t>
      </w:r>
      <w:r w:rsidRPr="00E87F33">
        <w:rPr>
          <w:rFonts w:ascii="Times New Roman" w:eastAsia="Times New Roman" w:hAnsi="Times New Roman" w:cs="Times New Roman"/>
          <w:i/>
          <w:sz w:val="24"/>
          <w:szCs w:val="24"/>
          <w:lang w:val="ro-RO"/>
        </w:rPr>
        <w:t xml:space="preserve"> Parlamentului European şi a</w:t>
      </w:r>
      <w:r w:rsidR="004C692D">
        <w:rPr>
          <w:rFonts w:ascii="Times New Roman" w:eastAsia="Times New Roman" w:hAnsi="Times New Roman" w:cs="Times New Roman"/>
          <w:i/>
          <w:sz w:val="24"/>
          <w:szCs w:val="24"/>
          <w:lang w:val="ro-RO"/>
        </w:rPr>
        <w:t>l</w:t>
      </w:r>
      <w:r w:rsidRPr="00E87F33">
        <w:rPr>
          <w:rFonts w:ascii="Times New Roman" w:eastAsia="Times New Roman" w:hAnsi="Times New Roman" w:cs="Times New Roman"/>
          <w:i/>
          <w:sz w:val="24"/>
          <w:szCs w:val="24"/>
          <w:lang w:val="ro-RO"/>
        </w:rPr>
        <w:t xml:space="preserve"> Consiliului</w:t>
      </w:r>
      <w:r w:rsidR="0026222E" w:rsidRPr="00E87F33">
        <w:rPr>
          <w:rFonts w:ascii="Times New Roman" w:eastAsia="Times New Roman" w:hAnsi="Times New Roman" w:cs="Times New Roman"/>
          <w:i/>
          <w:sz w:val="24"/>
          <w:szCs w:val="24"/>
          <w:lang w:val="ro-RO"/>
        </w:rPr>
        <w:t xml:space="preserve">. </w:t>
      </w:r>
      <w:r w:rsidR="0026222E" w:rsidRPr="00E87F33">
        <w:rPr>
          <w:rFonts w:ascii="Times New Roman" w:hAnsi="Times New Roman" w:cs="Times New Roman"/>
          <w:i/>
          <w:sz w:val="24"/>
          <w:szCs w:val="24"/>
          <w:lang w:val="ro-RO"/>
        </w:rPr>
        <w:t xml:space="preserve">În consecință, </w:t>
      </w:r>
      <w:r w:rsidR="004C692D">
        <w:rPr>
          <w:rFonts w:ascii="Times New Roman" w:eastAsia="Times New Roman" w:hAnsi="Times New Roman" w:cs="Times New Roman"/>
          <w:i/>
          <w:sz w:val="24"/>
          <w:szCs w:val="24"/>
          <w:lang w:val="ro-RO"/>
        </w:rPr>
        <w:t>nu au fost</w:t>
      </w:r>
      <w:r w:rsidR="0026222E" w:rsidRPr="00E87F33">
        <w:rPr>
          <w:rFonts w:ascii="Times New Roman" w:eastAsia="Times New Roman" w:hAnsi="Times New Roman" w:cs="Times New Roman"/>
          <w:i/>
          <w:sz w:val="24"/>
          <w:szCs w:val="24"/>
          <w:lang w:val="ro-RO"/>
        </w:rPr>
        <w:t xml:space="preserve"> promovate nici Instrucțiunile privind prelucrarea datelor cu caracter personal</w:t>
      </w:r>
      <w:r w:rsidRPr="00E87F33">
        <w:rPr>
          <w:rFonts w:ascii="Times New Roman" w:eastAsia="Times New Roman" w:hAnsi="Times New Roman" w:cs="Times New Roman"/>
          <w:i/>
          <w:sz w:val="24"/>
          <w:szCs w:val="24"/>
          <w:lang w:val="ro-RO"/>
        </w:rPr>
        <w:t xml:space="preserve"> </w:t>
      </w:r>
      <w:r w:rsidRPr="00E87F33">
        <w:rPr>
          <w:rFonts w:ascii="Times New Roman" w:hAnsi="Times New Roman" w:cs="Times New Roman"/>
          <w:i/>
          <w:sz w:val="24"/>
          <w:szCs w:val="24"/>
        </w:rPr>
        <w:t>(pct. 4.1.3)</w:t>
      </w:r>
      <w:r w:rsidRPr="00E87F33">
        <w:rPr>
          <w:rFonts w:ascii="Times New Roman" w:eastAsia="Times New Roman" w:hAnsi="Times New Roman" w:cs="Times New Roman"/>
          <w:i/>
          <w:sz w:val="24"/>
          <w:szCs w:val="24"/>
          <w:lang w:val="ro-RO"/>
        </w:rPr>
        <w:t>.</w:t>
      </w:r>
    </w:p>
    <w:p w14:paraId="7A8A4715" w14:textId="4AB5F5DA" w:rsidR="004B1A15" w:rsidRPr="0037151F" w:rsidRDefault="004B1A15" w:rsidP="004B1A15">
      <w:pPr>
        <w:pStyle w:val="ListParagraph"/>
        <w:numPr>
          <w:ilvl w:val="0"/>
          <w:numId w:val="38"/>
        </w:numPr>
        <w:tabs>
          <w:tab w:val="left" w:pos="284"/>
          <w:tab w:val="left" w:pos="709"/>
        </w:tabs>
        <w:spacing w:after="120" w:line="276" w:lineRule="auto"/>
        <w:ind w:left="0" w:firstLine="360"/>
        <w:jc w:val="both"/>
        <w:rPr>
          <w:rFonts w:ascii="Times New Roman" w:eastAsia="Times New Roman" w:hAnsi="Times New Roman" w:cs="Times New Roman"/>
          <w:b/>
          <w:sz w:val="24"/>
          <w:szCs w:val="24"/>
          <w:lang w:eastAsia="ro-MD"/>
        </w:rPr>
      </w:pPr>
      <w:r w:rsidRPr="0037151F">
        <w:rPr>
          <w:rFonts w:ascii="Times New Roman" w:hAnsi="Times New Roman" w:cs="Times New Roman"/>
          <w:i/>
          <w:sz w:val="24"/>
          <w:szCs w:val="24"/>
        </w:rPr>
        <w:t xml:space="preserve">CNPDCP timp de 5 ani a activat în lipsa unei Strategii în domeniul protecției datelor cu caracter personal, care ar </w:t>
      </w:r>
      <w:r w:rsidR="008106AF">
        <w:rPr>
          <w:rFonts w:ascii="Times New Roman" w:hAnsi="Times New Roman" w:cs="Times New Roman"/>
          <w:i/>
          <w:sz w:val="24"/>
          <w:szCs w:val="24"/>
        </w:rPr>
        <w:t xml:space="preserve">fi </w:t>
      </w:r>
      <w:r w:rsidRPr="0037151F">
        <w:rPr>
          <w:rFonts w:ascii="Times New Roman" w:hAnsi="Times New Roman" w:cs="Times New Roman"/>
          <w:i/>
          <w:sz w:val="24"/>
          <w:szCs w:val="24"/>
        </w:rPr>
        <w:t>asigura</w:t>
      </w:r>
      <w:r w:rsidR="008106AF">
        <w:rPr>
          <w:rFonts w:ascii="Times New Roman" w:hAnsi="Times New Roman" w:cs="Times New Roman"/>
          <w:i/>
          <w:sz w:val="24"/>
          <w:szCs w:val="24"/>
        </w:rPr>
        <w:t>t</w:t>
      </w:r>
      <w:r w:rsidRPr="0037151F">
        <w:rPr>
          <w:rFonts w:ascii="Times New Roman" w:hAnsi="Times New Roman" w:cs="Times New Roman"/>
          <w:i/>
          <w:sz w:val="24"/>
          <w:szCs w:val="24"/>
        </w:rPr>
        <w:t xml:space="preserve"> </w:t>
      </w:r>
      <w:r w:rsidRPr="0037151F">
        <w:rPr>
          <w:rFonts w:ascii="Times New Roman" w:eastAsia="Times New Roman" w:hAnsi="Times New Roman" w:cs="Times New Roman"/>
          <w:i/>
          <w:sz w:val="24"/>
          <w:szCs w:val="24"/>
        </w:rPr>
        <w:t>consolidarea cadrului juridic, instituțional</w:t>
      </w:r>
      <w:r w:rsidRPr="0037151F">
        <w:rPr>
          <w:rFonts w:ascii="Times New Roman" w:hAnsi="Times New Roman" w:cs="Times New Roman"/>
          <w:i/>
          <w:sz w:val="24"/>
          <w:szCs w:val="24"/>
        </w:rPr>
        <w:t xml:space="preserve"> și </w:t>
      </w:r>
      <w:r w:rsidRPr="0037151F">
        <w:rPr>
          <w:rFonts w:ascii="Times New Roman" w:hAnsi="Times New Roman" w:cs="Times New Roman"/>
          <w:i/>
          <w:color w:val="00000A"/>
          <w:sz w:val="24"/>
          <w:szCs w:val="24"/>
        </w:rPr>
        <w:t xml:space="preserve">social adecvat în scopul </w:t>
      </w:r>
      <w:r w:rsidR="00B33A6C">
        <w:rPr>
          <w:rFonts w:ascii="Times New Roman" w:hAnsi="Times New Roman" w:cs="Times New Roman"/>
          <w:i/>
          <w:color w:val="00000A"/>
          <w:sz w:val="24"/>
          <w:szCs w:val="24"/>
        </w:rPr>
        <w:t>garantării</w:t>
      </w:r>
      <w:r w:rsidRPr="0037151F">
        <w:rPr>
          <w:rFonts w:ascii="Times New Roman" w:hAnsi="Times New Roman" w:cs="Times New Roman"/>
          <w:i/>
          <w:color w:val="000000"/>
          <w:sz w:val="24"/>
          <w:szCs w:val="24"/>
        </w:rPr>
        <w:t xml:space="preserve"> </w:t>
      </w:r>
      <w:r w:rsidRPr="0037151F">
        <w:rPr>
          <w:rFonts w:ascii="Times New Roman" w:hAnsi="Times New Roman" w:cs="Times New Roman"/>
          <w:i/>
          <w:color w:val="00000A"/>
          <w:sz w:val="24"/>
          <w:szCs w:val="24"/>
        </w:rPr>
        <w:t xml:space="preserve">protecției drepturilor şi libertăților fundamentale ale persoanei fizice în ceea ce </w:t>
      </w:r>
      <w:r w:rsidRPr="0037151F">
        <w:rPr>
          <w:rFonts w:ascii="Times New Roman" w:hAnsi="Times New Roman" w:cs="Times New Roman"/>
          <w:i/>
          <w:color w:val="00000A"/>
          <w:sz w:val="24"/>
          <w:szCs w:val="24"/>
        </w:rPr>
        <w:lastRenderedPageBreak/>
        <w:t>privește prelucrarea datelor cu caracter personal</w:t>
      </w:r>
      <w:r w:rsidR="00B33A6C">
        <w:rPr>
          <w:rFonts w:ascii="Times New Roman" w:hAnsi="Times New Roman" w:cs="Times New Roman"/>
          <w:i/>
          <w:color w:val="00000A"/>
          <w:sz w:val="24"/>
          <w:szCs w:val="24"/>
        </w:rPr>
        <w:t>.</w:t>
      </w:r>
      <w:r w:rsidRPr="0037151F">
        <w:rPr>
          <w:rFonts w:ascii="Times New Roman" w:hAnsi="Times New Roman" w:cs="Times New Roman"/>
          <w:i/>
          <w:color w:val="00000A"/>
          <w:sz w:val="24"/>
          <w:szCs w:val="24"/>
        </w:rPr>
        <w:t xml:space="preserve"> </w:t>
      </w:r>
      <w:r w:rsidRPr="0037151F">
        <w:rPr>
          <w:rFonts w:ascii="Times New Roman" w:hAnsi="Times New Roman" w:cs="Times New Roman"/>
          <w:i/>
          <w:sz w:val="24"/>
          <w:szCs w:val="24"/>
          <w:lang w:val="ro-RO"/>
        </w:rPr>
        <w:t xml:space="preserve">Strategia </w:t>
      </w:r>
      <w:r w:rsidRPr="0037151F">
        <w:rPr>
          <w:rFonts w:ascii="Times New Roman" w:eastAsia="Times New Roman" w:hAnsi="Times New Roman" w:cs="Times New Roman"/>
          <w:bCs/>
          <w:i/>
          <w:sz w:val="24"/>
          <w:szCs w:val="24"/>
          <w:lang w:val="ro-RO"/>
        </w:rPr>
        <w:t xml:space="preserve">națională în </w:t>
      </w:r>
      <w:r w:rsidRPr="0037151F">
        <w:rPr>
          <w:rFonts w:ascii="Times New Roman" w:hAnsi="Times New Roman" w:cs="Times New Roman"/>
          <w:i/>
          <w:sz w:val="24"/>
          <w:szCs w:val="24"/>
          <w:lang w:val="ro-RO"/>
        </w:rPr>
        <w:t>domeniu</w:t>
      </w:r>
      <w:r w:rsidR="008106AF">
        <w:rPr>
          <w:rFonts w:ascii="Times New Roman" w:hAnsi="Times New Roman" w:cs="Times New Roman"/>
          <w:i/>
          <w:sz w:val="24"/>
          <w:szCs w:val="24"/>
          <w:lang w:val="ro-RO"/>
        </w:rPr>
        <w:t>l</w:t>
      </w:r>
      <w:r w:rsidRPr="0037151F">
        <w:rPr>
          <w:rFonts w:ascii="Times New Roman" w:hAnsi="Times New Roman" w:cs="Times New Roman"/>
          <w:i/>
          <w:sz w:val="24"/>
          <w:szCs w:val="24"/>
          <w:lang w:val="ro-RO"/>
        </w:rPr>
        <w:t xml:space="preserve"> protecției datelor cu caracter personal</w:t>
      </w:r>
      <w:r w:rsidRPr="0037151F">
        <w:rPr>
          <w:rFonts w:ascii="Times New Roman" w:eastAsia="Times New Roman" w:hAnsi="Times New Roman" w:cs="Times New Roman"/>
          <w:bCs/>
          <w:i/>
          <w:sz w:val="24"/>
          <w:szCs w:val="24"/>
          <w:lang w:val="ro-RO"/>
        </w:rPr>
        <w:t xml:space="preserve"> pentru anii 2013-2018</w:t>
      </w:r>
      <w:r w:rsidRPr="004D2FF7">
        <w:rPr>
          <w:rStyle w:val="FootnoteReference"/>
          <w:rFonts w:ascii="Times New Roman" w:eastAsia="Times New Roman" w:hAnsi="Times New Roman" w:cs="Times New Roman"/>
          <w:bCs/>
          <w:i/>
          <w:lang w:val="ro-RO"/>
        </w:rPr>
        <w:footnoteReference w:id="7"/>
      </w:r>
      <w:r w:rsidRPr="0037151F">
        <w:rPr>
          <w:rFonts w:ascii="Times New Roman" w:hAnsi="Times New Roman" w:cs="Times New Roman"/>
          <w:i/>
          <w:sz w:val="24"/>
          <w:szCs w:val="24"/>
          <w:lang w:val="ro-RO"/>
        </w:rPr>
        <w:t xml:space="preserve"> a expirat în anul 2018</w:t>
      </w:r>
      <w:r w:rsidRPr="0037151F">
        <w:rPr>
          <w:rFonts w:ascii="Times New Roman" w:hAnsi="Times New Roman" w:cs="Times New Roman"/>
          <w:i/>
          <w:sz w:val="24"/>
          <w:szCs w:val="24"/>
        </w:rPr>
        <w:t xml:space="preserve"> (pct. 4.1.3)</w:t>
      </w:r>
      <w:r w:rsidRPr="0037151F">
        <w:rPr>
          <w:rFonts w:ascii="Times New Roman" w:hAnsi="Times New Roman" w:cs="Times New Roman"/>
          <w:i/>
          <w:sz w:val="24"/>
          <w:szCs w:val="24"/>
          <w:lang w:val="ro-RO"/>
        </w:rPr>
        <w:t xml:space="preserve">. </w:t>
      </w:r>
    </w:p>
    <w:p w14:paraId="25D5E405" w14:textId="77777777" w:rsidR="004B1A15" w:rsidRPr="004D2FF7" w:rsidRDefault="004B1A15" w:rsidP="004B1A15">
      <w:pPr>
        <w:pStyle w:val="ListParagraph"/>
        <w:tabs>
          <w:tab w:val="left" w:pos="360"/>
        </w:tabs>
        <w:spacing w:after="80" w:line="276" w:lineRule="auto"/>
        <w:jc w:val="both"/>
        <w:rPr>
          <w:rFonts w:ascii="Times New Roman" w:eastAsia="Times New Roman" w:hAnsi="Times New Roman" w:cs="Times New Roman"/>
          <w:b/>
          <w:sz w:val="24"/>
          <w:szCs w:val="24"/>
          <w:lang w:eastAsia="ro-MD"/>
        </w:rPr>
      </w:pPr>
    </w:p>
    <w:p w14:paraId="1999632B" w14:textId="77777777" w:rsidR="004B1A15" w:rsidRPr="004D2FF7" w:rsidRDefault="004477F6" w:rsidP="004B1A15">
      <w:pPr>
        <w:tabs>
          <w:tab w:val="left" w:pos="360"/>
        </w:tabs>
        <w:spacing w:after="120" w:line="276" w:lineRule="auto"/>
        <w:jc w:val="both"/>
        <w:rPr>
          <w:rFonts w:ascii="Times New Roman" w:hAnsi="Times New Roman" w:cs="Times New Roman"/>
          <w:i/>
          <w:sz w:val="24"/>
          <w:szCs w:val="24"/>
        </w:rPr>
      </w:pPr>
      <w:r>
        <w:rPr>
          <w:rFonts w:ascii="Times New Roman" w:eastAsia="Times New Roman" w:hAnsi="Times New Roman" w:cs="Times New Roman"/>
          <w:b/>
          <w:sz w:val="24"/>
          <w:szCs w:val="24"/>
          <w:lang w:eastAsia="ro-MD"/>
        </w:rPr>
        <w:t>C</w:t>
      </w:r>
      <w:r w:rsidR="004B1A15" w:rsidRPr="004D2FF7">
        <w:rPr>
          <w:rFonts w:ascii="Times New Roman" w:eastAsia="Times New Roman" w:hAnsi="Times New Roman" w:cs="Times New Roman"/>
          <w:b/>
          <w:sz w:val="24"/>
          <w:szCs w:val="24"/>
          <w:lang w:eastAsia="ro-MD"/>
        </w:rPr>
        <w:t>onformitatea valorificării mijloacelor bugetare</w:t>
      </w:r>
    </w:p>
    <w:p w14:paraId="2C7E29CF" w14:textId="28DF5E92" w:rsidR="004B1A15" w:rsidRPr="00B33A6C" w:rsidRDefault="004B1A15" w:rsidP="0077171B">
      <w:pPr>
        <w:pStyle w:val="ListParagraph"/>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color w:val="000000" w:themeColor="text1"/>
          <w:sz w:val="24"/>
          <w:szCs w:val="24"/>
        </w:rPr>
      </w:pPr>
      <w:r w:rsidRPr="00B33A6C">
        <w:rPr>
          <w:rFonts w:ascii="Times New Roman" w:eastAsia="Times New Roman" w:hAnsi="Times New Roman" w:cs="Times New Roman"/>
          <w:i/>
          <w:noProof/>
          <w:sz w:val="24"/>
          <w:szCs w:val="24"/>
          <w:lang w:val="ro-RO"/>
        </w:rPr>
        <w:t xml:space="preserve">În </w:t>
      </w:r>
      <w:r w:rsidRPr="00B33A6C">
        <w:rPr>
          <w:rFonts w:ascii="Times New Roman" w:eastAsia="Times New Roman" w:hAnsi="Times New Roman" w:cs="Times New Roman"/>
          <w:i/>
          <w:noProof/>
          <w:sz w:val="24"/>
          <w:szCs w:val="24"/>
          <w:lang w:val="ro-RO" w:eastAsia="ru-RU"/>
        </w:rPr>
        <w:t>pofida precizării bugetului și micsorării cheltuielilor</w:t>
      </w:r>
      <w:r w:rsidRPr="00B33A6C">
        <w:rPr>
          <w:rFonts w:ascii="Times New Roman" w:eastAsia="Times New Roman" w:hAnsi="Times New Roman" w:cs="Times New Roman"/>
          <w:i/>
          <w:sz w:val="24"/>
          <w:szCs w:val="24"/>
          <w:lang w:eastAsia="ru-RU"/>
        </w:rPr>
        <w:t xml:space="preserve"> în anii 2018-2022,</w:t>
      </w:r>
      <w:r w:rsidRPr="00B33A6C">
        <w:rPr>
          <w:rFonts w:ascii="Times New Roman" w:eastAsia="Times New Roman" w:hAnsi="Times New Roman" w:cs="Times New Roman"/>
          <w:i/>
          <w:noProof/>
          <w:sz w:val="24"/>
          <w:szCs w:val="24"/>
          <w:lang w:val="ro-RO" w:eastAsia="ru-RU"/>
        </w:rPr>
        <w:t xml:space="preserve"> CNPDCP</w:t>
      </w:r>
      <w:r w:rsidRPr="00B33A6C">
        <w:rPr>
          <w:rFonts w:ascii="Times New Roman" w:eastAsia="Times New Roman" w:hAnsi="Times New Roman" w:cs="Times New Roman"/>
          <w:i/>
          <w:iCs/>
          <w:noProof/>
          <w:sz w:val="24"/>
          <w:szCs w:val="24"/>
          <w:lang w:val="ro-RO"/>
        </w:rPr>
        <w:t xml:space="preserve"> </w:t>
      </w:r>
      <w:r w:rsidRPr="00B33A6C">
        <w:rPr>
          <w:rFonts w:ascii="Times New Roman" w:eastAsia="Times New Roman" w:hAnsi="Times New Roman" w:cs="Times New Roman"/>
          <w:i/>
          <w:noProof/>
          <w:sz w:val="24"/>
          <w:szCs w:val="24"/>
          <w:lang w:val="ro-RO" w:eastAsia="ru-RU"/>
        </w:rPr>
        <w:t>nu a executat</w:t>
      </w:r>
      <w:r w:rsidRPr="00B33A6C">
        <w:rPr>
          <w:rFonts w:ascii="Times New Roman" w:hAnsi="Times New Roman" w:cs="Times New Roman"/>
          <w:i/>
          <w:sz w:val="24"/>
          <w:szCs w:val="24"/>
          <w:lang w:val="ro-RO"/>
        </w:rPr>
        <w:t xml:space="preserve"> cheltuieli bugetare în sumă de </w:t>
      </w:r>
      <w:r w:rsidRPr="00B33A6C">
        <w:rPr>
          <w:rFonts w:ascii="Times New Roman" w:eastAsia="Times New Roman" w:hAnsi="Times New Roman" w:cs="Times New Roman"/>
          <w:i/>
          <w:sz w:val="24"/>
          <w:szCs w:val="24"/>
          <w:lang w:eastAsia="ru-RU"/>
        </w:rPr>
        <w:t>5</w:t>
      </w:r>
      <w:r w:rsidR="00B33A6C" w:rsidRPr="00B33A6C">
        <w:rPr>
          <w:rFonts w:ascii="Times New Roman" w:eastAsia="Times New Roman" w:hAnsi="Times New Roman" w:cs="Times New Roman"/>
          <w:i/>
          <w:sz w:val="24"/>
          <w:szCs w:val="24"/>
          <w:lang w:eastAsia="ru-RU"/>
        </w:rPr>
        <w:t>.</w:t>
      </w:r>
      <w:r w:rsidRPr="00B33A6C">
        <w:rPr>
          <w:rFonts w:ascii="Times New Roman" w:eastAsia="Times New Roman" w:hAnsi="Times New Roman" w:cs="Times New Roman"/>
          <w:i/>
          <w:sz w:val="24"/>
          <w:szCs w:val="24"/>
          <w:lang w:eastAsia="ru-RU"/>
        </w:rPr>
        <w:t>842,2</w:t>
      </w:r>
      <w:r w:rsidRPr="00B33A6C">
        <w:rPr>
          <w:rFonts w:ascii="Times New Roman" w:eastAsia="Times New Roman" w:hAnsi="Times New Roman" w:cs="Times New Roman"/>
          <w:i/>
          <w:noProof/>
          <w:sz w:val="24"/>
          <w:szCs w:val="24"/>
          <w:lang w:eastAsia="ru-RU"/>
        </w:rPr>
        <w:t xml:space="preserve"> mii lei</w:t>
      </w:r>
      <w:r w:rsidRPr="004D2FF7">
        <w:rPr>
          <w:rStyle w:val="FootnoteReference"/>
          <w:rFonts w:ascii="Times New Roman" w:eastAsia="Times New Roman" w:hAnsi="Times New Roman" w:cs="Times New Roman"/>
          <w:i/>
          <w:noProof/>
          <w:lang w:eastAsia="ru-RU"/>
        </w:rPr>
        <w:footnoteReference w:id="8"/>
      </w:r>
      <w:r w:rsidRPr="00B33A6C">
        <w:rPr>
          <w:rFonts w:ascii="Times New Roman" w:eastAsia="Times New Roman" w:hAnsi="Times New Roman" w:cs="Times New Roman"/>
          <w:i/>
          <w:noProof/>
          <w:sz w:val="24"/>
          <w:szCs w:val="24"/>
          <w:lang w:val="ro-RO"/>
        </w:rPr>
        <w:t xml:space="preserve">, situația fiind determinată de planificarea precară a limitelor de cheltuieli; </w:t>
      </w:r>
      <w:r w:rsidRPr="00B33A6C">
        <w:rPr>
          <w:rFonts w:ascii="Times New Roman" w:eastAsia="Times New Roman" w:hAnsi="Times New Roman" w:cs="Times New Roman"/>
          <w:i/>
          <w:noProof/>
          <w:sz w:val="24"/>
          <w:szCs w:val="24"/>
        </w:rPr>
        <w:t>n</w:t>
      </w:r>
      <w:r w:rsidRPr="00B33A6C">
        <w:rPr>
          <w:rFonts w:ascii="Times New Roman" w:hAnsi="Times New Roman" w:cs="Times New Roman"/>
          <w:i/>
          <w:color w:val="000000" w:themeColor="text1"/>
          <w:sz w:val="24"/>
          <w:szCs w:val="24"/>
        </w:rPr>
        <w:t xml:space="preserve">ivelul de execuție a cheltuielilor de casă, comparativ cu alocațiile bugetare precizate în anul 2018, a constituit 73,3%, în anul 2019 </w:t>
      </w:r>
      <w:r w:rsidR="00B33A6C" w:rsidRPr="00B33A6C">
        <w:rPr>
          <w:rFonts w:ascii="Times New Roman" w:hAnsi="Times New Roman" w:cs="Times New Roman"/>
          <w:i/>
          <w:color w:val="000000" w:themeColor="text1"/>
          <w:sz w:val="24"/>
          <w:szCs w:val="24"/>
        </w:rPr>
        <w:t>–</w:t>
      </w:r>
      <w:r w:rsidRPr="00B33A6C">
        <w:rPr>
          <w:rFonts w:ascii="Times New Roman" w:hAnsi="Times New Roman" w:cs="Times New Roman"/>
          <w:i/>
          <w:color w:val="000000" w:themeColor="text1"/>
          <w:sz w:val="24"/>
          <w:szCs w:val="24"/>
        </w:rPr>
        <w:t xml:space="preserve"> 87,0%, în anul 2020 </w:t>
      </w:r>
      <w:r w:rsidR="00B33A6C" w:rsidRPr="00B33A6C">
        <w:rPr>
          <w:rFonts w:ascii="Times New Roman" w:hAnsi="Times New Roman" w:cs="Times New Roman"/>
          <w:i/>
          <w:color w:val="000000" w:themeColor="text1"/>
          <w:sz w:val="24"/>
          <w:szCs w:val="24"/>
        </w:rPr>
        <w:t>–</w:t>
      </w:r>
      <w:r w:rsidRPr="00B33A6C">
        <w:rPr>
          <w:rFonts w:ascii="Times New Roman" w:hAnsi="Times New Roman" w:cs="Times New Roman"/>
          <w:i/>
          <w:color w:val="000000" w:themeColor="text1"/>
          <w:sz w:val="24"/>
          <w:szCs w:val="24"/>
        </w:rPr>
        <w:t xml:space="preserve"> 90,4 %, în anul 2021 </w:t>
      </w:r>
      <w:r w:rsidR="00B33A6C" w:rsidRPr="00B33A6C">
        <w:rPr>
          <w:rFonts w:ascii="Times New Roman" w:hAnsi="Times New Roman" w:cs="Times New Roman"/>
          <w:i/>
          <w:color w:val="000000" w:themeColor="text1"/>
          <w:sz w:val="24"/>
          <w:szCs w:val="24"/>
        </w:rPr>
        <w:t>–</w:t>
      </w:r>
      <w:r w:rsidRPr="00B33A6C">
        <w:rPr>
          <w:rFonts w:ascii="Times New Roman" w:hAnsi="Times New Roman" w:cs="Times New Roman"/>
          <w:i/>
          <w:color w:val="000000" w:themeColor="text1"/>
          <w:sz w:val="24"/>
          <w:szCs w:val="24"/>
        </w:rPr>
        <w:t xml:space="preserve"> 92,6%, și în anul 2022</w:t>
      </w:r>
      <w:r w:rsidR="00B33A6C" w:rsidRPr="00B33A6C">
        <w:rPr>
          <w:rFonts w:ascii="Times New Roman" w:hAnsi="Times New Roman" w:cs="Times New Roman"/>
          <w:i/>
          <w:color w:val="000000" w:themeColor="text1"/>
          <w:sz w:val="24"/>
          <w:szCs w:val="24"/>
        </w:rPr>
        <w:t xml:space="preserve"> –</w:t>
      </w:r>
      <w:r w:rsidRPr="00B33A6C">
        <w:rPr>
          <w:rFonts w:ascii="Times New Roman" w:hAnsi="Times New Roman" w:cs="Times New Roman"/>
          <w:i/>
          <w:color w:val="000000" w:themeColor="text1"/>
          <w:sz w:val="24"/>
          <w:szCs w:val="24"/>
        </w:rPr>
        <w:t xml:space="preserve"> 89,6% (</w:t>
      </w:r>
      <w:r w:rsidRPr="00B33A6C">
        <w:rPr>
          <w:rFonts w:ascii="Times New Roman" w:hAnsi="Times New Roman" w:cs="Times New Roman"/>
          <w:i/>
          <w:sz w:val="24"/>
          <w:szCs w:val="24"/>
        </w:rPr>
        <w:t>pct.2.3).</w:t>
      </w:r>
    </w:p>
    <w:p w14:paraId="7F16C515" w14:textId="3DE483CB" w:rsidR="004B1A15" w:rsidRPr="00504261" w:rsidRDefault="00612261" w:rsidP="00823746">
      <w:pPr>
        <w:pStyle w:val="ListParagraph"/>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color w:val="000000" w:themeColor="text1"/>
          <w:sz w:val="24"/>
          <w:szCs w:val="24"/>
        </w:rPr>
      </w:pPr>
      <w:r>
        <w:rPr>
          <w:rFonts w:ascii="Times New Roman" w:hAnsi="Times New Roman" w:cs="Times New Roman"/>
          <w:i/>
          <w:sz w:val="24"/>
          <w:szCs w:val="24"/>
        </w:rPr>
        <w:t xml:space="preserve">Nu au fost </w:t>
      </w:r>
      <w:r w:rsidRPr="00504261">
        <w:rPr>
          <w:rFonts w:ascii="Times New Roman" w:eastAsia="Calibri" w:hAnsi="Times New Roman" w:cs="Times New Roman"/>
          <w:i/>
          <w:sz w:val="24"/>
          <w:szCs w:val="24"/>
        </w:rPr>
        <w:t>actualiza</w:t>
      </w:r>
      <w:r>
        <w:rPr>
          <w:rFonts w:ascii="Times New Roman" w:eastAsia="Calibri" w:hAnsi="Times New Roman" w:cs="Times New Roman"/>
          <w:i/>
          <w:sz w:val="24"/>
          <w:szCs w:val="24"/>
        </w:rPr>
        <w:t>te</w:t>
      </w:r>
      <w:r w:rsidR="004B1A15" w:rsidRPr="00504261">
        <w:rPr>
          <w:rFonts w:ascii="Times New Roman" w:eastAsia="Calibri" w:hAnsi="Times New Roman" w:cs="Times New Roman"/>
          <w:i/>
          <w:sz w:val="24"/>
          <w:szCs w:val="24"/>
        </w:rPr>
        <w:t xml:space="preserve"> și</w:t>
      </w:r>
      <w:r w:rsidR="00B33A6C">
        <w:rPr>
          <w:rFonts w:ascii="Times New Roman" w:eastAsia="Calibri" w:hAnsi="Times New Roman" w:cs="Times New Roman"/>
          <w:i/>
          <w:sz w:val="24"/>
          <w:szCs w:val="24"/>
        </w:rPr>
        <w:t>,</w:t>
      </w:r>
      <w:r w:rsidR="004B1A15" w:rsidRPr="00504261">
        <w:rPr>
          <w:rFonts w:ascii="Times New Roman" w:eastAsia="Calibri" w:hAnsi="Times New Roman" w:cs="Times New Roman"/>
          <w:i/>
          <w:sz w:val="24"/>
          <w:szCs w:val="24"/>
        </w:rPr>
        <w:t xml:space="preserve"> respectiv</w:t>
      </w:r>
      <w:r w:rsidR="00B33A6C">
        <w:rPr>
          <w:rFonts w:ascii="Times New Roman" w:eastAsia="Calibri" w:hAnsi="Times New Roman" w:cs="Times New Roman"/>
          <w:i/>
          <w:sz w:val="24"/>
          <w:szCs w:val="24"/>
        </w:rPr>
        <w:t>,</w:t>
      </w:r>
      <w:r w:rsidR="004B1A15" w:rsidRPr="00504261">
        <w:rPr>
          <w:rFonts w:ascii="Times New Roman" w:eastAsia="Calibri" w:hAnsi="Times New Roman" w:cs="Times New Roman"/>
          <w:i/>
          <w:sz w:val="24"/>
          <w:szCs w:val="24"/>
        </w:rPr>
        <w:t xml:space="preserve"> micșora</w:t>
      </w:r>
      <w:r>
        <w:rPr>
          <w:rFonts w:ascii="Times New Roman" w:eastAsia="Calibri" w:hAnsi="Times New Roman" w:cs="Times New Roman"/>
          <w:i/>
          <w:sz w:val="24"/>
          <w:szCs w:val="24"/>
        </w:rPr>
        <w:t>te</w:t>
      </w:r>
      <w:r w:rsidR="004B1A15" w:rsidRPr="00504261">
        <w:rPr>
          <w:rFonts w:ascii="Times New Roman" w:eastAsia="Calibri" w:hAnsi="Times New Roman" w:cs="Times New Roman"/>
          <w:i/>
          <w:sz w:val="24"/>
          <w:szCs w:val="24"/>
        </w:rPr>
        <w:t xml:space="preserve"> planuril</w:t>
      </w:r>
      <w:r>
        <w:rPr>
          <w:rFonts w:ascii="Times New Roman" w:eastAsia="Calibri" w:hAnsi="Times New Roman" w:cs="Times New Roman"/>
          <w:i/>
          <w:sz w:val="24"/>
          <w:szCs w:val="24"/>
        </w:rPr>
        <w:t>e</w:t>
      </w:r>
      <w:r w:rsidR="004B1A15" w:rsidRPr="00504261">
        <w:rPr>
          <w:rFonts w:ascii="Times New Roman" w:eastAsia="Calibri" w:hAnsi="Times New Roman" w:cs="Times New Roman"/>
          <w:i/>
          <w:sz w:val="24"/>
          <w:szCs w:val="24"/>
        </w:rPr>
        <w:t xml:space="preserve"> de achiziții publice de mărfuri și servici pentru necesit</w:t>
      </w:r>
      <w:r w:rsidR="00B33A6C">
        <w:rPr>
          <w:rFonts w:ascii="Times New Roman" w:eastAsia="Calibri" w:hAnsi="Times New Roman" w:cs="Times New Roman"/>
          <w:i/>
          <w:sz w:val="24"/>
          <w:szCs w:val="24"/>
        </w:rPr>
        <w:t>ățile</w:t>
      </w:r>
      <w:r w:rsidR="004B1A15" w:rsidRPr="00504261">
        <w:rPr>
          <w:rFonts w:ascii="Times New Roman" w:eastAsia="Calibri" w:hAnsi="Times New Roman" w:cs="Times New Roman"/>
          <w:i/>
          <w:sz w:val="24"/>
          <w:szCs w:val="24"/>
        </w:rPr>
        <w:t xml:space="preserve"> entității în raport cu mijloacele financiare precizate și neexecutate (4</w:t>
      </w:r>
      <w:r w:rsidR="00B33A6C">
        <w:rPr>
          <w:rFonts w:ascii="Times New Roman" w:eastAsia="Calibri" w:hAnsi="Times New Roman" w:cs="Times New Roman"/>
          <w:i/>
          <w:sz w:val="24"/>
          <w:szCs w:val="24"/>
        </w:rPr>
        <w:t>.</w:t>
      </w:r>
      <w:r w:rsidR="004B1A15" w:rsidRPr="00504261">
        <w:rPr>
          <w:rFonts w:ascii="Times New Roman" w:eastAsia="Calibri" w:hAnsi="Times New Roman" w:cs="Times New Roman"/>
          <w:i/>
          <w:sz w:val="24"/>
          <w:szCs w:val="24"/>
        </w:rPr>
        <w:t>929,4 mii lei)</w:t>
      </w:r>
      <w:r w:rsidR="00947A7A" w:rsidRPr="005042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s-a admis </w:t>
      </w:r>
      <w:r w:rsidR="00E82E0A" w:rsidRPr="0037151F">
        <w:rPr>
          <w:rFonts w:ascii="Times New Roman" w:hAnsi="Times New Roman" w:cs="Times New Roman"/>
          <w:i/>
          <w:sz w:val="24"/>
          <w:szCs w:val="24"/>
        </w:rPr>
        <w:t>divizarea achizițiilor</w:t>
      </w:r>
      <w:r w:rsidR="00E82E0A">
        <w:rPr>
          <w:rFonts w:ascii="Times New Roman" w:hAnsi="Times New Roman" w:cs="Times New Roman"/>
          <w:i/>
          <w:noProof/>
          <w:sz w:val="24"/>
          <w:szCs w:val="24"/>
          <w:lang w:val="ro-RO"/>
        </w:rPr>
        <w:t xml:space="preserve"> </w:t>
      </w:r>
      <w:r w:rsidR="00E82E0A">
        <w:rPr>
          <w:rFonts w:ascii="Times New Roman" w:hAnsi="Times New Roman" w:cs="Times New Roman"/>
          <w:i/>
          <w:sz w:val="24"/>
          <w:szCs w:val="24"/>
        </w:rPr>
        <w:t>(632,3 mii lei);</w:t>
      </w:r>
      <w:r w:rsidR="00E82E0A" w:rsidRPr="009F37C5">
        <w:rPr>
          <w:rFonts w:ascii="Times New Roman" w:hAnsi="Times New Roman" w:cs="Times New Roman"/>
          <w:i/>
          <w:sz w:val="24"/>
          <w:szCs w:val="24"/>
        </w:rPr>
        <w:t xml:space="preserve"> </w:t>
      </w:r>
      <w:r>
        <w:rPr>
          <w:rFonts w:ascii="Times New Roman" w:hAnsi="Times New Roman" w:cs="Times New Roman"/>
          <w:i/>
          <w:sz w:val="24"/>
          <w:szCs w:val="24"/>
        </w:rPr>
        <w:t xml:space="preserve">nu </w:t>
      </w:r>
      <w:r w:rsidR="004A3834">
        <w:rPr>
          <w:rFonts w:ascii="Times New Roman" w:hAnsi="Times New Roman" w:cs="Times New Roman"/>
          <w:i/>
          <w:sz w:val="24"/>
          <w:szCs w:val="24"/>
        </w:rPr>
        <w:t>s-a</w:t>
      </w:r>
      <w:r>
        <w:rPr>
          <w:rFonts w:ascii="Times New Roman" w:hAnsi="Times New Roman" w:cs="Times New Roman"/>
          <w:i/>
          <w:sz w:val="24"/>
          <w:szCs w:val="24"/>
        </w:rPr>
        <w:t xml:space="preserve"> </w:t>
      </w:r>
      <w:r w:rsidR="00E82E0A" w:rsidRPr="00504261">
        <w:rPr>
          <w:rFonts w:ascii="Times New Roman" w:hAnsi="Times New Roman" w:cs="Times New Roman"/>
          <w:i/>
          <w:sz w:val="24"/>
          <w:szCs w:val="24"/>
          <w:lang w:val="ro-RO"/>
        </w:rPr>
        <w:t>solicita</w:t>
      </w:r>
      <w:r>
        <w:rPr>
          <w:rFonts w:ascii="Times New Roman" w:hAnsi="Times New Roman" w:cs="Times New Roman"/>
          <w:i/>
          <w:sz w:val="24"/>
          <w:szCs w:val="24"/>
          <w:lang w:val="ro-RO"/>
        </w:rPr>
        <w:t>t</w:t>
      </w:r>
      <w:r w:rsidR="00E82E0A" w:rsidRPr="00504261">
        <w:rPr>
          <w:rFonts w:ascii="Times New Roman" w:hAnsi="Times New Roman" w:cs="Times New Roman"/>
          <w:i/>
          <w:sz w:val="24"/>
          <w:szCs w:val="24"/>
          <w:lang w:val="ro-RO"/>
        </w:rPr>
        <w:t>, în toate cazurile, ofertel</w:t>
      </w:r>
      <w:r>
        <w:rPr>
          <w:rFonts w:ascii="Times New Roman" w:hAnsi="Times New Roman" w:cs="Times New Roman"/>
          <w:i/>
          <w:sz w:val="24"/>
          <w:szCs w:val="24"/>
          <w:lang w:val="ro-RO"/>
        </w:rPr>
        <w:t>e</w:t>
      </w:r>
      <w:r w:rsidR="00E82E0A" w:rsidRPr="00504261">
        <w:rPr>
          <w:rFonts w:ascii="Times New Roman" w:hAnsi="Times New Roman" w:cs="Times New Roman"/>
          <w:i/>
          <w:sz w:val="24"/>
          <w:szCs w:val="24"/>
          <w:lang w:val="ro-RO"/>
        </w:rPr>
        <w:t xml:space="preserve"> operatorilor economici, acestea fiind prezente doar în cazul a 20,7% (1120,5 mii lei) din valoarea totală a achizițiilor de valoare mică, ca urmare nefiind asigurată </w:t>
      </w:r>
      <w:r w:rsidR="00E82E0A" w:rsidRPr="00504261">
        <w:rPr>
          <w:rFonts w:ascii="Times New Roman" w:hAnsi="Times New Roman" w:cs="Times New Roman"/>
          <w:i/>
          <w:noProof/>
          <w:sz w:val="24"/>
          <w:szCs w:val="24"/>
          <w:lang w:val="ro-RO"/>
        </w:rPr>
        <w:t>transparența, concurența și eficiența utilizării banilor publici</w:t>
      </w:r>
      <w:r w:rsidR="00E82E0A" w:rsidRPr="00E82E0A">
        <w:rPr>
          <w:rFonts w:ascii="Times New Roman" w:hAnsi="Times New Roman" w:cs="Times New Roman"/>
          <w:i/>
          <w:sz w:val="24"/>
          <w:szCs w:val="24"/>
        </w:rPr>
        <w:t xml:space="preserve"> </w:t>
      </w:r>
      <w:r w:rsidR="004B1A15" w:rsidRPr="00504261">
        <w:rPr>
          <w:rFonts w:ascii="Times New Roman" w:hAnsi="Times New Roman" w:cs="Times New Roman"/>
          <w:i/>
          <w:sz w:val="24"/>
          <w:szCs w:val="24"/>
        </w:rPr>
        <w:t>(pct. 4.2.1).</w:t>
      </w:r>
    </w:p>
    <w:p w14:paraId="2793C37F" w14:textId="02A0D8D8" w:rsidR="004B1A15" w:rsidRPr="0037151F" w:rsidRDefault="004B1A15" w:rsidP="004B1A15">
      <w:pPr>
        <w:pStyle w:val="ListParagraph"/>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color w:val="000000" w:themeColor="text1"/>
          <w:sz w:val="24"/>
          <w:szCs w:val="24"/>
        </w:rPr>
      </w:pPr>
      <w:r w:rsidRPr="0037151F">
        <w:rPr>
          <w:rFonts w:ascii="Times New Roman" w:hAnsi="Times New Roman" w:cs="Times New Roman"/>
          <w:i/>
          <w:sz w:val="24"/>
          <w:szCs w:val="24"/>
        </w:rPr>
        <w:t>Contrar prevederilor legale</w:t>
      </w:r>
      <w:r w:rsidR="00B33A6C">
        <w:rPr>
          <w:rFonts w:ascii="Times New Roman" w:hAnsi="Times New Roman" w:cs="Times New Roman"/>
          <w:i/>
          <w:sz w:val="24"/>
          <w:szCs w:val="24"/>
        </w:rPr>
        <w:t>,</w:t>
      </w:r>
      <w:r w:rsidRPr="0037151F">
        <w:rPr>
          <w:rFonts w:ascii="Times New Roman" w:hAnsi="Times New Roman" w:cs="Times New Roman"/>
          <w:i/>
          <w:sz w:val="24"/>
          <w:szCs w:val="24"/>
        </w:rPr>
        <w:t xml:space="preserve"> entitatea a încheiat 10 contracte de achiziție în valoare de 196,7 mii lei, fără a specifica denumirea serviciilor de deservire, testare, întreținere și reparație a autoturismelor de serviciu, cantitatea și prețul lor, iar </w:t>
      </w:r>
      <w:r w:rsidRPr="0037151F">
        <w:rPr>
          <w:rFonts w:ascii="Times New Roman" w:eastAsia="Calibri" w:hAnsi="Times New Roman" w:cs="Times New Roman"/>
          <w:i/>
          <w:color w:val="000000"/>
          <w:sz w:val="24"/>
          <w:szCs w:val="24"/>
        </w:rPr>
        <w:t xml:space="preserve">din lipsa controlului intern au fost achiziționate servicii de reparație la </w:t>
      </w:r>
      <w:r w:rsidR="00B33A6C">
        <w:rPr>
          <w:rFonts w:ascii="Times New Roman" w:eastAsia="Calibri" w:hAnsi="Times New Roman" w:cs="Times New Roman"/>
          <w:i/>
          <w:color w:val="000000"/>
          <w:sz w:val="24"/>
          <w:szCs w:val="24"/>
        </w:rPr>
        <w:t xml:space="preserve">un </w:t>
      </w:r>
      <w:r w:rsidRPr="0037151F">
        <w:rPr>
          <w:rFonts w:ascii="Times New Roman" w:eastAsia="Calibri" w:hAnsi="Times New Roman" w:cs="Times New Roman"/>
          <w:i/>
          <w:color w:val="000000"/>
          <w:sz w:val="24"/>
          <w:szCs w:val="24"/>
        </w:rPr>
        <w:t xml:space="preserve">preț majorat cu 29,9 mii lei </w:t>
      </w:r>
      <w:r w:rsidRPr="0037151F">
        <w:rPr>
          <w:rFonts w:ascii="Times New Roman" w:hAnsi="Times New Roman" w:cs="Times New Roman"/>
          <w:i/>
          <w:noProof/>
          <w:sz w:val="24"/>
          <w:szCs w:val="24"/>
          <w:lang w:val="ro-RO"/>
        </w:rPr>
        <w:t>(</w:t>
      </w:r>
      <w:r w:rsidRPr="0037151F">
        <w:rPr>
          <w:rFonts w:ascii="Times New Roman" w:hAnsi="Times New Roman" w:cs="Times New Roman"/>
          <w:i/>
          <w:sz w:val="24"/>
          <w:szCs w:val="24"/>
        </w:rPr>
        <w:t>pct.4.2.1)</w:t>
      </w:r>
      <w:r w:rsidR="00542C75">
        <w:rPr>
          <w:rFonts w:ascii="Times New Roman" w:hAnsi="Times New Roman" w:cs="Times New Roman"/>
          <w:i/>
          <w:sz w:val="24"/>
          <w:szCs w:val="24"/>
        </w:rPr>
        <w:t>.</w:t>
      </w:r>
    </w:p>
    <w:p w14:paraId="6ABFA531" w14:textId="3223E151" w:rsidR="004B1A15" w:rsidRPr="0037151F" w:rsidRDefault="004B1A15" w:rsidP="004B1A15">
      <w:pPr>
        <w:pStyle w:val="ListParagraph"/>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color w:val="000000" w:themeColor="text1"/>
          <w:sz w:val="24"/>
          <w:szCs w:val="24"/>
        </w:rPr>
      </w:pPr>
      <w:r w:rsidRPr="0037151F">
        <w:rPr>
          <w:rFonts w:ascii="Times New Roman" w:eastAsia="Times New Roman" w:hAnsi="Times New Roman" w:cs="Times New Roman"/>
          <w:i/>
          <w:sz w:val="24"/>
          <w:szCs w:val="24"/>
        </w:rPr>
        <w:t xml:space="preserve">CNPDCP a procurat </w:t>
      </w:r>
      <w:r w:rsidRPr="0037151F">
        <w:rPr>
          <w:rFonts w:ascii="Times New Roman" w:eastAsia="Times New Roman" w:hAnsi="Times New Roman" w:cs="Times New Roman"/>
          <w:i/>
          <w:sz w:val="24"/>
          <w:szCs w:val="24"/>
          <w:lang w:val="ro-RO"/>
        </w:rPr>
        <w:t xml:space="preserve">două autoturisme de marca Renault Kadjar cu caroserie SUV la prețul total de </w:t>
      </w:r>
      <w:r w:rsidRPr="0037151F">
        <w:rPr>
          <w:rFonts w:ascii="Times New Roman" w:hAnsi="Times New Roman" w:cs="Times New Roman"/>
          <w:i/>
          <w:sz w:val="24"/>
          <w:szCs w:val="24"/>
          <w:lang w:val="ro-RO"/>
        </w:rPr>
        <w:t>674,0 mii lei, la care ulterior în procesul de exploatare</w:t>
      </w:r>
      <w:r w:rsidRPr="0037151F">
        <w:rPr>
          <w:rFonts w:ascii="Times New Roman" w:eastAsia="Times New Roman" w:hAnsi="Times New Roman" w:cs="Times New Roman"/>
          <w:i/>
          <w:sz w:val="24"/>
          <w:szCs w:val="24"/>
          <w:lang w:val="ro-RO"/>
        </w:rPr>
        <w:t xml:space="preserve"> consumul efectiv raportat la norma de bază a autoturismelor noi în exploatare nu corespunde</w:t>
      </w:r>
      <w:r w:rsidR="00F342EF">
        <w:rPr>
          <w:rFonts w:ascii="Times New Roman" w:eastAsia="Times New Roman" w:hAnsi="Times New Roman" w:cs="Times New Roman"/>
          <w:i/>
          <w:sz w:val="24"/>
          <w:szCs w:val="24"/>
          <w:lang w:val="ro-RO"/>
        </w:rPr>
        <w:t>a</w:t>
      </w:r>
      <w:r w:rsidRPr="0037151F">
        <w:rPr>
          <w:rFonts w:ascii="Times New Roman" w:eastAsia="Times New Roman" w:hAnsi="Times New Roman" w:cs="Times New Roman"/>
          <w:i/>
          <w:sz w:val="24"/>
          <w:szCs w:val="24"/>
          <w:lang w:val="ro-RO"/>
        </w:rPr>
        <w:t xml:space="preserve"> cu </w:t>
      </w:r>
      <w:r w:rsidRPr="0037151F">
        <w:rPr>
          <w:rFonts w:ascii="Times New Roman" w:hAnsi="Times New Roman" w:cs="Times New Roman"/>
          <w:i/>
          <w:sz w:val="24"/>
          <w:szCs w:val="24"/>
          <w:lang w:val="ro-RO"/>
        </w:rPr>
        <w:t xml:space="preserve">parametrii tehnici ce țin de norma de bază </w:t>
      </w:r>
      <w:r w:rsidRPr="0037151F">
        <w:rPr>
          <w:rFonts w:ascii="Times New Roman" w:eastAsia="Times New Roman" w:hAnsi="Times New Roman" w:cs="Times New Roman"/>
          <w:i/>
          <w:sz w:val="24"/>
          <w:szCs w:val="24"/>
          <w:lang w:val="ro-RO"/>
        </w:rPr>
        <w:t xml:space="preserve">privind consumul de </w:t>
      </w:r>
      <w:r w:rsidR="00F81701">
        <w:rPr>
          <w:rFonts w:ascii="Times New Roman" w:eastAsia="Times New Roman" w:hAnsi="Times New Roman" w:cs="Times New Roman"/>
          <w:i/>
          <w:sz w:val="24"/>
          <w:szCs w:val="24"/>
          <w:lang w:val="ro-RO"/>
        </w:rPr>
        <w:t>carburanți</w:t>
      </w:r>
      <w:r w:rsidRPr="0037151F">
        <w:rPr>
          <w:rFonts w:ascii="Times New Roman" w:eastAsia="Times New Roman" w:hAnsi="Times New Roman" w:cs="Times New Roman"/>
          <w:i/>
          <w:sz w:val="24"/>
          <w:szCs w:val="24"/>
          <w:lang w:val="ro-RO"/>
        </w:rPr>
        <w:t xml:space="preserve"> indicat în specificațiile tehnice din oferta comercială prezentată la licitație și </w:t>
      </w:r>
      <w:r w:rsidR="00F342EF">
        <w:rPr>
          <w:rFonts w:ascii="Times New Roman" w:eastAsia="Times New Roman" w:hAnsi="Times New Roman" w:cs="Times New Roman"/>
          <w:i/>
          <w:sz w:val="24"/>
          <w:szCs w:val="24"/>
          <w:lang w:val="ro-RO"/>
        </w:rPr>
        <w:t xml:space="preserve">din </w:t>
      </w:r>
      <w:r w:rsidRPr="0037151F">
        <w:rPr>
          <w:rFonts w:ascii="Times New Roman" w:eastAsia="Times New Roman" w:hAnsi="Times New Roman" w:cs="Times New Roman"/>
          <w:i/>
          <w:sz w:val="24"/>
          <w:szCs w:val="24"/>
          <w:lang w:val="ro-RO"/>
        </w:rPr>
        <w:t>contractul încheiat</w:t>
      </w:r>
      <w:r w:rsidRPr="0037151F">
        <w:rPr>
          <w:rFonts w:ascii="Times New Roman" w:eastAsia="Times New Roman" w:hAnsi="Times New Roman" w:cs="Times New Roman"/>
          <w:i/>
          <w:sz w:val="24"/>
          <w:szCs w:val="24"/>
        </w:rPr>
        <w:t xml:space="preserve"> </w:t>
      </w:r>
      <w:r w:rsidRPr="0037151F">
        <w:rPr>
          <w:rFonts w:ascii="Times New Roman" w:hAnsi="Times New Roman" w:cs="Times New Roman"/>
          <w:i/>
          <w:sz w:val="24"/>
          <w:szCs w:val="24"/>
        </w:rPr>
        <w:t>(pct. 4.2.1).</w:t>
      </w:r>
    </w:p>
    <w:p w14:paraId="553142A2" w14:textId="77777777" w:rsidR="004B1A15" w:rsidRPr="0037151F" w:rsidRDefault="004B1A15" w:rsidP="004B1A15">
      <w:pPr>
        <w:pStyle w:val="ListParagraph"/>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color w:val="000000" w:themeColor="text1"/>
          <w:sz w:val="24"/>
          <w:szCs w:val="24"/>
        </w:rPr>
      </w:pPr>
      <w:r w:rsidRPr="0037151F">
        <w:rPr>
          <w:rFonts w:ascii="Times New Roman" w:eastAsia="Times New Roman" w:hAnsi="Times New Roman" w:cs="Times New Roman"/>
          <w:bCs/>
          <w:color w:val="000000" w:themeColor="text1"/>
          <w:sz w:val="24"/>
          <w:szCs w:val="24"/>
        </w:rPr>
        <w:t xml:space="preserve"> </w:t>
      </w:r>
      <w:r w:rsidRPr="0037151F">
        <w:rPr>
          <w:rFonts w:ascii="Times New Roman" w:hAnsi="Times New Roman" w:cs="Times New Roman"/>
          <w:i/>
          <w:sz w:val="24"/>
          <w:szCs w:val="24"/>
        </w:rPr>
        <w:t>În timp ce au fost achiziționate servicii de asigurare obligatorie a autoturismelor în caz de accidente</w:t>
      </w:r>
      <w:r w:rsidR="00F342EF">
        <w:rPr>
          <w:rFonts w:ascii="Times New Roman" w:hAnsi="Times New Roman" w:cs="Times New Roman"/>
          <w:i/>
          <w:sz w:val="24"/>
          <w:szCs w:val="24"/>
        </w:rPr>
        <w:t>,</w:t>
      </w:r>
      <w:r w:rsidRPr="0037151F">
        <w:rPr>
          <w:rFonts w:ascii="Times New Roman" w:hAnsi="Times New Roman" w:cs="Times New Roman"/>
          <w:i/>
          <w:sz w:val="24"/>
          <w:szCs w:val="24"/>
        </w:rPr>
        <w:t xml:space="preserve"> în valoare de 38,6 mii lei, entitatea a cheltuit 268,6 mii lei pentru procurarea serviciilor de asigurare facultativă Casco pentru aceleași autoturisme, utilizând neeficient mijloacele financiare; </w:t>
      </w:r>
      <w:r w:rsidRPr="0037151F">
        <w:rPr>
          <w:rFonts w:ascii="Times New Roman" w:hAnsi="Times New Roman" w:cs="Times New Roman"/>
          <w:i/>
          <w:sz w:val="24"/>
          <w:szCs w:val="24"/>
          <w:lang w:val="ro-RO"/>
        </w:rPr>
        <w:t>în anii 2015-2023</w:t>
      </w:r>
      <w:r w:rsidRPr="0037151F">
        <w:rPr>
          <w:rFonts w:ascii="Times New Roman" w:hAnsi="Times New Roman" w:cs="Times New Roman"/>
          <w:sz w:val="24"/>
          <w:szCs w:val="24"/>
          <w:lang w:val="ro-RO"/>
        </w:rPr>
        <w:t xml:space="preserve"> </w:t>
      </w:r>
      <w:r w:rsidRPr="0037151F">
        <w:rPr>
          <w:rFonts w:ascii="Times New Roman" w:hAnsi="Times New Roman" w:cs="Times New Roman"/>
          <w:i/>
          <w:sz w:val="24"/>
          <w:szCs w:val="24"/>
        </w:rPr>
        <w:t>autoturismele de serviciu au fost implicate în 14 accidente rutiere</w:t>
      </w:r>
      <w:r w:rsidRPr="0077171B">
        <w:rPr>
          <w:rStyle w:val="FootnoteReference"/>
          <w:rFonts w:ascii="Times New Roman" w:hAnsi="Times New Roman" w:cs="Times New Roman"/>
          <w:i/>
          <w:sz w:val="24"/>
          <w:szCs w:val="24"/>
          <w:lang w:val="ro-RO"/>
        </w:rPr>
        <w:footnoteReference w:id="9"/>
      </w:r>
      <w:r w:rsidRPr="0037151F">
        <w:rPr>
          <w:rFonts w:ascii="Times New Roman" w:hAnsi="Times New Roman" w:cs="Times New Roman"/>
          <w:i/>
          <w:sz w:val="24"/>
          <w:szCs w:val="24"/>
        </w:rPr>
        <w:t xml:space="preserve">, iar asiguratorul a achitat pagube în sumă de 145,6 mii lei, inclusiv 140,2 mii lei în baza poliței de asigurare facultativă Casco, pagube care de fapt urmau a fi achitate din contul poliței de asigurare de răspundere civilă obligatorie sau din contul persoanelor care se fac vinovate de accident </w:t>
      </w:r>
      <w:r w:rsidRPr="0037151F">
        <w:rPr>
          <w:rFonts w:ascii="Times New Roman" w:hAnsi="Times New Roman" w:cs="Times New Roman"/>
          <w:i/>
          <w:noProof/>
          <w:sz w:val="24"/>
          <w:szCs w:val="24"/>
          <w:lang w:val="ro-RO"/>
        </w:rPr>
        <w:t>(</w:t>
      </w:r>
      <w:r w:rsidRPr="0037151F">
        <w:rPr>
          <w:rFonts w:ascii="Times New Roman" w:hAnsi="Times New Roman" w:cs="Times New Roman"/>
          <w:i/>
          <w:sz w:val="24"/>
          <w:szCs w:val="24"/>
        </w:rPr>
        <w:t>pct.4.2.1).</w:t>
      </w:r>
    </w:p>
    <w:p w14:paraId="5DD62807" w14:textId="2125CE1E" w:rsidR="004B1A15" w:rsidRPr="0037151F" w:rsidRDefault="004B1A15" w:rsidP="004B1A15">
      <w:pPr>
        <w:pStyle w:val="ListParagraph"/>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color w:val="000000" w:themeColor="text1"/>
          <w:sz w:val="24"/>
          <w:szCs w:val="24"/>
        </w:rPr>
      </w:pPr>
      <w:r w:rsidRPr="0037151F">
        <w:rPr>
          <w:rFonts w:ascii="Times New Roman" w:eastAsia="Times New Roman" w:hAnsi="Times New Roman" w:cs="Times New Roman"/>
          <w:bCs/>
          <w:color w:val="000000" w:themeColor="text1"/>
          <w:sz w:val="24"/>
          <w:szCs w:val="24"/>
        </w:rPr>
        <w:t xml:space="preserve"> </w:t>
      </w:r>
      <w:r w:rsidRPr="0037151F">
        <w:rPr>
          <w:rFonts w:ascii="Times New Roman" w:hAnsi="Times New Roman" w:cs="Times New Roman"/>
          <w:i/>
          <w:sz w:val="24"/>
          <w:szCs w:val="24"/>
        </w:rPr>
        <w:t xml:space="preserve">Entitatea </w:t>
      </w:r>
      <w:r w:rsidRPr="0037151F">
        <w:rPr>
          <w:rFonts w:ascii="Times New Roman" w:hAnsi="Times New Roman" w:cs="Times New Roman"/>
          <w:i/>
          <w:noProof/>
          <w:sz w:val="24"/>
          <w:szCs w:val="24"/>
          <w:lang w:val="ro-RO"/>
        </w:rPr>
        <w:t xml:space="preserve">nu a desfășurat </w:t>
      </w:r>
      <w:r w:rsidRPr="0037151F">
        <w:rPr>
          <w:rFonts w:ascii="Times New Roman" w:hAnsi="Times New Roman" w:cs="Times New Roman"/>
          <w:i/>
          <w:sz w:val="24"/>
          <w:szCs w:val="24"/>
        </w:rPr>
        <w:t>timp de 5 ani</w:t>
      </w:r>
      <w:r w:rsidRPr="0037151F">
        <w:rPr>
          <w:rFonts w:ascii="Times New Roman" w:hAnsi="Times New Roman" w:cs="Times New Roman"/>
          <w:i/>
          <w:noProof/>
          <w:sz w:val="24"/>
          <w:szCs w:val="24"/>
          <w:lang w:val="ro-RO"/>
        </w:rPr>
        <w:t xml:space="preserve"> nicio procedură de achiziție publică prin Sistemul informațional automatizat</w:t>
      </w:r>
      <w:r w:rsidRPr="0037151F">
        <w:rPr>
          <w:rFonts w:ascii="Times New Roman" w:hAnsi="Times New Roman" w:cs="Times New Roman"/>
          <w:i/>
          <w:sz w:val="24"/>
          <w:szCs w:val="24"/>
          <w:lang w:val="ro-RO"/>
        </w:rPr>
        <w:t xml:space="preserve"> „Registrul de stat al achizițiilor publice”/MTender,</w:t>
      </w:r>
      <w:r w:rsidRPr="0037151F">
        <w:rPr>
          <w:rFonts w:ascii="Times New Roman" w:hAnsi="Times New Roman" w:cs="Times New Roman"/>
          <w:i/>
          <w:noProof/>
          <w:sz w:val="24"/>
          <w:szCs w:val="24"/>
          <w:lang w:val="ro-RO"/>
        </w:rPr>
        <w:t xml:space="preserve"> neasigur</w:t>
      </w:r>
      <w:r w:rsidR="00F342EF">
        <w:rPr>
          <w:rFonts w:ascii="Times New Roman" w:hAnsi="Times New Roman" w:cs="Times New Roman"/>
          <w:i/>
          <w:noProof/>
          <w:sz w:val="24"/>
          <w:szCs w:val="24"/>
          <w:lang w:val="ro-RO"/>
        </w:rPr>
        <w:t>â</w:t>
      </w:r>
      <w:r w:rsidRPr="0037151F">
        <w:rPr>
          <w:rFonts w:ascii="Times New Roman" w:hAnsi="Times New Roman" w:cs="Times New Roman"/>
          <w:i/>
          <w:noProof/>
          <w:sz w:val="24"/>
          <w:szCs w:val="24"/>
          <w:lang w:val="ro-RO"/>
        </w:rPr>
        <w:t xml:space="preserve">nd regulamentar </w:t>
      </w:r>
      <w:r w:rsidRPr="0037151F">
        <w:rPr>
          <w:rFonts w:ascii="Times New Roman" w:eastAsia="AGaramondPro-Regular" w:hAnsi="Times New Roman" w:cs="Times New Roman"/>
          <w:i/>
          <w:sz w:val="24"/>
          <w:szCs w:val="24"/>
          <w:lang w:val="ro-RO"/>
        </w:rPr>
        <w:t xml:space="preserve">transparența, eficiența și digitalizarea achizițiilor publice </w:t>
      </w:r>
      <w:r w:rsidRPr="0037151F">
        <w:rPr>
          <w:rFonts w:ascii="Times New Roman" w:hAnsi="Times New Roman" w:cs="Times New Roman"/>
          <w:i/>
          <w:sz w:val="24"/>
          <w:szCs w:val="24"/>
        </w:rPr>
        <w:t>(pct. 4.2.1).</w:t>
      </w:r>
    </w:p>
    <w:p w14:paraId="7BCA72F3" w14:textId="0CB23EFD" w:rsidR="004B1A15" w:rsidRPr="0037151F" w:rsidRDefault="004B1A15" w:rsidP="004B1A15">
      <w:pPr>
        <w:pStyle w:val="ListParagraph"/>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color w:val="000000" w:themeColor="text1"/>
          <w:sz w:val="24"/>
          <w:szCs w:val="24"/>
        </w:rPr>
      </w:pPr>
      <w:r w:rsidRPr="0037151F">
        <w:rPr>
          <w:rFonts w:ascii="Times New Roman" w:hAnsi="Times New Roman" w:cs="Times New Roman"/>
          <w:i/>
          <w:sz w:val="24"/>
          <w:szCs w:val="24"/>
        </w:rPr>
        <w:lastRenderedPageBreak/>
        <w:t xml:space="preserve">Gradul de ocupare a statelor de personal (45 </w:t>
      </w:r>
      <w:r w:rsidR="00F342EF">
        <w:rPr>
          <w:rFonts w:ascii="Times New Roman" w:hAnsi="Times New Roman" w:cs="Times New Roman"/>
          <w:i/>
          <w:sz w:val="24"/>
          <w:szCs w:val="24"/>
        </w:rPr>
        <w:t xml:space="preserve">de </w:t>
      </w:r>
      <w:r w:rsidRPr="0037151F">
        <w:rPr>
          <w:rFonts w:ascii="Times New Roman" w:hAnsi="Times New Roman" w:cs="Times New Roman"/>
          <w:i/>
          <w:sz w:val="24"/>
          <w:szCs w:val="24"/>
        </w:rPr>
        <w:t>unități) indică un număr mare de funcții vacante, statele de personal ale CNPDCP în anul 2018 fiind completate la nivel de 71%, în anul 2019 – 73%, în anul 2020 – 80%, în anul 2021 – 87%</w:t>
      </w:r>
      <w:r w:rsidR="00F342EF">
        <w:rPr>
          <w:rFonts w:ascii="Times New Roman" w:hAnsi="Times New Roman" w:cs="Times New Roman"/>
          <w:i/>
          <w:sz w:val="24"/>
          <w:szCs w:val="24"/>
        </w:rPr>
        <w:t>,</w:t>
      </w:r>
      <w:r w:rsidR="00CF2AD5">
        <w:rPr>
          <w:rFonts w:ascii="Times New Roman" w:hAnsi="Times New Roman" w:cs="Times New Roman"/>
          <w:i/>
          <w:sz w:val="24"/>
          <w:szCs w:val="24"/>
        </w:rPr>
        <w:t xml:space="preserve"> și</w:t>
      </w:r>
      <w:r w:rsidRPr="0037151F">
        <w:rPr>
          <w:rFonts w:ascii="Times New Roman" w:hAnsi="Times New Roman" w:cs="Times New Roman"/>
          <w:i/>
          <w:sz w:val="24"/>
          <w:szCs w:val="24"/>
        </w:rPr>
        <w:t xml:space="preserve"> în anul 2022 – 71%. Concomitent,</w:t>
      </w:r>
      <w:r w:rsidRPr="0037151F">
        <w:rPr>
          <w:rFonts w:ascii="Times New Roman" w:eastAsia="Times New Roman" w:hAnsi="Times New Roman" w:cs="Times New Roman"/>
          <w:i/>
          <w:noProof/>
          <w:color w:val="000000"/>
          <w:sz w:val="24"/>
          <w:szCs w:val="24"/>
          <w:lang w:val="ro-RO" w:eastAsia="ro-RO"/>
        </w:rPr>
        <w:t xml:space="preserve"> se atestă un grad înalt de fluctuație</w:t>
      </w:r>
      <w:r w:rsidR="00F342EF">
        <w:rPr>
          <w:rFonts w:ascii="Times New Roman" w:eastAsia="Times New Roman" w:hAnsi="Times New Roman" w:cs="Times New Roman"/>
          <w:i/>
          <w:noProof/>
          <w:color w:val="000000"/>
          <w:sz w:val="24"/>
          <w:szCs w:val="24"/>
          <w:lang w:val="ro-RO" w:eastAsia="ro-RO"/>
        </w:rPr>
        <w:t xml:space="preserve"> a cadrelor,</w:t>
      </w:r>
      <w:r w:rsidRPr="0037151F">
        <w:rPr>
          <w:rFonts w:ascii="Times New Roman" w:hAnsi="Times New Roman" w:cs="Times New Roman"/>
          <w:i/>
          <w:sz w:val="24"/>
          <w:szCs w:val="24"/>
          <w:lang w:val="ro-RO"/>
        </w:rPr>
        <w:t xml:space="preserve"> de circa 37,0%</w:t>
      </w:r>
      <w:r w:rsidRPr="0037151F">
        <w:rPr>
          <w:rFonts w:ascii="Times New Roman" w:eastAsia="Times New Roman" w:hAnsi="Times New Roman" w:cs="Times New Roman"/>
          <w:i/>
          <w:noProof/>
          <w:sz w:val="24"/>
          <w:szCs w:val="24"/>
          <w:lang w:val="ro-RO" w:eastAsia="ro-RO"/>
        </w:rPr>
        <w:t xml:space="preserve"> pe parcursul anului 2022, situația fiind similară și pe parcursul anilor 2018-2021,</w:t>
      </w:r>
      <w:r w:rsidR="00F342EF">
        <w:rPr>
          <w:rFonts w:ascii="Times New Roman" w:eastAsia="Times New Roman" w:hAnsi="Times New Roman" w:cs="Times New Roman"/>
          <w:i/>
          <w:noProof/>
          <w:sz w:val="24"/>
          <w:szCs w:val="24"/>
          <w:lang w:val="ro-RO" w:eastAsia="ro-RO"/>
        </w:rPr>
        <w:t xml:space="preserve"> </w:t>
      </w:r>
      <w:r w:rsidRPr="0037151F">
        <w:rPr>
          <w:rFonts w:ascii="Times New Roman" w:eastAsia="Times New Roman" w:hAnsi="Times New Roman" w:cs="Times New Roman"/>
          <w:i/>
          <w:noProof/>
          <w:sz w:val="24"/>
          <w:szCs w:val="24"/>
          <w:lang w:val="ro-RO" w:eastAsia="ro-RO"/>
        </w:rPr>
        <w:t>c</w:t>
      </w:r>
      <w:r w:rsidR="00F342EF">
        <w:rPr>
          <w:rFonts w:ascii="Times New Roman" w:eastAsia="Times New Roman" w:hAnsi="Times New Roman" w:cs="Times New Roman"/>
          <w:i/>
          <w:noProof/>
          <w:sz w:val="24"/>
          <w:szCs w:val="24"/>
          <w:lang w:val="ro-RO" w:eastAsia="ro-RO"/>
        </w:rPr>
        <w:t>â</w:t>
      </w:r>
      <w:r w:rsidRPr="0037151F">
        <w:rPr>
          <w:rFonts w:ascii="Times New Roman" w:eastAsia="Times New Roman" w:hAnsi="Times New Roman" w:cs="Times New Roman"/>
          <w:i/>
          <w:noProof/>
          <w:sz w:val="24"/>
          <w:szCs w:val="24"/>
          <w:lang w:val="ro-RO" w:eastAsia="ro-RO"/>
        </w:rPr>
        <w:t>nd fluctuația a variat de la 18% p</w:t>
      </w:r>
      <w:r w:rsidR="00F342EF">
        <w:rPr>
          <w:rFonts w:ascii="Times New Roman" w:eastAsia="Times New Roman" w:hAnsi="Times New Roman" w:cs="Times New Roman"/>
          <w:i/>
          <w:noProof/>
          <w:sz w:val="24"/>
          <w:szCs w:val="24"/>
          <w:lang w:val="ro-RO" w:eastAsia="ro-RO"/>
        </w:rPr>
        <w:t>â</w:t>
      </w:r>
      <w:r w:rsidRPr="0037151F">
        <w:rPr>
          <w:rFonts w:ascii="Times New Roman" w:eastAsia="Times New Roman" w:hAnsi="Times New Roman" w:cs="Times New Roman"/>
          <w:i/>
          <w:noProof/>
          <w:sz w:val="24"/>
          <w:szCs w:val="24"/>
          <w:lang w:val="ro-RO" w:eastAsia="ro-RO"/>
        </w:rPr>
        <w:t>nă la 35%</w:t>
      </w:r>
      <w:r w:rsidRPr="0037151F">
        <w:rPr>
          <w:rFonts w:ascii="Times New Roman" w:hAnsi="Times New Roman" w:cs="Times New Roman"/>
          <w:i/>
          <w:sz w:val="24"/>
          <w:szCs w:val="24"/>
        </w:rPr>
        <w:t xml:space="preserve"> </w:t>
      </w:r>
      <w:r w:rsidRPr="0037151F">
        <w:rPr>
          <w:rFonts w:ascii="Times New Roman" w:hAnsi="Times New Roman" w:cs="Times New Roman"/>
          <w:i/>
          <w:color w:val="000000" w:themeColor="text1"/>
          <w:sz w:val="24"/>
          <w:szCs w:val="24"/>
        </w:rPr>
        <w:t>(</w:t>
      </w:r>
      <w:r w:rsidRPr="0037151F">
        <w:rPr>
          <w:rFonts w:ascii="Times New Roman" w:hAnsi="Times New Roman" w:cs="Times New Roman"/>
          <w:i/>
          <w:sz w:val="24"/>
          <w:szCs w:val="24"/>
        </w:rPr>
        <w:t>pct.2.1).</w:t>
      </w:r>
    </w:p>
    <w:p w14:paraId="20A8CF63" w14:textId="30D52372" w:rsidR="004B1A15" w:rsidRPr="00125A9A" w:rsidRDefault="004B1A15" w:rsidP="004B1A15">
      <w:pPr>
        <w:pStyle w:val="ListParagraph"/>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i/>
          <w:color w:val="000000" w:themeColor="text1"/>
          <w:sz w:val="24"/>
          <w:szCs w:val="24"/>
        </w:rPr>
      </w:pPr>
      <w:r w:rsidRPr="0037151F">
        <w:rPr>
          <w:rFonts w:ascii="Times New Roman" w:hAnsi="Times New Roman" w:cs="Times New Roman"/>
          <w:i/>
          <w:sz w:val="24"/>
          <w:szCs w:val="24"/>
        </w:rPr>
        <w:t xml:space="preserve"> </w:t>
      </w:r>
      <w:r w:rsidRPr="0037151F">
        <w:rPr>
          <w:rFonts w:ascii="Times New Roman" w:hAnsi="Times New Roman" w:cs="Times New Roman"/>
          <w:i/>
          <w:sz w:val="24"/>
          <w:szCs w:val="24"/>
          <w:lang w:val="ro-RO"/>
        </w:rPr>
        <w:t xml:space="preserve">Acordarea premiilor unice s-a efectuat la decizia </w:t>
      </w:r>
      <w:r w:rsidRPr="0002389B">
        <w:rPr>
          <w:rFonts w:ascii="Times New Roman" w:hAnsi="Times New Roman" w:cs="Times New Roman"/>
          <w:i/>
          <w:sz w:val="24"/>
          <w:szCs w:val="24"/>
          <w:lang w:val="ro-RO"/>
        </w:rPr>
        <w:t>conducerii CNPDCP, contrar</w:t>
      </w:r>
      <w:r w:rsidRPr="0077171B">
        <w:rPr>
          <w:rStyle w:val="FootnoteReference"/>
          <w:rFonts w:ascii="Times New Roman" w:hAnsi="Times New Roman" w:cs="Times New Roman"/>
          <w:i/>
          <w:sz w:val="24"/>
          <w:szCs w:val="24"/>
          <w:lang w:val="ro-RO"/>
        </w:rPr>
        <w:footnoteReference w:id="10"/>
      </w:r>
      <w:r w:rsidRPr="0002389B">
        <w:rPr>
          <w:rFonts w:ascii="Times New Roman" w:hAnsi="Times New Roman" w:cs="Times New Roman"/>
          <w:i/>
          <w:sz w:val="24"/>
          <w:szCs w:val="24"/>
          <w:lang w:val="ro-RO"/>
        </w:rPr>
        <w:t xml:space="preserve"> principiului</w:t>
      </w:r>
      <w:r w:rsidRPr="0037151F">
        <w:rPr>
          <w:rFonts w:ascii="Times New Roman" w:hAnsi="Times New Roman" w:cs="Times New Roman"/>
          <w:i/>
          <w:sz w:val="24"/>
          <w:szCs w:val="24"/>
          <w:lang w:val="ro-RO"/>
        </w:rPr>
        <w:t xml:space="preserve"> nediscriminării, echității în sensul asigurării tratamentului egal al angajaților</w:t>
      </w:r>
      <w:r w:rsidR="0002389B">
        <w:rPr>
          <w:rFonts w:ascii="Times New Roman" w:hAnsi="Times New Roman" w:cs="Times New Roman"/>
          <w:i/>
          <w:sz w:val="24"/>
          <w:szCs w:val="24"/>
          <w:lang w:val="ro-RO"/>
        </w:rPr>
        <w:t>.</w:t>
      </w:r>
      <w:r w:rsidRPr="0037151F">
        <w:rPr>
          <w:rFonts w:ascii="Times New Roman" w:hAnsi="Times New Roman" w:cs="Times New Roman"/>
          <w:b/>
          <w:i/>
          <w:sz w:val="24"/>
          <w:szCs w:val="24"/>
          <w:lang w:val="ro-RO"/>
        </w:rPr>
        <w:t xml:space="preserve"> </w:t>
      </w:r>
      <w:r w:rsidR="0002389B">
        <w:rPr>
          <w:rFonts w:ascii="Times New Roman" w:hAnsi="Times New Roman" w:cs="Times New Roman"/>
          <w:i/>
          <w:sz w:val="24"/>
          <w:szCs w:val="24"/>
        </w:rPr>
        <w:t>P</w:t>
      </w:r>
      <w:r w:rsidRPr="0037151F">
        <w:rPr>
          <w:rFonts w:ascii="Times New Roman" w:hAnsi="Times New Roman" w:cs="Times New Roman"/>
          <w:i/>
          <w:sz w:val="24"/>
          <w:szCs w:val="24"/>
        </w:rPr>
        <w:t>remiile unice în sumă de 1</w:t>
      </w:r>
      <w:r w:rsidR="0002389B">
        <w:rPr>
          <w:rFonts w:ascii="Times New Roman" w:hAnsi="Times New Roman" w:cs="Times New Roman"/>
          <w:i/>
          <w:sz w:val="24"/>
          <w:szCs w:val="24"/>
        </w:rPr>
        <w:t>.</w:t>
      </w:r>
      <w:r w:rsidRPr="0037151F">
        <w:rPr>
          <w:rFonts w:ascii="Times New Roman" w:hAnsi="Times New Roman" w:cs="Times New Roman"/>
          <w:i/>
          <w:sz w:val="24"/>
          <w:szCs w:val="24"/>
        </w:rPr>
        <w:t xml:space="preserve">760,0 mii </w:t>
      </w:r>
      <w:r w:rsidRPr="0002389B">
        <w:rPr>
          <w:rFonts w:ascii="Times New Roman" w:hAnsi="Times New Roman" w:cs="Times New Roman"/>
          <w:i/>
          <w:sz w:val="24"/>
          <w:szCs w:val="24"/>
        </w:rPr>
        <w:t>lei</w:t>
      </w:r>
      <w:r w:rsidRPr="0077171B">
        <w:rPr>
          <w:rStyle w:val="FootnoteReference"/>
          <w:rFonts w:ascii="Times New Roman" w:hAnsi="Times New Roman" w:cs="Times New Roman"/>
          <w:i/>
          <w:sz w:val="24"/>
          <w:szCs w:val="24"/>
        </w:rPr>
        <w:footnoteReference w:id="11"/>
      </w:r>
      <w:r w:rsidRPr="0002389B">
        <w:rPr>
          <w:rFonts w:ascii="Times New Roman" w:hAnsi="Times New Roman" w:cs="Times New Roman"/>
          <w:i/>
          <w:sz w:val="24"/>
          <w:szCs w:val="24"/>
        </w:rPr>
        <w:t xml:space="preserve"> </w:t>
      </w:r>
      <w:r w:rsidR="0002389B">
        <w:rPr>
          <w:rFonts w:ascii="Times New Roman" w:hAnsi="Times New Roman" w:cs="Times New Roman"/>
          <w:i/>
          <w:sz w:val="24"/>
          <w:szCs w:val="24"/>
        </w:rPr>
        <w:t>au fost</w:t>
      </w:r>
      <w:r w:rsidRPr="0002389B">
        <w:rPr>
          <w:rFonts w:ascii="Times New Roman" w:hAnsi="Times New Roman" w:cs="Times New Roman"/>
          <w:i/>
          <w:sz w:val="24"/>
          <w:szCs w:val="24"/>
          <w:lang w:val="ro-RO"/>
        </w:rPr>
        <w:t xml:space="preserve"> distribuite neuniform între angajații entității</w:t>
      </w:r>
      <w:r w:rsidR="0002389B">
        <w:rPr>
          <w:rFonts w:ascii="Times New Roman" w:hAnsi="Times New Roman" w:cs="Times New Roman"/>
          <w:i/>
          <w:sz w:val="24"/>
          <w:szCs w:val="24"/>
          <w:lang w:val="ro-RO"/>
        </w:rPr>
        <w:t>:</w:t>
      </w:r>
      <w:r w:rsidRPr="0002389B">
        <w:rPr>
          <w:rFonts w:ascii="Times New Roman" w:hAnsi="Times New Roman" w:cs="Times New Roman"/>
          <w:i/>
          <w:sz w:val="24"/>
          <w:szCs w:val="24"/>
          <w:lang w:val="ro-RO"/>
        </w:rPr>
        <w:t xml:space="preserve"> pentru personalul de execuție acestea variind de</w:t>
      </w:r>
      <w:r w:rsidRPr="0037151F">
        <w:rPr>
          <w:rFonts w:ascii="Times New Roman" w:hAnsi="Times New Roman" w:cs="Times New Roman"/>
          <w:i/>
          <w:sz w:val="24"/>
          <w:szCs w:val="24"/>
          <w:lang w:val="ro-RO"/>
        </w:rPr>
        <w:t xml:space="preserve"> la 500 lei până la 3</w:t>
      </w:r>
      <w:r w:rsidR="0002389B">
        <w:rPr>
          <w:rFonts w:ascii="Times New Roman" w:hAnsi="Times New Roman" w:cs="Times New Roman"/>
          <w:i/>
          <w:sz w:val="24"/>
          <w:szCs w:val="24"/>
          <w:lang w:val="ro-RO"/>
        </w:rPr>
        <w:t>.</w:t>
      </w:r>
      <w:r w:rsidRPr="0037151F">
        <w:rPr>
          <w:rFonts w:ascii="Times New Roman" w:hAnsi="Times New Roman" w:cs="Times New Roman"/>
          <w:i/>
          <w:sz w:val="24"/>
          <w:szCs w:val="24"/>
          <w:lang w:val="ro-RO"/>
        </w:rPr>
        <w:t xml:space="preserve">000 lei, iar pentru conducerea CNPDCP </w:t>
      </w:r>
      <w:r w:rsidR="0002389B" w:rsidRPr="002111CE">
        <w:rPr>
          <w:rFonts w:ascii="Times New Roman" w:hAnsi="Times New Roman" w:cs="Times New Roman"/>
          <w:i/>
          <w:color w:val="000000" w:themeColor="text1"/>
          <w:sz w:val="24"/>
          <w:szCs w:val="24"/>
        </w:rPr>
        <w:t>–</w:t>
      </w:r>
      <w:r w:rsidR="0002389B">
        <w:rPr>
          <w:rFonts w:ascii="Times New Roman" w:hAnsi="Times New Roman" w:cs="Times New Roman"/>
          <w:i/>
          <w:color w:val="000000" w:themeColor="text1"/>
          <w:sz w:val="24"/>
          <w:szCs w:val="24"/>
        </w:rPr>
        <w:t xml:space="preserve"> </w:t>
      </w:r>
      <w:r w:rsidRPr="0037151F">
        <w:rPr>
          <w:rFonts w:ascii="Times New Roman" w:hAnsi="Times New Roman" w:cs="Times New Roman"/>
          <w:i/>
          <w:sz w:val="24"/>
          <w:szCs w:val="24"/>
          <w:lang w:val="ro-RO"/>
        </w:rPr>
        <w:t>de la 6</w:t>
      </w:r>
      <w:r w:rsidR="0002389B">
        <w:rPr>
          <w:rFonts w:ascii="Times New Roman" w:hAnsi="Times New Roman" w:cs="Times New Roman"/>
          <w:i/>
          <w:sz w:val="24"/>
          <w:szCs w:val="24"/>
          <w:lang w:val="ro-RO"/>
        </w:rPr>
        <w:t>.</w:t>
      </w:r>
      <w:r w:rsidRPr="0037151F">
        <w:rPr>
          <w:rFonts w:ascii="Times New Roman" w:hAnsi="Times New Roman" w:cs="Times New Roman"/>
          <w:i/>
          <w:sz w:val="24"/>
          <w:szCs w:val="24"/>
          <w:lang w:val="ro-RO"/>
        </w:rPr>
        <w:t>000 lei până la 12</w:t>
      </w:r>
      <w:r w:rsidR="0002389B">
        <w:rPr>
          <w:rFonts w:ascii="Times New Roman" w:hAnsi="Times New Roman" w:cs="Times New Roman"/>
          <w:i/>
          <w:sz w:val="24"/>
          <w:szCs w:val="24"/>
          <w:lang w:val="ro-RO"/>
        </w:rPr>
        <w:t>.</w:t>
      </w:r>
      <w:r w:rsidRPr="0037151F">
        <w:rPr>
          <w:rFonts w:ascii="Times New Roman" w:hAnsi="Times New Roman" w:cs="Times New Roman"/>
          <w:i/>
          <w:sz w:val="24"/>
          <w:szCs w:val="24"/>
          <w:lang w:val="ro-RO"/>
        </w:rPr>
        <w:t>800 lei, sau de 4 – 26 ori mai mult comparativ cu</w:t>
      </w:r>
      <w:r w:rsidRPr="0037151F">
        <w:rPr>
          <w:rFonts w:ascii="Times New Roman" w:hAnsi="Times New Roman" w:cs="Times New Roman"/>
          <w:i/>
          <w:sz w:val="24"/>
          <w:szCs w:val="24"/>
        </w:rPr>
        <w:t xml:space="preserve"> premiile unice acordate</w:t>
      </w:r>
      <w:r w:rsidRPr="0037151F">
        <w:rPr>
          <w:rFonts w:ascii="Times New Roman" w:hAnsi="Times New Roman" w:cs="Times New Roman"/>
          <w:i/>
          <w:sz w:val="24"/>
          <w:szCs w:val="24"/>
          <w:lang w:val="ro-RO"/>
        </w:rPr>
        <w:t xml:space="preserve"> personalului de execuție </w:t>
      </w:r>
      <w:r w:rsidR="00CB2491" w:rsidRPr="0037151F">
        <w:rPr>
          <w:rFonts w:ascii="Times New Roman" w:hAnsi="Times New Roman" w:cs="Times New Roman"/>
          <w:i/>
          <w:sz w:val="24"/>
          <w:szCs w:val="24"/>
        </w:rPr>
        <w:t>(pct. 4.2.2)</w:t>
      </w:r>
      <w:r w:rsidR="00CB2491" w:rsidRPr="0037151F">
        <w:rPr>
          <w:rFonts w:ascii="Times New Roman" w:hAnsi="Times New Roman" w:cs="Times New Roman"/>
          <w:i/>
          <w:sz w:val="24"/>
          <w:szCs w:val="24"/>
          <w:lang w:val="ro-RO"/>
        </w:rPr>
        <w:t>.</w:t>
      </w:r>
    </w:p>
    <w:p w14:paraId="0728CD3A" w14:textId="77777777" w:rsidR="004B1A15" w:rsidRPr="0037151F" w:rsidRDefault="004B1A15" w:rsidP="004B1A15">
      <w:pPr>
        <w:pStyle w:val="ListParagraph"/>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color w:val="000000" w:themeColor="text1"/>
          <w:sz w:val="24"/>
          <w:szCs w:val="24"/>
        </w:rPr>
      </w:pPr>
      <w:r w:rsidRPr="0037151F">
        <w:rPr>
          <w:rFonts w:ascii="Times New Roman" w:hAnsi="Times New Roman" w:cs="Times New Roman"/>
          <w:i/>
          <w:sz w:val="24"/>
          <w:szCs w:val="24"/>
          <w:lang w:val="ro-RO"/>
        </w:rPr>
        <w:t>În anii 2019-2020, CNPDCP a achitat sporuri pentru cumularea funcțiilor vacante la 12 angajați</w:t>
      </w:r>
      <w:r w:rsidR="007B314B">
        <w:rPr>
          <w:rFonts w:ascii="Times New Roman" w:hAnsi="Times New Roman" w:cs="Times New Roman"/>
          <w:i/>
          <w:sz w:val="24"/>
          <w:szCs w:val="24"/>
          <w:lang w:val="ro-RO"/>
        </w:rPr>
        <w:t>,</w:t>
      </w:r>
      <w:r w:rsidRPr="0037151F">
        <w:rPr>
          <w:rFonts w:ascii="Times New Roman" w:hAnsi="Times New Roman" w:cs="Times New Roman"/>
          <w:i/>
          <w:sz w:val="24"/>
          <w:szCs w:val="24"/>
          <w:lang w:val="ro-RO"/>
        </w:rPr>
        <w:t xml:space="preserve"> în sumă de 289,1 mii lei, însă ordinele conducerii privind cumularea funcțiilor vacante de către angajații entității au fost emise neregulamentar</w:t>
      </w:r>
      <w:r w:rsidR="0002389B">
        <w:rPr>
          <w:rFonts w:ascii="Times New Roman" w:hAnsi="Times New Roman" w:cs="Times New Roman"/>
          <w:i/>
          <w:sz w:val="24"/>
          <w:szCs w:val="24"/>
          <w:lang w:val="ro-RO"/>
        </w:rPr>
        <w:t>,</w:t>
      </w:r>
      <w:r w:rsidRPr="0037151F">
        <w:rPr>
          <w:rFonts w:ascii="Times New Roman" w:hAnsi="Times New Roman" w:cs="Times New Roman"/>
          <w:i/>
          <w:sz w:val="24"/>
          <w:szCs w:val="24"/>
          <w:lang w:val="ro-RO"/>
        </w:rPr>
        <w:t xml:space="preserve"> la finele lunii, ulterior desfășurării activităților de cumulare sau post-factum </w:t>
      </w:r>
      <w:r w:rsidRPr="0037151F">
        <w:rPr>
          <w:rFonts w:ascii="Times New Roman" w:hAnsi="Times New Roman" w:cs="Times New Roman"/>
          <w:i/>
          <w:sz w:val="24"/>
          <w:szCs w:val="24"/>
        </w:rPr>
        <w:t>(pct. 4.2.2)</w:t>
      </w:r>
      <w:r w:rsidRPr="0037151F">
        <w:rPr>
          <w:rFonts w:ascii="Times New Roman" w:hAnsi="Times New Roman" w:cs="Times New Roman"/>
          <w:i/>
          <w:sz w:val="24"/>
          <w:szCs w:val="24"/>
          <w:lang w:val="ro-RO"/>
        </w:rPr>
        <w:t xml:space="preserve">. </w:t>
      </w:r>
    </w:p>
    <w:p w14:paraId="4355EFC1" w14:textId="2F6CCAC1" w:rsidR="004B1A15" w:rsidRPr="0002389B" w:rsidRDefault="004B1A15" w:rsidP="004B1A15">
      <w:pPr>
        <w:pStyle w:val="ListParagraph"/>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color w:val="000000" w:themeColor="text1"/>
          <w:sz w:val="24"/>
          <w:szCs w:val="24"/>
        </w:rPr>
      </w:pPr>
      <w:r w:rsidRPr="0037151F">
        <w:rPr>
          <w:rFonts w:ascii="Times New Roman" w:hAnsi="Times New Roman" w:cs="Times New Roman"/>
          <w:i/>
          <w:sz w:val="24"/>
          <w:szCs w:val="24"/>
          <w:lang w:val="ro-RO"/>
        </w:rPr>
        <w:t xml:space="preserve">În anul 2018, angajații CNPDCP au beneficiat de 12 premii unice lunare în sumă de </w:t>
      </w:r>
      <w:r w:rsidRPr="0037151F">
        <w:rPr>
          <w:rFonts w:ascii="Times New Roman" w:hAnsi="Times New Roman" w:cs="Times New Roman"/>
          <w:i/>
          <w:sz w:val="24"/>
          <w:szCs w:val="24"/>
        </w:rPr>
        <w:t>1</w:t>
      </w:r>
      <w:r w:rsidR="0002389B">
        <w:rPr>
          <w:rFonts w:ascii="Times New Roman" w:hAnsi="Times New Roman" w:cs="Times New Roman"/>
          <w:i/>
          <w:sz w:val="24"/>
          <w:szCs w:val="24"/>
        </w:rPr>
        <w:t>.</w:t>
      </w:r>
      <w:r w:rsidRPr="0037151F">
        <w:rPr>
          <w:rFonts w:ascii="Times New Roman" w:hAnsi="Times New Roman" w:cs="Times New Roman"/>
          <w:i/>
          <w:sz w:val="24"/>
          <w:szCs w:val="24"/>
        </w:rPr>
        <w:t xml:space="preserve">072,5 mii lei, </w:t>
      </w:r>
      <w:r w:rsidRPr="0037151F">
        <w:rPr>
          <w:rFonts w:ascii="Times New Roman" w:hAnsi="Times New Roman" w:cs="Times New Roman"/>
          <w:i/>
          <w:sz w:val="24"/>
          <w:szCs w:val="24"/>
          <w:lang w:val="ro-RO"/>
        </w:rPr>
        <w:t xml:space="preserve">inclusiv </w:t>
      </w:r>
      <w:r w:rsidR="007B314B">
        <w:rPr>
          <w:rFonts w:ascii="Times New Roman" w:hAnsi="Times New Roman" w:cs="Times New Roman"/>
          <w:i/>
          <w:sz w:val="24"/>
          <w:szCs w:val="24"/>
          <w:lang w:val="ro-RO"/>
        </w:rPr>
        <w:t xml:space="preserve">de </w:t>
      </w:r>
      <w:r w:rsidRPr="0037151F">
        <w:rPr>
          <w:rFonts w:ascii="Times New Roman" w:hAnsi="Times New Roman" w:cs="Times New Roman"/>
          <w:i/>
          <w:sz w:val="24"/>
          <w:szCs w:val="24"/>
          <w:lang w:val="ro-RO"/>
        </w:rPr>
        <w:t>8 premii unice de 788,2 mii lei pentru zile</w:t>
      </w:r>
      <w:r w:rsidR="0002389B">
        <w:rPr>
          <w:rFonts w:ascii="Times New Roman" w:hAnsi="Times New Roman" w:cs="Times New Roman"/>
          <w:i/>
          <w:sz w:val="24"/>
          <w:szCs w:val="24"/>
          <w:lang w:val="ro-RO"/>
        </w:rPr>
        <w:t>le</w:t>
      </w:r>
      <w:r w:rsidRPr="0037151F">
        <w:rPr>
          <w:rFonts w:ascii="Times New Roman" w:hAnsi="Times New Roman" w:cs="Times New Roman"/>
          <w:i/>
          <w:sz w:val="24"/>
          <w:szCs w:val="24"/>
          <w:lang w:val="ro-RO"/>
        </w:rPr>
        <w:t xml:space="preserve"> de sărbătoare nelucrătoare și 4 premii unice în sumă de 284</w:t>
      </w:r>
      <w:r w:rsidRPr="0002389B">
        <w:rPr>
          <w:rFonts w:ascii="Times New Roman" w:hAnsi="Times New Roman" w:cs="Times New Roman"/>
          <w:i/>
          <w:sz w:val="24"/>
          <w:szCs w:val="24"/>
          <w:lang w:val="ro-RO"/>
        </w:rPr>
        <w:t>,3 mii lei pentru sărbătoarea profesională</w:t>
      </w:r>
      <w:r w:rsidRPr="0077171B">
        <w:rPr>
          <w:rStyle w:val="FootnoteReference"/>
          <w:rFonts w:ascii="Times New Roman" w:hAnsi="Times New Roman" w:cs="Times New Roman"/>
          <w:i/>
          <w:sz w:val="24"/>
          <w:szCs w:val="24"/>
          <w:lang w:val="ro-RO"/>
        </w:rPr>
        <w:footnoteReference w:id="12"/>
      </w:r>
      <w:r w:rsidRPr="0002389B">
        <w:rPr>
          <w:rFonts w:ascii="Times New Roman" w:hAnsi="Times New Roman" w:cs="Times New Roman"/>
          <w:i/>
          <w:sz w:val="24"/>
          <w:szCs w:val="24"/>
          <w:lang w:val="ro-RO"/>
        </w:rPr>
        <w:t>, iar ordinele cu privire la premiere pentru lun</w:t>
      </w:r>
      <w:r w:rsidR="007B314B">
        <w:rPr>
          <w:rFonts w:ascii="Times New Roman" w:hAnsi="Times New Roman" w:cs="Times New Roman"/>
          <w:i/>
          <w:sz w:val="24"/>
          <w:szCs w:val="24"/>
          <w:lang w:val="ro-RO"/>
        </w:rPr>
        <w:t>ile</w:t>
      </w:r>
      <w:r w:rsidRPr="0002389B">
        <w:rPr>
          <w:rFonts w:ascii="Times New Roman" w:hAnsi="Times New Roman" w:cs="Times New Roman"/>
          <w:i/>
          <w:sz w:val="24"/>
          <w:szCs w:val="24"/>
          <w:lang w:val="ro-RO"/>
        </w:rPr>
        <w:t xml:space="preserve"> septembrie</w:t>
      </w:r>
      <w:r w:rsidRPr="0077171B">
        <w:rPr>
          <w:rStyle w:val="FootnoteReference"/>
          <w:rFonts w:ascii="Times New Roman" w:hAnsi="Times New Roman" w:cs="Times New Roman"/>
          <w:i/>
          <w:sz w:val="24"/>
          <w:szCs w:val="24"/>
          <w:lang w:val="ro-RO"/>
        </w:rPr>
        <w:footnoteReference w:id="13"/>
      </w:r>
      <w:r w:rsidRPr="0002389B">
        <w:rPr>
          <w:rFonts w:ascii="Times New Roman" w:hAnsi="Times New Roman" w:cs="Times New Roman"/>
          <w:i/>
          <w:sz w:val="24"/>
          <w:szCs w:val="24"/>
          <w:lang w:val="ro-RO"/>
        </w:rPr>
        <w:t xml:space="preserve"> și august</w:t>
      </w:r>
      <w:r w:rsidRPr="0077171B">
        <w:rPr>
          <w:rStyle w:val="FootnoteReference"/>
          <w:rFonts w:ascii="Times New Roman" w:hAnsi="Times New Roman" w:cs="Times New Roman"/>
          <w:i/>
          <w:sz w:val="24"/>
          <w:szCs w:val="24"/>
          <w:lang w:val="ro-RO"/>
        </w:rPr>
        <w:footnoteReference w:id="14"/>
      </w:r>
      <w:r w:rsidRPr="0002389B">
        <w:rPr>
          <w:rFonts w:ascii="Times New Roman" w:hAnsi="Times New Roman" w:cs="Times New Roman"/>
          <w:i/>
          <w:sz w:val="24"/>
          <w:szCs w:val="24"/>
          <w:lang w:val="ro-RO"/>
        </w:rPr>
        <w:t xml:space="preserve"> au fost emise neregulamentar, în luna următoare, după efectuarea plăților propriu</w:t>
      </w:r>
      <w:r w:rsidR="0002389B">
        <w:rPr>
          <w:rFonts w:ascii="Times New Roman" w:hAnsi="Times New Roman" w:cs="Times New Roman"/>
          <w:i/>
          <w:sz w:val="24"/>
          <w:szCs w:val="24"/>
          <w:lang w:val="ro-RO"/>
        </w:rPr>
        <w:t>-</w:t>
      </w:r>
      <w:r w:rsidRPr="0002389B">
        <w:rPr>
          <w:rFonts w:ascii="Times New Roman" w:hAnsi="Times New Roman" w:cs="Times New Roman"/>
          <w:i/>
          <w:sz w:val="24"/>
          <w:szCs w:val="24"/>
          <w:lang w:val="ro-RO"/>
        </w:rPr>
        <w:t xml:space="preserve">zise </w:t>
      </w:r>
      <w:r w:rsidRPr="0002389B">
        <w:rPr>
          <w:rFonts w:ascii="Times New Roman" w:hAnsi="Times New Roman" w:cs="Times New Roman"/>
          <w:i/>
          <w:sz w:val="24"/>
          <w:szCs w:val="24"/>
        </w:rPr>
        <w:t>(pct. 4.2.2)</w:t>
      </w:r>
      <w:r w:rsidRPr="0002389B">
        <w:rPr>
          <w:rFonts w:ascii="Times New Roman" w:hAnsi="Times New Roman" w:cs="Times New Roman"/>
          <w:i/>
          <w:sz w:val="24"/>
          <w:szCs w:val="24"/>
          <w:lang w:val="ro-RO"/>
        </w:rPr>
        <w:t>.</w:t>
      </w:r>
    </w:p>
    <w:p w14:paraId="52DB961B" w14:textId="708D28C9" w:rsidR="004B1A15" w:rsidRPr="0002389B" w:rsidRDefault="004B1A15" w:rsidP="004B1A15">
      <w:pPr>
        <w:pStyle w:val="ListParagraph"/>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color w:val="000000" w:themeColor="text1"/>
          <w:sz w:val="24"/>
          <w:szCs w:val="24"/>
        </w:rPr>
      </w:pPr>
      <w:r w:rsidRPr="0002389B">
        <w:rPr>
          <w:rFonts w:ascii="Times New Roman" w:hAnsi="Times New Roman" w:cs="Times New Roman"/>
          <w:i/>
          <w:sz w:val="24"/>
          <w:szCs w:val="24"/>
          <w:lang w:val="ro-RO"/>
        </w:rPr>
        <w:t>Cumularea funcției de audit intern</w:t>
      </w:r>
      <w:r w:rsidRPr="0077171B">
        <w:rPr>
          <w:rStyle w:val="FootnoteReference"/>
          <w:rFonts w:ascii="Times New Roman" w:hAnsi="Times New Roman" w:cs="Times New Roman"/>
          <w:i/>
          <w:sz w:val="24"/>
          <w:szCs w:val="24"/>
          <w:lang w:val="ro-RO"/>
        </w:rPr>
        <w:footnoteReference w:id="15"/>
      </w:r>
      <w:r w:rsidRPr="0002389B">
        <w:rPr>
          <w:rFonts w:ascii="Times New Roman" w:hAnsi="Times New Roman" w:cs="Times New Roman"/>
          <w:i/>
          <w:sz w:val="24"/>
          <w:szCs w:val="24"/>
          <w:lang w:val="ro-RO"/>
        </w:rPr>
        <w:t xml:space="preserve"> de către un angajat al </w:t>
      </w:r>
      <w:r w:rsidR="001F7A1F">
        <w:rPr>
          <w:rFonts w:ascii="Times New Roman" w:hAnsi="Times New Roman" w:cs="Times New Roman"/>
          <w:i/>
          <w:sz w:val="24"/>
          <w:szCs w:val="24"/>
          <w:lang w:val="ro-RO"/>
        </w:rPr>
        <w:t>S</w:t>
      </w:r>
      <w:r w:rsidRPr="0002389B">
        <w:rPr>
          <w:rFonts w:ascii="Times New Roman" w:hAnsi="Times New Roman" w:cs="Times New Roman"/>
          <w:i/>
          <w:sz w:val="24"/>
          <w:szCs w:val="24"/>
          <w:lang w:val="ro-RO"/>
        </w:rPr>
        <w:t>ecției juridice, care deținea funcția de șef adjunct de direcție</w:t>
      </w:r>
      <w:r w:rsidR="0002389B">
        <w:rPr>
          <w:rFonts w:ascii="Times New Roman" w:hAnsi="Times New Roman" w:cs="Times New Roman"/>
          <w:i/>
          <w:sz w:val="24"/>
          <w:szCs w:val="24"/>
          <w:lang w:val="ro-RO"/>
        </w:rPr>
        <w:t>,</w:t>
      </w:r>
      <w:r w:rsidRPr="0002389B">
        <w:rPr>
          <w:rFonts w:ascii="Times New Roman" w:hAnsi="Times New Roman" w:cs="Times New Roman"/>
          <w:i/>
          <w:sz w:val="24"/>
          <w:szCs w:val="24"/>
          <w:lang w:val="ro-RO"/>
        </w:rPr>
        <w:t xml:space="preserve"> este incompatibilă cu funcția deținută și nu oferă independență organizațională și funcțională în realizarea activităților de audit intern </w:t>
      </w:r>
      <w:r w:rsidRPr="0002389B">
        <w:rPr>
          <w:rFonts w:ascii="Times New Roman" w:hAnsi="Times New Roman" w:cs="Times New Roman"/>
          <w:i/>
          <w:sz w:val="24"/>
          <w:szCs w:val="24"/>
        </w:rPr>
        <w:t>(pct. 4.2.2)</w:t>
      </w:r>
      <w:r w:rsidRPr="0002389B">
        <w:rPr>
          <w:rFonts w:ascii="Times New Roman" w:hAnsi="Times New Roman" w:cs="Times New Roman"/>
          <w:i/>
          <w:sz w:val="24"/>
          <w:szCs w:val="24"/>
          <w:lang w:val="ro-RO"/>
        </w:rPr>
        <w:t>.</w:t>
      </w:r>
    </w:p>
    <w:p w14:paraId="4D1A5F3A" w14:textId="726289B3" w:rsidR="004B1A15" w:rsidRPr="0037151F" w:rsidRDefault="004B1A15" w:rsidP="004B1A15">
      <w:pPr>
        <w:pStyle w:val="ListParagraph"/>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color w:val="000000" w:themeColor="text1"/>
          <w:sz w:val="24"/>
          <w:szCs w:val="24"/>
        </w:rPr>
      </w:pPr>
      <w:r w:rsidRPr="0002389B">
        <w:rPr>
          <w:rFonts w:ascii="Times New Roman" w:eastAsia="Times New Roman" w:hAnsi="Times New Roman" w:cs="Times New Roman"/>
          <w:bCs/>
          <w:color w:val="000000" w:themeColor="text1"/>
          <w:sz w:val="24"/>
          <w:szCs w:val="24"/>
        </w:rPr>
        <w:t xml:space="preserve"> </w:t>
      </w:r>
      <w:r w:rsidR="00947A7A" w:rsidRPr="0002389B">
        <w:rPr>
          <w:rFonts w:ascii="Times New Roman" w:eastAsia="Times New Roman" w:hAnsi="Times New Roman" w:cs="Times New Roman"/>
          <w:bCs/>
          <w:i/>
          <w:color w:val="000000" w:themeColor="text1"/>
          <w:sz w:val="24"/>
          <w:szCs w:val="24"/>
        </w:rPr>
        <w:t>N</w:t>
      </w:r>
      <w:r w:rsidRPr="0002389B">
        <w:rPr>
          <w:rFonts w:ascii="Times New Roman" w:hAnsi="Times New Roman" w:cs="Times New Roman"/>
          <w:i/>
          <w:sz w:val="24"/>
          <w:szCs w:val="24"/>
        </w:rPr>
        <w:t>u a</w:t>
      </w:r>
      <w:r w:rsidR="00947A7A" w:rsidRPr="0002389B">
        <w:rPr>
          <w:rFonts w:ascii="Times New Roman" w:hAnsi="Times New Roman" w:cs="Times New Roman"/>
          <w:i/>
          <w:sz w:val="24"/>
          <w:szCs w:val="24"/>
        </w:rPr>
        <w:t xml:space="preserve"> fost</w:t>
      </w:r>
      <w:r w:rsidRPr="0002389B">
        <w:rPr>
          <w:rFonts w:ascii="Times New Roman" w:hAnsi="Times New Roman" w:cs="Times New Roman"/>
          <w:i/>
          <w:sz w:val="24"/>
          <w:szCs w:val="24"/>
        </w:rPr>
        <w:t xml:space="preserve"> asigurat</w:t>
      </w:r>
      <w:r w:rsidR="00947A7A" w:rsidRPr="0002389B">
        <w:rPr>
          <w:rFonts w:ascii="Times New Roman" w:hAnsi="Times New Roman" w:cs="Times New Roman"/>
          <w:i/>
          <w:sz w:val="24"/>
          <w:szCs w:val="24"/>
        </w:rPr>
        <w:t>ă</w:t>
      </w:r>
      <w:r w:rsidRPr="0002389B">
        <w:rPr>
          <w:rFonts w:ascii="Times New Roman" w:hAnsi="Times New Roman" w:cs="Times New Roman"/>
          <w:i/>
          <w:sz w:val="24"/>
          <w:szCs w:val="24"/>
        </w:rPr>
        <w:t xml:space="preserve"> conformitatea reglementărilor</w:t>
      </w:r>
      <w:r w:rsidRPr="0002389B">
        <w:rPr>
          <w:rFonts w:ascii="Times New Roman" w:eastAsia="Times New Roman" w:hAnsi="Times New Roman" w:cs="Times New Roman"/>
          <w:i/>
          <w:sz w:val="24"/>
          <w:szCs w:val="24"/>
        </w:rPr>
        <w:t xml:space="preserve"> ce țin de</w:t>
      </w:r>
      <w:r w:rsidRPr="0002389B">
        <w:rPr>
          <w:rFonts w:ascii="Times New Roman" w:hAnsi="Times New Roman" w:cs="Times New Roman"/>
          <w:i/>
          <w:sz w:val="24"/>
          <w:szCs w:val="24"/>
        </w:rPr>
        <w:t xml:space="preserve"> deplasările de serviciu în străinătate, exprimate prin: nepublicarea pe pagina web oficială a informațiilor privind 40 de detașări (</w:t>
      </w:r>
      <w:r w:rsidRPr="0002389B">
        <w:rPr>
          <w:rFonts w:ascii="Times New Roman" w:eastAsia="Calibri" w:hAnsi="Times New Roman" w:cs="Times New Roman"/>
          <w:i/>
          <w:sz w:val="24"/>
          <w:szCs w:val="24"/>
        </w:rPr>
        <w:t>1</w:t>
      </w:r>
      <w:r w:rsidR="0002389B">
        <w:rPr>
          <w:rFonts w:ascii="Times New Roman" w:eastAsia="Calibri" w:hAnsi="Times New Roman" w:cs="Times New Roman"/>
          <w:i/>
          <w:sz w:val="24"/>
          <w:szCs w:val="24"/>
        </w:rPr>
        <w:t>.</w:t>
      </w:r>
      <w:r w:rsidRPr="0002389B">
        <w:rPr>
          <w:rFonts w:ascii="Times New Roman" w:eastAsia="Calibri" w:hAnsi="Times New Roman" w:cs="Times New Roman"/>
          <w:i/>
          <w:sz w:val="24"/>
          <w:szCs w:val="24"/>
        </w:rPr>
        <w:t>034,9 mii lei)</w:t>
      </w:r>
      <w:r w:rsidRPr="0002389B">
        <w:rPr>
          <w:rFonts w:ascii="Times New Roman" w:hAnsi="Times New Roman" w:cs="Times New Roman"/>
          <w:i/>
          <w:sz w:val="24"/>
          <w:szCs w:val="24"/>
        </w:rPr>
        <w:t>; achitarea neregulamentară</w:t>
      </w:r>
      <w:r w:rsidR="0002389B">
        <w:rPr>
          <w:rFonts w:ascii="Times New Roman" w:hAnsi="Times New Roman" w:cs="Times New Roman"/>
          <w:i/>
          <w:sz w:val="24"/>
          <w:szCs w:val="24"/>
        </w:rPr>
        <w:t>,</w:t>
      </w:r>
      <w:r w:rsidRPr="0002389B">
        <w:rPr>
          <w:rFonts w:ascii="Times New Roman" w:hAnsi="Times New Roman" w:cs="Times New Roman"/>
          <w:i/>
          <w:sz w:val="24"/>
          <w:szCs w:val="24"/>
        </w:rPr>
        <w:t xml:space="preserve"> în cazul a 18 deplasări </w:t>
      </w:r>
      <w:r w:rsidRPr="0002389B">
        <w:rPr>
          <w:rFonts w:ascii="Times New Roman" w:hAnsi="Times New Roman" w:cs="Times New Roman"/>
          <w:i/>
          <w:sz w:val="24"/>
          <w:szCs w:val="24"/>
          <w:lang w:val="ro-RO"/>
        </w:rPr>
        <w:t>de serviciu în străinătate,</w:t>
      </w:r>
      <w:r w:rsidRPr="00BE4B86">
        <w:rPr>
          <w:rFonts w:ascii="Times New Roman" w:hAnsi="Times New Roman" w:cs="Times New Roman"/>
          <w:i/>
          <w:sz w:val="24"/>
          <w:szCs w:val="24"/>
        </w:rPr>
        <w:t xml:space="preserve"> a cheltuielilor pentru utilizarea taximetrelor fără a</w:t>
      </w:r>
      <w:r w:rsidRPr="0037151F">
        <w:rPr>
          <w:rFonts w:ascii="Times New Roman" w:hAnsi="Times New Roman" w:cs="Times New Roman"/>
          <w:i/>
          <w:sz w:val="24"/>
          <w:szCs w:val="24"/>
        </w:rPr>
        <w:t xml:space="preserve"> anexa documentele justificative privind necesitatea utilizării acestor servicii</w:t>
      </w:r>
      <w:r w:rsidR="00947A7A">
        <w:rPr>
          <w:rFonts w:ascii="Times New Roman" w:hAnsi="Times New Roman" w:cs="Times New Roman"/>
          <w:i/>
          <w:sz w:val="24"/>
          <w:szCs w:val="24"/>
        </w:rPr>
        <w:t xml:space="preserve"> </w:t>
      </w:r>
      <w:r w:rsidR="00947A7A" w:rsidRPr="0037151F">
        <w:rPr>
          <w:rFonts w:ascii="Times New Roman" w:hAnsi="Times New Roman" w:cs="Times New Roman"/>
          <w:i/>
          <w:sz w:val="24"/>
          <w:szCs w:val="24"/>
        </w:rPr>
        <w:t>(18,8 mii lei)</w:t>
      </w:r>
      <w:r w:rsidRPr="0037151F">
        <w:rPr>
          <w:rFonts w:ascii="Times New Roman" w:hAnsi="Times New Roman" w:cs="Times New Roman"/>
          <w:i/>
          <w:sz w:val="24"/>
          <w:szCs w:val="24"/>
        </w:rPr>
        <w:t xml:space="preserve">; </w:t>
      </w:r>
      <w:r w:rsidRPr="0037151F">
        <w:rPr>
          <w:rFonts w:ascii="Times New Roman" w:hAnsi="Times New Roman" w:cs="Times New Roman"/>
          <w:i/>
          <w:sz w:val="24"/>
          <w:szCs w:val="24"/>
          <w:lang w:val="ro-RO"/>
        </w:rPr>
        <w:t xml:space="preserve">nerespectarea prevederilor regulamentare </w:t>
      </w:r>
      <w:r w:rsidRPr="0037151F">
        <w:rPr>
          <w:rFonts w:ascii="Times New Roman" w:eastAsia="Times New Roman" w:hAnsi="Times New Roman" w:cs="Times New Roman"/>
          <w:i/>
          <w:sz w:val="24"/>
          <w:szCs w:val="24"/>
          <w:lang w:val="ro-RO"/>
        </w:rPr>
        <w:t xml:space="preserve">cu privire la prezentarea rapoartelor în formatul stabilit privind deplasările de serviciu </w:t>
      </w:r>
      <w:r w:rsidRPr="0037151F">
        <w:rPr>
          <w:rFonts w:ascii="Times New Roman" w:hAnsi="Times New Roman" w:cs="Times New Roman"/>
          <w:i/>
          <w:sz w:val="24"/>
          <w:szCs w:val="24"/>
        </w:rPr>
        <w:t>(pct. 4.2.3).</w:t>
      </w:r>
    </w:p>
    <w:p w14:paraId="07C4109C" w14:textId="49497A68" w:rsidR="004B1A15" w:rsidRPr="0037151F" w:rsidRDefault="008D205F" w:rsidP="004B1A15">
      <w:pPr>
        <w:pStyle w:val="ListParagraph"/>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color w:val="000000" w:themeColor="text1"/>
          <w:sz w:val="24"/>
          <w:szCs w:val="24"/>
        </w:rPr>
      </w:pPr>
      <w:r>
        <w:rPr>
          <w:rFonts w:ascii="Times New Roman" w:hAnsi="Times New Roman" w:cs="Times New Roman"/>
          <w:i/>
          <w:sz w:val="24"/>
          <w:szCs w:val="24"/>
        </w:rPr>
        <w:t>A fost</w:t>
      </w:r>
      <w:r w:rsidR="004B1A15" w:rsidRPr="0037151F">
        <w:rPr>
          <w:rFonts w:ascii="Times New Roman" w:hAnsi="Times New Roman" w:cs="Times New Roman"/>
          <w:i/>
          <w:sz w:val="24"/>
          <w:szCs w:val="24"/>
        </w:rPr>
        <w:t xml:space="preserve"> identificat un management neconform la </w:t>
      </w:r>
      <w:r w:rsidR="004B1A15" w:rsidRPr="0037151F">
        <w:rPr>
          <w:rFonts w:ascii="Times New Roman" w:eastAsiaTheme="majorEastAsia" w:hAnsi="Times New Roman" w:cs="Times New Roman"/>
          <w:i/>
          <w:sz w:val="24"/>
          <w:szCs w:val="24"/>
        </w:rPr>
        <w:t>efectuarea cheltuielilor privind utilizarea carburanților și a cheltuielilor pentru reparația curentă a mijloacelor de transport, fiind rel</w:t>
      </w:r>
      <w:r w:rsidR="00BE4B86">
        <w:rPr>
          <w:rFonts w:ascii="Times New Roman" w:eastAsiaTheme="majorEastAsia" w:hAnsi="Times New Roman" w:cs="Times New Roman"/>
          <w:i/>
          <w:sz w:val="24"/>
          <w:szCs w:val="24"/>
        </w:rPr>
        <w:t>evat</w:t>
      </w:r>
      <w:r w:rsidR="004B1A15" w:rsidRPr="0037151F">
        <w:rPr>
          <w:rFonts w:ascii="Times New Roman" w:eastAsiaTheme="majorEastAsia" w:hAnsi="Times New Roman" w:cs="Times New Roman"/>
          <w:i/>
          <w:sz w:val="24"/>
          <w:szCs w:val="24"/>
        </w:rPr>
        <w:t xml:space="preserve"> că </w:t>
      </w:r>
      <w:r w:rsidR="004B1A15" w:rsidRPr="0037151F">
        <w:rPr>
          <w:rFonts w:ascii="Times New Roman" w:hAnsi="Times New Roman" w:cs="Times New Roman"/>
          <w:i/>
          <w:sz w:val="24"/>
          <w:szCs w:val="24"/>
          <w:lang w:val="ro-RO"/>
        </w:rPr>
        <w:t xml:space="preserve">CNPDCP </w:t>
      </w:r>
      <w:r w:rsidR="004B1A15" w:rsidRPr="0037151F">
        <w:rPr>
          <w:rFonts w:ascii="Times New Roman" w:eastAsia="Times New Roman" w:hAnsi="Times New Roman" w:cs="Times New Roman"/>
          <w:i/>
          <w:sz w:val="24"/>
          <w:szCs w:val="24"/>
          <w:lang w:val="ro-RO"/>
        </w:rPr>
        <w:t xml:space="preserve">nu a aprobat </w:t>
      </w:r>
      <w:r w:rsidR="004B1A15" w:rsidRPr="0037151F">
        <w:rPr>
          <w:rFonts w:ascii="Times New Roman" w:hAnsi="Times New Roman" w:cs="Times New Roman"/>
          <w:i/>
          <w:sz w:val="24"/>
          <w:szCs w:val="24"/>
        </w:rPr>
        <w:t>reglementări privind utilizarea autoturismelor în vederea optimizării cheltuielilor bugetare, astfel:</w:t>
      </w:r>
    </w:p>
    <w:p w14:paraId="07BDF0AA" w14:textId="61F92045" w:rsidR="004B1A15" w:rsidRPr="00BE4B86" w:rsidRDefault="004B1A15" w:rsidP="004B1A15">
      <w:pPr>
        <w:pStyle w:val="ListParagraph"/>
        <w:numPr>
          <w:ilvl w:val="0"/>
          <w:numId w:val="37"/>
        </w:numPr>
        <w:tabs>
          <w:tab w:val="left" w:pos="284"/>
          <w:tab w:val="left" w:pos="567"/>
          <w:tab w:val="left" w:pos="993"/>
        </w:tabs>
        <w:spacing w:after="120" w:line="276" w:lineRule="auto"/>
        <w:ind w:left="0" w:firstLine="360"/>
        <w:jc w:val="both"/>
        <w:rPr>
          <w:rFonts w:ascii="Times New Roman" w:eastAsia="Times New Roman" w:hAnsi="Times New Roman" w:cs="Times New Roman"/>
          <w:bCs/>
          <w:color w:val="000000" w:themeColor="text1"/>
          <w:sz w:val="24"/>
          <w:szCs w:val="24"/>
        </w:rPr>
      </w:pPr>
      <w:r>
        <w:rPr>
          <w:rFonts w:ascii="Times New Roman" w:hAnsi="Times New Roman" w:cs="Times New Roman"/>
          <w:i/>
          <w:sz w:val="24"/>
          <w:szCs w:val="24"/>
        </w:rPr>
        <w:lastRenderedPageBreak/>
        <w:t>c</w:t>
      </w:r>
      <w:r w:rsidRPr="00943F40">
        <w:rPr>
          <w:rFonts w:ascii="Times New Roman" w:hAnsi="Times New Roman" w:cs="Times New Roman"/>
          <w:i/>
          <w:sz w:val="24"/>
          <w:szCs w:val="24"/>
        </w:rPr>
        <w:t>omisia instituită în anul 2018</w:t>
      </w:r>
      <w:r w:rsidRPr="00943F40">
        <w:rPr>
          <w:rFonts w:ascii="Times New Roman" w:hAnsi="Times New Roman" w:cs="Times New Roman"/>
          <w:i/>
          <w:sz w:val="24"/>
          <w:szCs w:val="24"/>
          <w:lang w:val="ro-RO"/>
        </w:rPr>
        <w:t xml:space="preserve"> </w:t>
      </w:r>
      <w:r w:rsidRPr="00943F40">
        <w:rPr>
          <w:rFonts w:ascii="Times New Roman" w:hAnsi="Times New Roman" w:cs="Times New Roman"/>
          <w:i/>
          <w:sz w:val="24"/>
          <w:szCs w:val="24"/>
        </w:rPr>
        <w:t xml:space="preserve">în cadrul CNPDCP </w:t>
      </w:r>
      <w:r w:rsidRPr="00943F40">
        <w:rPr>
          <w:rFonts w:ascii="Times New Roman" w:hAnsi="Times New Roman" w:cs="Times New Roman"/>
          <w:i/>
          <w:sz w:val="24"/>
          <w:szCs w:val="24"/>
          <w:lang w:val="ro-RO"/>
        </w:rPr>
        <w:t>a aprobat norme de consum la</w:t>
      </w:r>
      <w:r w:rsidRPr="00943F40">
        <w:rPr>
          <w:rFonts w:ascii="Times New Roman" w:hAnsi="Times New Roman" w:cs="Times New Roman"/>
          <w:i/>
          <w:sz w:val="24"/>
          <w:szCs w:val="24"/>
        </w:rPr>
        <w:t xml:space="preserve"> carburanți</w:t>
      </w:r>
      <w:r w:rsidRPr="00943F40">
        <w:rPr>
          <w:rFonts w:ascii="Times New Roman" w:hAnsi="Times New Roman" w:cs="Times New Roman"/>
          <w:i/>
          <w:sz w:val="24"/>
          <w:szCs w:val="24"/>
          <w:lang w:val="ro-RO"/>
        </w:rPr>
        <w:t xml:space="preserve"> </w:t>
      </w:r>
      <w:r w:rsidRPr="00943F40">
        <w:rPr>
          <w:rFonts w:ascii="Times New Roman" w:hAnsi="Times New Roman" w:cs="Times New Roman"/>
          <w:i/>
          <w:sz w:val="24"/>
          <w:szCs w:val="24"/>
        </w:rPr>
        <w:t>pentru autoturismele de serviciu</w:t>
      </w:r>
      <w:r w:rsidR="005D0BA3">
        <w:rPr>
          <w:rFonts w:ascii="Times New Roman" w:hAnsi="Times New Roman" w:cs="Times New Roman"/>
          <w:i/>
          <w:sz w:val="24"/>
          <w:szCs w:val="24"/>
        </w:rPr>
        <w:t>,</w:t>
      </w:r>
      <w:r w:rsidRPr="00943F40">
        <w:rPr>
          <w:rFonts w:ascii="Times New Roman" w:hAnsi="Times New Roman" w:cs="Times New Roman"/>
          <w:i/>
          <w:sz w:val="24"/>
          <w:szCs w:val="24"/>
        </w:rPr>
        <w:t xml:space="preserve"> </w:t>
      </w:r>
      <w:r w:rsidRPr="00943F40">
        <w:rPr>
          <w:rFonts w:ascii="Times New Roman" w:hAnsi="Times New Roman" w:cs="Times New Roman"/>
          <w:i/>
          <w:sz w:val="24"/>
          <w:szCs w:val="24"/>
          <w:lang w:val="ro-RO"/>
        </w:rPr>
        <w:t xml:space="preserve">majorând </w:t>
      </w:r>
      <w:r w:rsidR="005D0BA3" w:rsidRPr="00943F40">
        <w:rPr>
          <w:rFonts w:ascii="Times New Roman" w:hAnsi="Times New Roman" w:cs="Times New Roman"/>
          <w:i/>
          <w:sz w:val="24"/>
          <w:szCs w:val="24"/>
          <w:lang w:val="ro-RO"/>
        </w:rPr>
        <w:t xml:space="preserve">nejustificat </w:t>
      </w:r>
      <w:r w:rsidRPr="00943F40">
        <w:rPr>
          <w:rFonts w:ascii="Times New Roman" w:hAnsi="Times New Roman" w:cs="Times New Roman"/>
          <w:i/>
          <w:sz w:val="24"/>
          <w:szCs w:val="24"/>
          <w:lang w:val="ro-RO"/>
        </w:rPr>
        <w:t>norma de baz</w:t>
      </w:r>
      <w:r w:rsidRPr="00BE4B86">
        <w:rPr>
          <w:rFonts w:ascii="Times New Roman" w:hAnsi="Times New Roman" w:cs="Times New Roman"/>
          <w:i/>
          <w:sz w:val="24"/>
          <w:szCs w:val="24"/>
          <w:lang w:val="ro-RO"/>
        </w:rPr>
        <w:t>ă</w:t>
      </w:r>
      <w:r w:rsidRPr="0077171B">
        <w:rPr>
          <w:rStyle w:val="FootnoteReference"/>
          <w:rFonts w:ascii="Times New Roman" w:hAnsi="Times New Roman" w:cs="Times New Roman"/>
          <w:i/>
          <w:sz w:val="24"/>
          <w:szCs w:val="24"/>
          <w:lang w:val="ro-RO"/>
        </w:rPr>
        <w:footnoteReference w:id="16"/>
      </w:r>
      <w:r w:rsidRPr="00BE4B86">
        <w:rPr>
          <w:rFonts w:ascii="Times New Roman" w:hAnsi="Times New Roman" w:cs="Times New Roman"/>
          <w:i/>
          <w:sz w:val="24"/>
          <w:szCs w:val="24"/>
          <w:lang w:val="ro-RO"/>
        </w:rPr>
        <w:t xml:space="preserve">, </w:t>
      </w:r>
      <w:r w:rsidR="00BE4B86">
        <w:rPr>
          <w:rFonts w:ascii="Times New Roman" w:hAnsi="Times New Roman" w:cs="Times New Roman"/>
          <w:i/>
          <w:sz w:val="24"/>
          <w:szCs w:val="24"/>
          <w:lang w:val="ro-RO"/>
        </w:rPr>
        <w:t xml:space="preserve">ca </w:t>
      </w:r>
      <w:r w:rsidRPr="00BE4B86">
        <w:rPr>
          <w:rFonts w:ascii="Times New Roman" w:hAnsi="Times New Roman" w:cs="Times New Roman"/>
          <w:i/>
          <w:sz w:val="24"/>
          <w:szCs w:val="24"/>
          <w:lang w:val="ro-RO"/>
        </w:rPr>
        <w:t>urmare fiind admise cheltuieli neregulamentare (24,1 mii lei) aferente casării a 1</w:t>
      </w:r>
      <w:r w:rsidR="00BE4B86">
        <w:rPr>
          <w:rFonts w:ascii="Times New Roman" w:hAnsi="Times New Roman" w:cs="Times New Roman"/>
          <w:i/>
          <w:sz w:val="24"/>
          <w:szCs w:val="24"/>
          <w:lang w:val="ro-RO"/>
        </w:rPr>
        <w:t>.</w:t>
      </w:r>
      <w:r w:rsidRPr="00BE4B86">
        <w:rPr>
          <w:rFonts w:ascii="Times New Roman" w:hAnsi="Times New Roman" w:cs="Times New Roman"/>
          <w:i/>
          <w:sz w:val="24"/>
          <w:szCs w:val="24"/>
          <w:lang w:val="ro-RO"/>
        </w:rPr>
        <w:t xml:space="preserve">280,5 litri de </w:t>
      </w:r>
      <w:r w:rsidR="00F81701">
        <w:rPr>
          <w:rFonts w:ascii="Times New Roman" w:hAnsi="Times New Roman" w:cs="Times New Roman"/>
          <w:i/>
          <w:sz w:val="24"/>
          <w:szCs w:val="24"/>
          <w:lang w:val="ro-RO"/>
        </w:rPr>
        <w:t>carburanți</w:t>
      </w:r>
      <w:r w:rsidRPr="00BE4B86">
        <w:rPr>
          <w:rFonts w:ascii="Times New Roman" w:hAnsi="Times New Roman" w:cs="Times New Roman"/>
          <w:i/>
          <w:sz w:val="24"/>
          <w:szCs w:val="24"/>
          <w:lang w:val="ro-RO"/>
        </w:rPr>
        <w:t xml:space="preserve"> </w:t>
      </w:r>
      <w:r w:rsidRPr="00BE4B86">
        <w:rPr>
          <w:rFonts w:ascii="Times New Roman" w:hAnsi="Times New Roman" w:cs="Times New Roman"/>
          <w:i/>
          <w:sz w:val="24"/>
          <w:szCs w:val="24"/>
        </w:rPr>
        <w:t>(pct. 4.2.4)</w:t>
      </w:r>
      <w:r w:rsidRPr="00BE4B86">
        <w:rPr>
          <w:rFonts w:ascii="Times New Roman" w:hAnsi="Times New Roman" w:cs="Times New Roman"/>
          <w:sz w:val="24"/>
          <w:szCs w:val="24"/>
        </w:rPr>
        <w:t>;</w:t>
      </w:r>
    </w:p>
    <w:p w14:paraId="1CC661E2" w14:textId="77777777" w:rsidR="004B1A15" w:rsidRPr="00BE4B86" w:rsidRDefault="00947A7A" w:rsidP="004B1A15">
      <w:pPr>
        <w:pStyle w:val="ListParagraph"/>
        <w:numPr>
          <w:ilvl w:val="0"/>
          <w:numId w:val="37"/>
        </w:numPr>
        <w:tabs>
          <w:tab w:val="left" w:pos="284"/>
          <w:tab w:val="left" w:pos="567"/>
          <w:tab w:val="left" w:pos="993"/>
        </w:tabs>
        <w:spacing w:after="120" w:line="276" w:lineRule="auto"/>
        <w:ind w:left="0" w:firstLine="360"/>
        <w:jc w:val="both"/>
        <w:rPr>
          <w:rFonts w:ascii="Times New Roman" w:eastAsia="Times New Roman" w:hAnsi="Times New Roman" w:cs="Times New Roman"/>
          <w:bCs/>
          <w:color w:val="000000" w:themeColor="text1"/>
          <w:sz w:val="24"/>
          <w:szCs w:val="24"/>
        </w:rPr>
      </w:pPr>
      <w:r w:rsidRPr="00BE4B86">
        <w:rPr>
          <w:rFonts w:ascii="Times New Roman" w:eastAsia="Times New Roman" w:hAnsi="Times New Roman" w:cs="Times New Roman"/>
          <w:i/>
          <w:sz w:val="24"/>
          <w:szCs w:val="24"/>
        </w:rPr>
        <w:t>m</w:t>
      </w:r>
      <w:r w:rsidRPr="00BE4B86">
        <w:rPr>
          <w:rFonts w:ascii="Times New Roman" w:hAnsi="Times New Roman" w:cs="Times New Roman"/>
          <w:i/>
          <w:sz w:val="24"/>
          <w:szCs w:val="24"/>
          <w:lang w:val="ro-RO"/>
        </w:rPr>
        <w:t>ai mulți angajați ai entității au circulat cu autoturismele de serviciu</w:t>
      </w:r>
      <w:r w:rsidRPr="0077171B">
        <w:rPr>
          <w:rStyle w:val="FootnoteReference"/>
          <w:rFonts w:ascii="Times New Roman" w:hAnsi="Times New Roman" w:cs="Times New Roman"/>
          <w:i/>
          <w:sz w:val="24"/>
          <w:szCs w:val="24"/>
          <w:lang w:val="ro-RO"/>
        </w:rPr>
        <w:footnoteReference w:id="17"/>
      </w:r>
      <w:r w:rsidRPr="00BE4B86">
        <w:rPr>
          <w:rFonts w:ascii="Times New Roman" w:hAnsi="Times New Roman" w:cs="Times New Roman"/>
          <w:i/>
          <w:sz w:val="24"/>
          <w:szCs w:val="24"/>
          <w:lang w:val="ro-RO"/>
        </w:rPr>
        <w:t xml:space="preserve"> </w:t>
      </w:r>
      <w:r w:rsidR="004B1A15" w:rsidRPr="00BE4B86">
        <w:rPr>
          <w:rFonts w:ascii="Times New Roman" w:hAnsi="Times New Roman" w:cs="Times New Roman"/>
          <w:i/>
          <w:sz w:val="24"/>
          <w:szCs w:val="24"/>
          <w:lang w:val="ro-RO"/>
        </w:rPr>
        <w:t>în lipsa unui contract de răspundere materială individuală deplină</w:t>
      </w:r>
      <w:r w:rsidRPr="00BE4B86">
        <w:rPr>
          <w:rFonts w:ascii="Times New Roman" w:hAnsi="Times New Roman" w:cs="Times New Roman"/>
          <w:i/>
          <w:sz w:val="24"/>
          <w:szCs w:val="24"/>
          <w:lang w:val="ro-RO"/>
        </w:rPr>
        <w:t xml:space="preserve">, iar </w:t>
      </w:r>
      <w:r w:rsidR="004B1A15" w:rsidRPr="00BE4B86">
        <w:rPr>
          <w:rFonts w:ascii="Times New Roman" w:hAnsi="Times New Roman" w:cs="Times New Roman"/>
          <w:i/>
          <w:sz w:val="24"/>
          <w:szCs w:val="24"/>
          <w:lang w:val="ro-RO"/>
        </w:rPr>
        <w:t>în baza unor ordine interne conducerea a fost autorizată cu drepturi să circule concomitent cu toate 4 autoturisme</w:t>
      </w:r>
      <w:r w:rsidRPr="00BE4B86">
        <w:rPr>
          <w:rFonts w:ascii="Times New Roman" w:hAnsi="Times New Roman" w:cs="Times New Roman"/>
          <w:i/>
          <w:sz w:val="24"/>
          <w:szCs w:val="24"/>
          <w:lang w:val="ro-RO"/>
        </w:rPr>
        <w:t xml:space="preserve"> din dotare</w:t>
      </w:r>
      <w:r w:rsidR="004B1A15" w:rsidRPr="00BE4B86">
        <w:rPr>
          <w:rFonts w:ascii="Times New Roman" w:hAnsi="Times New Roman" w:cs="Times New Roman"/>
          <w:i/>
          <w:sz w:val="24"/>
          <w:szCs w:val="24"/>
          <w:lang w:val="ro-RO"/>
        </w:rPr>
        <w:t xml:space="preserve"> </w:t>
      </w:r>
      <w:r w:rsidR="004B1A15" w:rsidRPr="00BE4B86">
        <w:rPr>
          <w:rFonts w:ascii="Times New Roman" w:hAnsi="Times New Roman" w:cs="Times New Roman"/>
          <w:i/>
          <w:sz w:val="24"/>
          <w:szCs w:val="24"/>
        </w:rPr>
        <w:t>(pct. 4.2.4)</w:t>
      </w:r>
      <w:r w:rsidR="004B1A15" w:rsidRPr="00BE4B86">
        <w:rPr>
          <w:rFonts w:ascii="Times New Roman" w:hAnsi="Times New Roman" w:cs="Times New Roman"/>
          <w:i/>
          <w:sz w:val="24"/>
          <w:szCs w:val="24"/>
          <w:lang w:val="ro-RO"/>
        </w:rPr>
        <w:t>;</w:t>
      </w:r>
    </w:p>
    <w:p w14:paraId="01A5D074" w14:textId="2D0AEA1A" w:rsidR="004B1A15" w:rsidRPr="00BE4B86" w:rsidRDefault="004B1A15" w:rsidP="004B1A15">
      <w:pPr>
        <w:pStyle w:val="ListParagraph"/>
        <w:numPr>
          <w:ilvl w:val="0"/>
          <w:numId w:val="37"/>
        </w:numPr>
        <w:tabs>
          <w:tab w:val="left" w:pos="284"/>
          <w:tab w:val="left" w:pos="567"/>
          <w:tab w:val="left" w:pos="993"/>
        </w:tabs>
        <w:spacing w:after="120" w:line="276" w:lineRule="auto"/>
        <w:ind w:left="0" w:firstLine="360"/>
        <w:jc w:val="both"/>
        <w:rPr>
          <w:rFonts w:ascii="Times New Roman" w:eastAsia="Times New Roman" w:hAnsi="Times New Roman" w:cs="Times New Roman"/>
          <w:bCs/>
          <w:color w:val="000000" w:themeColor="text1"/>
          <w:sz w:val="24"/>
          <w:szCs w:val="24"/>
        </w:rPr>
      </w:pPr>
      <w:r w:rsidRPr="00BE4B86">
        <w:rPr>
          <w:rFonts w:ascii="Times New Roman" w:eastAsia="Times New Roman" w:hAnsi="Times New Roman" w:cs="Times New Roman"/>
          <w:i/>
          <w:sz w:val="24"/>
          <w:szCs w:val="24"/>
        </w:rPr>
        <w:t xml:space="preserve">nu a fost </w:t>
      </w:r>
      <w:r w:rsidRPr="00BE4B86">
        <w:rPr>
          <w:rFonts w:ascii="Times New Roman" w:hAnsi="Times New Roman" w:cs="Times New Roman"/>
          <w:i/>
          <w:sz w:val="24"/>
          <w:szCs w:val="24"/>
          <w:shd w:val="clear" w:color="auto" w:fill="FFFFFF" w:themeFill="background1"/>
        </w:rPr>
        <w:t xml:space="preserve">aprobată și implementată o procedură care ar reglementa modalitatea de planificare, aprobare și executare a cheltuielilor pentru reparația curentă a </w:t>
      </w:r>
      <w:r w:rsidRPr="00BE4B86">
        <w:rPr>
          <w:rFonts w:ascii="Times New Roman" w:hAnsi="Times New Roman" w:cs="Times New Roman"/>
          <w:i/>
          <w:sz w:val="24"/>
          <w:szCs w:val="24"/>
        </w:rPr>
        <w:t>autoturismelor de serviciu</w:t>
      </w:r>
      <w:r w:rsidRPr="00BE4B86">
        <w:rPr>
          <w:rFonts w:ascii="Times New Roman" w:hAnsi="Times New Roman" w:cs="Times New Roman"/>
          <w:i/>
          <w:sz w:val="24"/>
          <w:szCs w:val="24"/>
          <w:shd w:val="clear" w:color="auto" w:fill="FFFFFF" w:themeFill="background1"/>
        </w:rPr>
        <w:t>, lips</w:t>
      </w:r>
      <w:r w:rsidR="005D0BA3">
        <w:rPr>
          <w:rFonts w:ascii="Times New Roman" w:hAnsi="Times New Roman" w:cs="Times New Roman"/>
          <w:i/>
          <w:sz w:val="24"/>
          <w:szCs w:val="24"/>
          <w:shd w:val="clear" w:color="auto" w:fill="FFFFFF" w:themeFill="background1"/>
        </w:rPr>
        <w:t>ind</w:t>
      </w:r>
      <w:r w:rsidRPr="00BE4B86">
        <w:rPr>
          <w:rFonts w:ascii="Times New Roman" w:hAnsi="Times New Roman" w:cs="Times New Roman"/>
          <w:i/>
          <w:sz w:val="24"/>
          <w:szCs w:val="24"/>
          <w:shd w:val="clear" w:color="auto" w:fill="FFFFFF" w:themeFill="background1"/>
        </w:rPr>
        <w:t xml:space="preserve"> documentația tehnică și delimitar</w:t>
      </w:r>
      <w:r w:rsidRPr="005506DB">
        <w:rPr>
          <w:rFonts w:ascii="Times New Roman" w:hAnsi="Times New Roman" w:cs="Times New Roman"/>
          <w:i/>
          <w:sz w:val="24"/>
          <w:szCs w:val="24"/>
          <w:shd w:val="clear" w:color="auto" w:fill="FFFFFF" w:themeFill="background1"/>
        </w:rPr>
        <w:t>ea clară a competențelor persoanei responsabile, fapt ce a c</w:t>
      </w:r>
      <w:r w:rsidRPr="00BE4B86">
        <w:rPr>
          <w:rFonts w:ascii="Times New Roman" w:hAnsi="Times New Roman" w:cs="Times New Roman"/>
          <w:i/>
          <w:sz w:val="24"/>
          <w:szCs w:val="24"/>
          <w:shd w:val="clear" w:color="auto" w:fill="FFFFFF" w:themeFill="background1"/>
        </w:rPr>
        <w:t xml:space="preserve">ondiționat efectuarea unor cheltuieli nejustificate pentru autoturismele de serviciu </w:t>
      </w:r>
      <w:r w:rsidRPr="00BE4B86">
        <w:rPr>
          <w:rFonts w:ascii="Times New Roman" w:eastAsia="Times New Roman" w:hAnsi="Times New Roman" w:cs="Times New Roman"/>
          <w:i/>
          <w:sz w:val="24"/>
          <w:szCs w:val="24"/>
        </w:rPr>
        <w:t>(pct. 4.2.4.).</w:t>
      </w:r>
    </w:p>
    <w:p w14:paraId="513AB234" w14:textId="77777777" w:rsidR="004B1A15" w:rsidRPr="00BE4B86" w:rsidRDefault="004477F6" w:rsidP="004B1A15">
      <w:pPr>
        <w:tabs>
          <w:tab w:val="left" w:pos="0"/>
        </w:tabs>
        <w:spacing w:after="80" w:line="276" w:lineRule="auto"/>
        <w:jc w:val="both"/>
        <w:rPr>
          <w:rFonts w:ascii="Times New Roman" w:eastAsia="Times New Roman" w:hAnsi="Times New Roman" w:cs="Times New Roman"/>
          <w:b/>
          <w:sz w:val="24"/>
          <w:szCs w:val="24"/>
          <w:lang w:eastAsia="ro-MD"/>
        </w:rPr>
      </w:pPr>
      <w:r w:rsidRPr="00BE4B86">
        <w:rPr>
          <w:rFonts w:ascii="Times New Roman" w:eastAsia="Times New Roman" w:hAnsi="Times New Roman" w:cs="Times New Roman"/>
          <w:b/>
          <w:sz w:val="24"/>
          <w:szCs w:val="24"/>
          <w:lang w:eastAsia="ro-MD"/>
        </w:rPr>
        <w:t>C</w:t>
      </w:r>
      <w:r w:rsidR="004B1A15" w:rsidRPr="00BE4B86">
        <w:rPr>
          <w:rFonts w:ascii="Times New Roman" w:eastAsia="Times New Roman" w:hAnsi="Times New Roman" w:cs="Times New Roman"/>
          <w:b/>
          <w:sz w:val="24"/>
          <w:szCs w:val="24"/>
          <w:lang w:eastAsia="ro-MD"/>
        </w:rPr>
        <w:t xml:space="preserve">onformitatea gestionarii patrimoniului </w:t>
      </w:r>
    </w:p>
    <w:p w14:paraId="53D35A58" w14:textId="2ADD9575" w:rsidR="00D36DE2" w:rsidRPr="00BE4B86" w:rsidRDefault="004107E0" w:rsidP="00D36DE2">
      <w:pPr>
        <w:pStyle w:val="ListParagraph"/>
        <w:numPr>
          <w:ilvl w:val="0"/>
          <w:numId w:val="41"/>
        </w:numPr>
        <w:tabs>
          <w:tab w:val="left" w:pos="0"/>
        </w:tabs>
        <w:spacing w:after="80" w:line="276" w:lineRule="auto"/>
        <w:ind w:left="0" w:firstLine="360"/>
        <w:jc w:val="both"/>
        <w:rPr>
          <w:rFonts w:ascii="Times New Roman" w:eastAsia="Times New Roman" w:hAnsi="Times New Roman" w:cs="Times New Roman"/>
          <w:b/>
          <w:i/>
          <w:sz w:val="24"/>
          <w:szCs w:val="24"/>
          <w:lang w:eastAsia="ro-MD"/>
        </w:rPr>
      </w:pPr>
      <w:r w:rsidRPr="00BE4B86">
        <w:rPr>
          <w:rFonts w:ascii="Times New Roman" w:hAnsi="Times New Roman" w:cs="Times New Roman"/>
          <w:i/>
          <w:sz w:val="24"/>
          <w:szCs w:val="24"/>
          <w:lang w:val="ro-RO"/>
        </w:rPr>
        <w:t xml:space="preserve">Entitatea nu a </w:t>
      </w:r>
      <w:r w:rsidR="00D36DE2" w:rsidRPr="00BE4B86">
        <w:rPr>
          <w:rFonts w:ascii="Times New Roman" w:hAnsi="Times New Roman" w:cs="Times New Roman"/>
          <w:i/>
          <w:sz w:val="24"/>
          <w:szCs w:val="24"/>
          <w:lang w:val="ro-RO"/>
        </w:rPr>
        <w:t>institui</w:t>
      </w:r>
      <w:r w:rsidRPr="00BE4B86">
        <w:rPr>
          <w:rFonts w:ascii="Times New Roman" w:hAnsi="Times New Roman" w:cs="Times New Roman"/>
          <w:i/>
          <w:sz w:val="24"/>
          <w:szCs w:val="24"/>
          <w:lang w:val="ro-RO"/>
        </w:rPr>
        <w:t>t</w:t>
      </w:r>
      <w:r w:rsidR="00D36DE2" w:rsidRPr="00BE4B86">
        <w:rPr>
          <w:rFonts w:ascii="Times New Roman" w:hAnsi="Times New Roman" w:cs="Times New Roman"/>
          <w:i/>
          <w:sz w:val="24"/>
          <w:szCs w:val="24"/>
          <w:lang w:val="ro-RO"/>
        </w:rPr>
        <w:t xml:space="preserve"> un proces eficient de administrare a patrimoniului public</w:t>
      </w:r>
      <w:r w:rsidR="005506DB">
        <w:rPr>
          <w:rFonts w:ascii="Times New Roman" w:hAnsi="Times New Roman" w:cs="Times New Roman"/>
          <w:i/>
          <w:sz w:val="24"/>
          <w:szCs w:val="24"/>
          <w:lang w:val="ro-RO"/>
        </w:rPr>
        <w:t>,</w:t>
      </w:r>
      <w:r w:rsidRPr="005506DB">
        <w:rPr>
          <w:rFonts w:ascii="Times New Roman" w:hAnsi="Times New Roman" w:cs="Times New Roman"/>
          <w:i/>
          <w:sz w:val="24"/>
          <w:szCs w:val="24"/>
          <w:lang w:val="ro-RO"/>
        </w:rPr>
        <w:t xml:space="preserve"> fapt care</w:t>
      </w:r>
      <w:r w:rsidR="00D36DE2" w:rsidRPr="005506DB">
        <w:rPr>
          <w:rFonts w:ascii="Times New Roman" w:hAnsi="Times New Roman" w:cs="Times New Roman"/>
          <w:i/>
          <w:sz w:val="24"/>
          <w:szCs w:val="24"/>
          <w:lang w:val="ro-RO"/>
        </w:rPr>
        <w:t xml:space="preserve"> a </w:t>
      </w:r>
      <w:r w:rsidR="005D0BA3">
        <w:rPr>
          <w:rFonts w:ascii="Times New Roman" w:hAnsi="Times New Roman" w:cs="Times New Roman"/>
          <w:i/>
          <w:sz w:val="24"/>
          <w:szCs w:val="24"/>
          <w:lang w:val="ro-RO"/>
        </w:rPr>
        <w:t xml:space="preserve">generat </w:t>
      </w:r>
      <w:r w:rsidR="00D36DE2" w:rsidRPr="005506DB">
        <w:rPr>
          <w:rFonts w:ascii="Times New Roman" w:hAnsi="Times New Roman" w:cs="Times New Roman"/>
          <w:i/>
          <w:sz w:val="24"/>
          <w:szCs w:val="24"/>
          <w:lang w:val="ro-RO"/>
        </w:rPr>
        <w:t>multipl</w:t>
      </w:r>
      <w:r w:rsidR="00D36DE2" w:rsidRPr="00BE4B86">
        <w:rPr>
          <w:rFonts w:ascii="Times New Roman" w:hAnsi="Times New Roman" w:cs="Times New Roman"/>
          <w:i/>
          <w:sz w:val="24"/>
          <w:szCs w:val="24"/>
          <w:lang w:val="ro-RO"/>
        </w:rPr>
        <w:t>e nereguli și abateri exprim</w:t>
      </w:r>
      <w:r w:rsidR="005D0BA3">
        <w:rPr>
          <w:rFonts w:ascii="Times New Roman" w:hAnsi="Times New Roman" w:cs="Times New Roman"/>
          <w:i/>
          <w:sz w:val="24"/>
          <w:szCs w:val="24"/>
          <w:lang w:val="ro-RO"/>
        </w:rPr>
        <w:t>ate</w:t>
      </w:r>
      <w:r w:rsidR="00D36DE2" w:rsidRPr="00BE4B86">
        <w:rPr>
          <w:rFonts w:ascii="Times New Roman" w:hAnsi="Times New Roman" w:cs="Times New Roman"/>
          <w:i/>
          <w:sz w:val="24"/>
          <w:szCs w:val="24"/>
          <w:lang w:val="ro-RO"/>
        </w:rPr>
        <w:t xml:space="preserve"> prin: supraevaluarea cu 313,1 mii lei, sau 47,2% din valoarea totală, a stocurilor de materiale circulante aflate în gestiune din cauza casării întârziate a materialelor eliberate de la depozit; ne</w:t>
      </w:r>
      <w:r w:rsidR="00D36DE2" w:rsidRPr="00BE4B86">
        <w:rPr>
          <w:rFonts w:ascii="Times New Roman" w:hAnsi="Times New Roman" w:cs="Times New Roman"/>
          <w:i/>
          <w:color w:val="000000" w:themeColor="text1"/>
          <w:sz w:val="24"/>
          <w:szCs w:val="24"/>
          <w:lang w:val="ro-RO"/>
        </w:rPr>
        <w:t xml:space="preserve">calcularea regulamentară a uzurii/amortizării în sumă de 575,6 mii lei pentru 251 de mijloace fixe, cauzând diminuarea cheltuielilor perioadei cu suma nominalizată, având impact asupra rezultatului financiar; atribuirea neconformă a unor </w:t>
      </w:r>
      <w:r w:rsidR="00D36DE2" w:rsidRPr="00BE4B86">
        <w:rPr>
          <w:rFonts w:ascii="Times New Roman" w:hAnsi="Times New Roman" w:cs="Times New Roman"/>
          <w:i/>
          <w:sz w:val="24"/>
          <w:szCs w:val="24"/>
          <w:lang w:val="ro-RO"/>
        </w:rPr>
        <w:t xml:space="preserve">bunuri materiale în sumă de 159,3 mii lei la subclasa 31 „Mijloace fixe”, care urmau a fi contabilizate regulamentar la subclasa 33 „Stocuri de materiale circulante”; </w:t>
      </w:r>
      <w:r w:rsidR="00D36DE2" w:rsidRPr="00BE4B86">
        <w:rPr>
          <w:rFonts w:ascii="Times New Roman" w:hAnsi="Times New Roman" w:cs="Times New Roman"/>
          <w:i/>
          <w:color w:val="000000" w:themeColor="text1"/>
          <w:sz w:val="24"/>
          <w:szCs w:val="24"/>
          <w:lang w:val="ro-RO"/>
        </w:rPr>
        <w:t>raportarea supraevaluată cu 234,0 mii lei a valorii mijloacelor fixe și activelor nemateriale din cauza neasigurării casării regulamentare a bunurilor materiale moral și fizic uzate la situația din 31.12.2022;</w:t>
      </w:r>
      <w:r w:rsidR="00D36DE2" w:rsidRPr="00BE4B86">
        <w:rPr>
          <w:rFonts w:ascii="Times New Roman" w:hAnsi="Times New Roman" w:cs="Times New Roman"/>
          <w:i/>
          <w:sz w:val="24"/>
          <w:szCs w:val="24"/>
          <w:lang w:val="ro-RO"/>
        </w:rPr>
        <w:t xml:space="preserve"> cheltuieli bugetare ineficiente pentru administrarea și ulterior lichidarea Sistemului informațional automatizat ,,Registrul de evidență a operatorilor economici de date cu caracter personal” (984,8 mii lei) și neefectuarea regulamentară a inventarierii tuturor bunurilor aflate în gestiune </w:t>
      </w:r>
      <w:r w:rsidR="00D36DE2" w:rsidRPr="00BE4B86">
        <w:rPr>
          <w:rFonts w:ascii="Times New Roman" w:eastAsia="Times New Roman" w:hAnsi="Times New Roman" w:cs="Times New Roman"/>
          <w:i/>
          <w:sz w:val="24"/>
          <w:szCs w:val="24"/>
        </w:rPr>
        <w:t>(pct. 4.3.1)</w:t>
      </w:r>
      <w:r w:rsidR="00D36DE2" w:rsidRPr="00BE4B86">
        <w:rPr>
          <w:rFonts w:ascii="Times New Roman" w:hAnsi="Times New Roman" w:cs="Times New Roman"/>
          <w:i/>
          <w:sz w:val="24"/>
          <w:szCs w:val="24"/>
          <w:lang w:val="ro-RO"/>
        </w:rPr>
        <w:t>.</w:t>
      </w:r>
    </w:p>
    <w:p w14:paraId="6E3DC505" w14:textId="16F74A4B" w:rsidR="004B1A15" w:rsidRPr="005506DB" w:rsidRDefault="00F93523" w:rsidP="004B1A15">
      <w:pPr>
        <w:pStyle w:val="Default"/>
        <w:numPr>
          <w:ilvl w:val="0"/>
          <w:numId w:val="39"/>
        </w:numPr>
        <w:tabs>
          <w:tab w:val="left" w:pos="360"/>
          <w:tab w:val="left" w:pos="709"/>
        </w:tabs>
        <w:spacing w:line="276" w:lineRule="auto"/>
        <w:ind w:left="0" w:firstLine="360"/>
        <w:jc w:val="both"/>
        <w:rPr>
          <w:i/>
        </w:rPr>
      </w:pPr>
      <w:r w:rsidRPr="00BE4B86">
        <w:rPr>
          <w:rFonts w:eastAsia="Times New Roman"/>
          <w:i/>
        </w:rPr>
        <w:t xml:space="preserve">Deși </w:t>
      </w:r>
      <w:r w:rsidR="004107E0" w:rsidRPr="00BE4B86">
        <w:rPr>
          <w:rFonts w:eastAsia="Times New Roman"/>
          <w:i/>
        </w:rPr>
        <w:t>au fost</w:t>
      </w:r>
      <w:r w:rsidRPr="00BE4B86">
        <w:rPr>
          <w:rFonts w:eastAsia="Times New Roman"/>
          <w:i/>
        </w:rPr>
        <w:t xml:space="preserve"> organizat</w:t>
      </w:r>
      <w:r w:rsidR="004107E0" w:rsidRPr="00BE4B86">
        <w:rPr>
          <w:rFonts w:eastAsia="Times New Roman"/>
          <w:i/>
        </w:rPr>
        <w:t>e</w:t>
      </w:r>
      <w:r w:rsidRPr="00BE4B86">
        <w:rPr>
          <w:rFonts w:eastAsia="Times New Roman"/>
          <w:i/>
        </w:rPr>
        <w:t xml:space="preserve"> mai multe concursuri</w:t>
      </w:r>
      <w:r w:rsidR="00662AB9" w:rsidRPr="00BE4B86">
        <w:rPr>
          <w:rFonts w:eastAsia="Times New Roman"/>
          <w:i/>
        </w:rPr>
        <w:t>,</w:t>
      </w:r>
      <w:r w:rsidRPr="00BE4B86">
        <w:rPr>
          <w:rFonts w:eastAsia="Times New Roman"/>
          <w:i/>
        </w:rPr>
        <w:t xml:space="preserve"> </w:t>
      </w:r>
      <w:r w:rsidRPr="00BE4B86">
        <w:rPr>
          <w:i/>
        </w:rPr>
        <w:t xml:space="preserve">Serviciul audit intern nu a fost </w:t>
      </w:r>
      <w:r w:rsidR="004B1A15" w:rsidRPr="00BE4B86">
        <w:rPr>
          <w:i/>
        </w:rPr>
        <w:t>suplini</w:t>
      </w:r>
      <w:r w:rsidRPr="00BE4B86">
        <w:rPr>
          <w:i/>
        </w:rPr>
        <w:t>t</w:t>
      </w:r>
      <w:r w:rsidR="004B1A15" w:rsidRPr="00BE4B86">
        <w:rPr>
          <w:i/>
        </w:rPr>
        <w:t xml:space="preserve"> cu personal, în anii 2018-2020 această funcție fiind </w:t>
      </w:r>
      <w:r w:rsidR="004B1A15" w:rsidRPr="00BE4B86">
        <w:rPr>
          <w:i/>
          <w:iCs/>
        </w:rPr>
        <w:t>vacantă și cumulată neregulamentar</w:t>
      </w:r>
      <w:r w:rsidR="005506DB">
        <w:rPr>
          <w:i/>
          <w:iCs/>
        </w:rPr>
        <w:t>.</w:t>
      </w:r>
      <w:r w:rsidR="004B1A15" w:rsidRPr="005506DB">
        <w:rPr>
          <w:i/>
          <w:iCs/>
        </w:rPr>
        <w:t xml:space="preserve"> </w:t>
      </w:r>
      <w:r w:rsidR="005506DB">
        <w:rPr>
          <w:i/>
          <w:iCs/>
        </w:rPr>
        <w:t>A</w:t>
      </w:r>
      <w:r w:rsidR="004B1A15" w:rsidRPr="005506DB">
        <w:rPr>
          <w:i/>
          <w:noProof/>
        </w:rPr>
        <w:t>naliza rapoartelor anuale privind control</w:t>
      </w:r>
      <w:r w:rsidR="005506DB">
        <w:rPr>
          <w:i/>
          <w:noProof/>
        </w:rPr>
        <w:t>u</w:t>
      </w:r>
      <w:r w:rsidR="004B1A15" w:rsidRPr="005506DB">
        <w:rPr>
          <w:i/>
          <w:noProof/>
        </w:rPr>
        <w:t>l intern managerial, prezentate de către CNPDCP la Ministerul Finanțelor</w:t>
      </w:r>
      <w:r w:rsidR="005506DB">
        <w:rPr>
          <w:i/>
          <w:noProof/>
        </w:rPr>
        <w:t>,</w:t>
      </w:r>
      <w:r w:rsidR="004B1A15" w:rsidRPr="005506DB">
        <w:rPr>
          <w:i/>
          <w:noProof/>
        </w:rPr>
        <w:t xml:space="preserve"> și </w:t>
      </w:r>
      <w:r w:rsidR="005506DB">
        <w:rPr>
          <w:i/>
          <w:noProof/>
        </w:rPr>
        <w:t>având în vedere</w:t>
      </w:r>
      <w:r w:rsidR="004B1A15" w:rsidRPr="005506DB">
        <w:rPr>
          <w:i/>
          <w:noProof/>
        </w:rPr>
        <w:t xml:space="preserve"> neregulile și neconformităție depistate de către auditul extern, relevă că sistemul de control intern la entitate este parțial conform și </w:t>
      </w:r>
      <w:r w:rsidR="004B1A15" w:rsidRPr="005506DB">
        <w:rPr>
          <w:rFonts w:eastAsia="Times New Roman"/>
          <w:i/>
        </w:rPr>
        <w:t xml:space="preserve">necesită îmbunătățiri (pct. 4.4.1). </w:t>
      </w:r>
    </w:p>
    <w:p w14:paraId="52BC55F7" w14:textId="77777777" w:rsidR="004B1A15" w:rsidRPr="00BE4B86" w:rsidRDefault="004B1A15" w:rsidP="008C1B8F">
      <w:pPr>
        <w:jc w:val="both"/>
        <w:rPr>
          <w:rFonts w:ascii="Times New Roman" w:hAnsi="Times New Roman" w:cs="Times New Roman"/>
          <w:sz w:val="24"/>
          <w:szCs w:val="24"/>
        </w:rPr>
      </w:pPr>
    </w:p>
    <w:p w14:paraId="1E3AB608" w14:textId="5929885B" w:rsidR="00E82E0A" w:rsidRDefault="00857D70" w:rsidP="00E82E0A">
      <w:pPr>
        <w:jc w:val="both"/>
        <w:rPr>
          <w:rFonts w:ascii="Times New Roman" w:hAnsi="Times New Roman" w:cs="Times New Roman"/>
          <w:sz w:val="24"/>
          <w:szCs w:val="24"/>
        </w:rPr>
      </w:pPr>
      <w:r w:rsidRPr="00BE4B86">
        <w:rPr>
          <w:rFonts w:ascii="Times New Roman" w:hAnsi="Times New Roman" w:cs="Times New Roman"/>
          <w:sz w:val="24"/>
          <w:szCs w:val="24"/>
        </w:rPr>
        <w:t>Misiunea de audit public extern, în general, are ca scop valorificarea rezultatelor obținute și oferirea acestora părților interesate (Parlament, Guvern și societatea civilă), fiind formulate concluzii și înaintate recomandări în vederea îmbunătățiri</w:t>
      </w:r>
      <w:r w:rsidR="00C139A6" w:rsidRPr="00BE4B86">
        <w:rPr>
          <w:rFonts w:ascii="Times New Roman" w:hAnsi="Times New Roman" w:cs="Times New Roman"/>
          <w:sz w:val="24"/>
          <w:szCs w:val="24"/>
        </w:rPr>
        <w:t xml:space="preserve">i proceselor de planificare și utilizare a </w:t>
      </w:r>
      <w:r w:rsidRPr="00BE4B86">
        <w:rPr>
          <w:rFonts w:ascii="Times New Roman" w:hAnsi="Times New Roman" w:cs="Times New Roman"/>
          <w:sz w:val="24"/>
          <w:szCs w:val="24"/>
        </w:rPr>
        <w:t xml:space="preserve">mijloacelor bugetare, precum și </w:t>
      </w:r>
      <w:r w:rsidR="00C51FCF" w:rsidRPr="00BE4B86">
        <w:rPr>
          <w:rFonts w:ascii="Times New Roman" w:hAnsi="Times New Roman" w:cs="Times New Roman"/>
          <w:sz w:val="24"/>
          <w:szCs w:val="24"/>
        </w:rPr>
        <w:t>de</w:t>
      </w:r>
      <w:r w:rsidRPr="00BE4B86">
        <w:rPr>
          <w:rFonts w:ascii="Times New Roman" w:hAnsi="Times New Roman" w:cs="Times New Roman"/>
          <w:sz w:val="24"/>
          <w:szCs w:val="24"/>
        </w:rPr>
        <w:t xml:space="preserve"> gestionare</w:t>
      </w:r>
      <w:r w:rsidR="00C51FCF" w:rsidRPr="00BE4B86">
        <w:rPr>
          <w:rFonts w:ascii="Times New Roman" w:hAnsi="Times New Roman" w:cs="Times New Roman"/>
          <w:sz w:val="24"/>
          <w:szCs w:val="24"/>
        </w:rPr>
        <w:t xml:space="preserve"> </w:t>
      </w:r>
      <w:r w:rsidRPr="00BE4B86">
        <w:rPr>
          <w:rFonts w:ascii="Times New Roman" w:hAnsi="Times New Roman" w:cs="Times New Roman"/>
          <w:sz w:val="24"/>
          <w:szCs w:val="24"/>
        </w:rPr>
        <w:t xml:space="preserve">a patrimoniului public, </w:t>
      </w:r>
      <w:r w:rsidR="00C51FCF" w:rsidRPr="00BE4B86">
        <w:rPr>
          <w:rFonts w:ascii="Times New Roman" w:hAnsi="Times New Roman" w:cs="Times New Roman"/>
          <w:sz w:val="24"/>
          <w:szCs w:val="24"/>
        </w:rPr>
        <w:t xml:space="preserve">pentru </w:t>
      </w:r>
      <w:r w:rsidRPr="00BE4B86">
        <w:rPr>
          <w:rFonts w:ascii="Times New Roman" w:hAnsi="Times New Roman" w:cs="Times New Roman"/>
          <w:sz w:val="24"/>
          <w:szCs w:val="24"/>
        </w:rPr>
        <w:t>elimin</w:t>
      </w:r>
      <w:r w:rsidR="00C51FCF" w:rsidRPr="00BE4B86">
        <w:rPr>
          <w:rFonts w:ascii="Times New Roman" w:hAnsi="Times New Roman" w:cs="Times New Roman"/>
          <w:sz w:val="24"/>
          <w:szCs w:val="24"/>
        </w:rPr>
        <w:t>ar</w:t>
      </w:r>
      <w:r w:rsidR="00C51FCF" w:rsidRPr="004D2FF7">
        <w:rPr>
          <w:rFonts w:ascii="Times New Roman" w:hAnsi="Times New Roman" w:cs="Times New Roman"/>
          <w:sz w:val="24"/>
          <w:szCs w:val="24"/>
        </w:rPr>
        <w:t>ea</w:t>
      </w:r>
      <w:r w:rsidRPr="004D2FF7">
        <w:rPr>
          <w:rFonts w:ascii="Times New Roman" w:hAnsi="Times New Roman" w:cs="Times New Roman"/>
          <w:sz w:val="24"/>
          <w:szCs w:val="24"/>
        </w:rPr>
        <w:t xml:space="preserve"> deficiențelor constatate de audit.</w:t>
      </w:r>
    </w:p>
    <w:p w14:paraId="05389478" w14:textId="6479EC38" w:rsidR="003E77B8" w:rsidRDefault="003E77B8" w:rsidP="00E82E0A">
      <w:pPr>
        <w:jc w:val="both"/>
        <w:rPr>
          <w:rFonts w:ascii="Times New Roman" w:hAnsi="Times New Roman" w:cs="Times New Roman"/>
          <w:b/>
          <w:i/>
          <w:sz w:val="24"/>
          <w:szCs w:val="24"/>
        </w:rPr>
      </w:pPr>
    </w:p>
    <w:p w14:paraId="346802E0" w14:textId="77777777" w:rsidR="000D05A8" w:rsidRDefault="000D05A8" w:rsidP="00E82E0A">
      <w:pPr>
        <w:jc w:val="both"/>
        <w:rPr>
          <w:rFonts w:ascii="Times New Roman" w:hAnsi="Times New Roman" w:cs="Times New Roman"/>
          <w:b/>
          <w:i/>
          <w:sz w:val="24"/>
          <w:szCs w:val="24"/>
        </w:rPr>
      </w:pPr>
    </w:p>
    <w:p w14:paraId="4D660774" w14:textId="0C12F00F" w:rsidR="00564B70" w:rsidRPr="004D2FF7" w:rsidRDefault="00564B70" w:rsidP="00E82E0A">
      <w:pPr>
        <w:jc w:val="both"/>
        <w:rPr>
          <w:rFonts w:ascii="Times New Roman" w:hAnsi="Times New Roman" w:cs="Times New Roman"/>
          <w:sz w:val="24"/>
          <w:szCs w:val="24"/>
        </w:rPr>
      </w:pPr>
      <w:r w:rsidRPr="004D2FF7">
        <w:rPr>
          <w:rFonts w:ascii="Times New Roman" w:hAnsi="Times New Roman" w:cs="Times New Roman"/>
          <w:b/>
          <w:i/>
          <w:sz w:val="24"/>
          <w:szCs w:val="24"/>
        </w:rPr>
        <w:lastRenderedPageBreak/>
        <w:t>Raportul de audit este destinat</w:t>
      </w:r>
      <w:r w:rsidRPr="004D2FF7">
        <w:rPr>
          <w:rFonts w:ascii="Times New Roman" w:hAnsi="Times New Roman" w:cs="Times New Roman"/>
          <w:sz w:val="24"/>
          <w:szCs w:val="24"/>
        </w:rPr>
        <w:t>:</w:t>
      </w:r>
    </w:p>
    <w:p w14:paraId="5E38CFF8" w14:textId="77777777" w:rsidR="00564B70" w:rsidRPr="004D2FF7" w:rsidRDefault="00564B70" w:rsidP="008C1B8F">
      <w:pPr>
        <w:spacing w:line="276" w:lineRule="auto"/>
        <w:jc w:val="both"/>
        <w:rPr>
          <w:rFonts w:ascii="Times New Roman" w:hAnsi="Times New Roman" w:cs="Times New Roman"/>
          <w:sz w:val="24"/>
          <w:szCs w:val="24"/>
        </w:rPr>
      </w:pPr>
      <w:r w:rsidRPr="004D2FF7">
        <w:rPr>
          <w:rFonts w:ascii="Times New Roman" w:hAnsi="Times New Roman" w:cs="Times New Roman"/>
          <w:b/>
          <w:sz w:val="24"/>
          <w:szCs w:val="24"/>
        </w:rPr>
        <w:t>Parlamentului și Guvernului Republicii Moldova</w:t>
      </w:r>
      <w:r w:rsidRPr="004D2FF7">
        <w:rPr>
          <w:rFonts w:ascii="Times New Roman" w:hAnsi="Times New Roman" w:cs="Times New Roman"/>
          <w:sz w:val="24"/>
          <w:szCs w:val="24"/>
        </w:rPr>
        <w:t xml:space="preserve"> – pentru informare, luare de atitudine și utilizarea informațiilor la luarea deciziilor/inițiativelor aferente domeniilor de administrare a mijloacelor bugetare publice și a patrimoniului public;</w:t>
      </w:r>
    </w:p>
    <w:p w14:paraId="448F4D56" w14:textId="7B72D033" w:rsidR="00564B70" w:rsidRPr="004D2FF7" w:rsidRDefault="00ED0B5D" w:rsidP="008C1B8F">
      <w:pPr>
        <w:spacing w:line="276" w:lineRule="auto"/>
        <w:jc w:val="both"/>
        <w:rPr>
          <w:rFonts w:ascii="Times New Roman" w:hAnsi="Times New Roman" w:cs="Times New Roman"/>
          <w:sz w:val="24"/>
          <w:szCs w:val="24"/>
        </w:rPr>
      </w:pPr>
      <w:r w:rsidRPr="004D2FF7">
        <w:rPr>
          <w:rFonts w:ascii="Times New Roman" w:hAnsi="Times New Roman" w:cs="Times New Roman"/>
          <w:b/>
          <w:sz w:val="24"/>
          <w:szCs w:val="24"/>
        </w:rPr>
        <w:t>Centrului</w:t>
      </w:r>
      <w:r w:rsidR="003E77B8">
        <w:rPr>
          <w:rFonts w:ascii="Times New Roman" w:hAnsi="Times New Roman" w:cs="Times New Roman"/>
          <w:b/>
          <w:sz w:val="24"/>
          <w:szCs w:val="24"/>
        </w:rPr>
        <w:t xml:space="preserve"> Național</w:t>
      </w:r>
      <w:r w:rsidRPr="004D2FF7">
        <w:rPr>
          <w:rFonts w:ascii="Times New Roman" w:hAnsi="Times New Roman" w:cs="Times New Roman"/>
          <w:b/>
          <w:sz w:val="24"/>
          <w:szCs w:val="24"/>
        </w:rPr>
        <w:t xml:space="preserve"> pentru Protecția Datelor cu Caracter Personal</w:t>
      </w:r>
      <w:r w:rsidRPr="004D2FF7">
        <w:rPr>
          <w:rFonts w:ascii="Times New Roman" w:hAnsi="Times New Roman" w:cs="Times New Roman"/>
          <w:sz w:val="24"/>
          <w:szCs w:val="24"/>
        </w:rPr>
        <w:t xml:space="preserve"> </w:t>
      </w:r>
      <w:r w:rsidR="00564B70" w:rsidRPr="004D2FF7">
        <w:rPr>
          <w:rFonts w:ascii="Times New Roman" w:hAnsi="Times New Roman" w:cs="Times New Roman"/>
          <w:sz w:val="24"/>
          <w:szCs w:val="24"/>
        </w:rPr>
        <w:t>– pentru identificarea deficiențelor și vulnerabilităților aferente proceselor operaționale ce țin de elaborarea anuală a bugetului, valorificarea mijloacelor bugetare alocate pentru întreținerea instituției, precum și de administrarea patrimoniului public;</w:t>
      </w:r>
    </w:p>
    <w:p w14:paraId="4896B9D4" w14:textId="66B752A7" w:rsidR="00564B70" w:rsidRDefault="00564B70" w:rsidP="008C1B8F">
      <w:pPr>
        <w:spacing w:line="276" w:lineRule="auto"/>
        <w:jc w:val="both"/>
        <w:rPr>
          <w:rFonts w:ascii="Times New Roman" w:hAnsi="Times New Roman" w:cs="Times New Roman"/>
          <w:sz w:val="24"/>
          <w:szCs w:val="24"/>
        </w:rPr>
      </w:pPr>
      <w:r w:rsidRPr="004D2FF7">
        <w:rPr>
          <w:rFonts w:ascii="Times New Roman" w:hAnsi="Times New Roman" w:cs="Times New Roman"/>
          <w:b/>
          <w:sz w:val="24"/>
          <w:szCs w:val="24"/>
        </w:rPr>
        <w:t>societății civile și altor părți interesate</w:t>
      </w:r>
      <w:r w:rsidRPr="004D2FF7">
        <w:rPr>
          <w:rFonts w:ascii="Times New Roman" w:hAnsi="Times New Roman" w:cs="Times New Roman"/>
          <w:sz w:val="24"/>
          <w:szCs w:val="24"/>
        </w:rPr>
        <w:t xml:space="preserve">, avându-se în vedere </w:t>
      </w:r>
      <w:r w:rsidR="00C51FCF" w:rsidRPr="004D2FF7">
        <w:rPr>
          <w:rFonts w:ascii="Times New Roman" w:hAnsi="Times New Roman" w:cs="Times New Roman"/>
          <w:sz w:val="24"/>
          <w:szCs w:val="24"/>
        </w:rPr>
        <w:t xml:space="preserve">faptul </w:t>
      </w:r>
      <w:r w:rsidRPr="004D2FF7">
        <w:rPr>
          <w:rFonts w:ascii="Times New Roman" w:hAnsi="Times New Roman" w:cs="Times New Roman"/>
          <w:sz w:val="24"/>
          <w:szCs w:val="24"/>
        </w:rPr>
        <w:t xml:space="preserve">că Raportul de audit furnizează destinatarilor informații referitor la conformitatea utilizării resurselor financiare publice și a patrimoniului public de către </w:t>
      </w:r>
      <w:r w:rsidR="00A462DD" w:rsidRPr="004D2FF7">
        <w:rPr>
          <w:rFonts w:ascii="Times New Roman" w:hAnsi="Times New Roman" w:cs="Times New Roman"/>
          <w:sz w:val="24"/>
          <w:szCs w:val="24"/>
        </w:rPr>
        <w:t>Centrul</w:t>
      </w:r>
      <w:r w:rsidR="003E77B8">
        <w:rPr>
          <w:rFonts w:ascii="Times New Roman" w:hAnsi="Times New Roman" w:cs="Times New Roman"/>
          <w:sz w:val="24"/>
          <w:szCs w:val="24"/>
        </w:rPr>
        <w:t xml:space="preserve"> Național</w:t>
      </w:r>
      <w:r w:rsidR="00A462DD" w:rsidRPr="004D2FF7">
        <w:rPr>
          <w:rFonts w:ascii="Times New Roman" w:hAnsi="Times New Roman" w:cs="Times New Roman"/>
          <w:sz w:val="24"/>
          <w:szCs w:val="24"/>
        </w:rPr>
        <w:t xml:space="preserve"> pentru Protecția Datelor cu Caracter Personal</w:t>
      </w:r>
      <w:r w:rsidRPr="004D2FF7">
        <w:rPr>
          <w:rFonts w:ascii="Times New Roman" w:hAnsi="Times New Roman" w:cs="Times New Roman"/>
          <w:sz w:val="24"/>
          <w:szCs w:val="24"/>
        </w:rPr>
        <w:t xml:space="preserve"> în perioada 2018-2022.</w:t>
      </w:r>
    </w:p>
    <w:p w14:paraId="21EAB9DF" w14:textId="77777777" w:rsidR="007866F7" w:rsidRDefault="007866F7" w:rsidP="008C1B8F">
      <w:pPr>
        <w:spacing w:line="276" w:lineRule="auto"/>
        <w:jc w:val="both"/>
        <w:rPr>
          <w:rFonts w:ascii="Times New Roman" w:hAnsi="Times New Roman" w:cs="Times New Roman"/>
          <w:sz w:val="24"/>
          <w:szCs w:val="24"/>
        </w:rPr>
      </w:pPr>
    </w:p>
    <w:p w14:paraId="5963CED5" w14:textId="77777777" w:rsidR="006049D5" w:rsidRPr="004D2FF7" w:rsidRDefault="000A760C" w:rsidP="00ED5A00">
      <w:pPr>
        <w:pStyle w:val="Heading1"/>
        <w:numPr>
          <w:ilvl w:val="0"/>
          <w:numId w:val="11"/>
        </w:numPr>
        <w:tabs>
          <w:tab w:val="left" w:pos="3600"/>
          <w:tab w:val="left" w:pos="3780"/>
        </w:tabs>
        <w:spacing w:before="0" w:after="120" w:line="276" w:lineRule="auto"/>
        <w:ind w:left="284" w:firstLine="0"/>
        <w:rPr>
          <w:rFonts w:ascii="Times New Roman" w:eastAsiaTheme="minorHAnsi" w:hAnsi="Times New Roman" w:cs="Times New Roman"/>
          <w:b/>
          <w:color w:val="auto"/>
          <w:sz w:val="24"/>
          <w:szCs w:val="24"/>
          <w:shd w:val="clear" w:color="auto" w:fill="FFFFFF"/>
        </w:rPr>
      </w:pPr>
      <w:r w:rsidRPr="004D2FF7">
        <w:rPr>
          <w:rFonts w:ascii="Times New Roman" w:eastAsiaTheme="minorHAnsi" w:hAnsi="Times New Roman" w:cs="Times New Roman"/>
          <w:b/>
          <w:color w:val="auto"/>
          <w:sz w:val="24"/>
          <w:szCs w:val="24"/>
          <w:shd w:val="clear" w:color="auto" w:fill="FFFFFF"/>
        </w:rPr>
        <w:t xml:space="preserve"> </w:t>
      </w:r>
      <w:bookmarkStart w:id="11" w:name="_Toc157776080"/>
      <w:r w:rsidR="006049D5" w:rsidRPr="004D2FF7">
        <w:rPr>
          <w:rFonts w:ascii="Times New Roman" w:eastAsiaTheme="minorHAnsi" w:hAnsi="Times New Roman" w:cs="Times New Roman"/>
          <w:b/>
          <w:color w:val="auto"/>
          <w:sz w:val="24"/>
          <w:szCs w:val="24"/>
          <w:shd w:val="clear" w:color="auto" w:fill="FFFFFF"/>
        </w:rPr>
        <w:t>PREZENTAREA GENERALĂ</w:t>
      </w:r>
      <w:bookmarkEnd w:id="11"/>
    </w:p>
    <w:p w14:paraId="6502B2E5" w14:textId="77777777" w:rsidR="006049D5" w:rsidRPr="004D2FF7" w:rsidRDefault="006049D5" w:rsidP="00ED5A00">
      <w:pPr>
        <w:pStyle w:val="Heading3"/>
        <w:numPr>
          <w:ilvl w:val="1"/>
          <w:numId w:val="11"/>
        </w:numPr>
        <w:tabs>
          <w:tab w:val="left" w:pos="426"/>
        </w:tabs>
        <w:spacing w:after="80"/>
        <w:ind w:left="0" w:firstLine="0"/>
        <w:rPr>
          <w:rFonts w:ascii="Times New Roman" w:eastAsiaTheme="minorEastAsia" w:hAnsi="Times New Roman" w:cs="Times New Roman"/>
          <w:b/>
          <w:i/>
          <w:color w:val="2E74B5" w:themeColor="accent1" w:themeShade="BF"/>
          <w:lang w:eastAsia="ru-RU"/>
        </w:rPr>
      </w:pPr>
      <w:bookmarkStart w:id="12" w:name="_Toc157776081"/>
      <w:r w:rsidRPr="004D2FF7">
        <w:rPr>
          <w:rFonts w:ascii="Times New Roman" w:eastAsiaTheme="minorEastAsia" w:hAnsi="Times New Roman" w:cs="Times New Roman"/>
          <w:b/>
          <w:i/>
          <w:color w:val="2E74B5" w:themeColor="accent1" w:themeShade="BF"/>
          <w:lang w:eastAsia="ru-RU"/>
        </w:rPr>
        <w:t>Domeniul de activitate al entității auditate</w:t>
      </w:r>
      <w:bookmarkEnd w:id="12"/>
    </w:p>
    <w:p w14:paraId="3395DC26" w14:textId="31F66448" w:rsidR="0071589F" w:rsidRPr="009D7F36" w:rsidRDefault="006049D5" w:rsidP="0071589F">
      <w:pPr>
        <w:spacing w:after="0" w:line="276" w:lineRule="auto"/>
        <w:jc w:val="both"/>
        <w:rPr>
          <w:rFonts w:ascii="Times New Roman" w:hAnsi="Times New Roman" w:cs="Times New Roman"/>
          <w:sz w:val="24"/>
          <w:szCs w:val="24"/>
        </w:rPr>
      </w:pPr>
      <w:r w:rsidRPr="004D2FF7">
        <w:rPr>
          <w:rFonts w:ascii="Times New Roman" w:hAnsi="Times New Roman" w:cs="Times New Roman"/>
          <w:sz w:val="24"/>
          <w:szCs w:val="24"/>
        </w:rPr>
        <w:t xml:space="preserve">Conform Legii </w:t>
      </w:r>
      <w:r w:rsidR="00A53C14" w:rsidRPr="009D7F36">
        <w:rPr>
          <w:rFonts w:ascii="Times New Roman" w:eastAsia="Times New Roman" w:hAnsi="Times New Roman" w:cs="Times New Roman"/>
          <w:bCs/>
          <w:sz w:val="24"/>
          <w:szCs w:val="24"/>
          <w:lang w:val="ro-RO"/>
        </w:rPr>
        <w:t>nr.182-XVI din 10.07.2008</w:t>
      </w:r>
      <w:r w:rsidR="00A53C14" w:rsidRPr="009D7F36">
        <w:rPr>
          <w:rStyle w:val="FootnoteReference"/>
          <w:rFonts w:ascii="Times New Roman" w:eastAsia="Times New Roman" w:hAnsi="Times New Roman" w:cs="Times New Roman"/>
          <w:bCs/>
          <w:sz w:val="24"/>
          <w:szCs w:val="24"/>
          <w:lang w:val="ro-RO"/>
        </w:rPr>
        <w:footnoteReference w:id="18"/>
      </w:r>
      <w:r w:rsidRPr="009D7F36">
        <w:rPr>
          <w:rFonts w:ascii="Times New Roman" w:hAnsi="Times New Roman" w:cs="Times New Roman"/>
          <w:sz w:val="24"/>
          <w:szCs w:val="24"/>
        </w:rPr>
        <w:t xml:space="preserve">, </w:t>
      </w:r>
      <w:r w:rsidR="00A53C14" w:rsidRPr="009D7F36">
        <w:rPr>
          <w:rFonts w:ascii="Times New Roman" w:hAnsi="Times New Roman" w:cs="Times New Roman"/>
          <w:sz w:val="24"/>
          <w:szCs w:val="24"/>
        </w:rPr>
        <w:t>CNPDCP</w:t>
      </w:r>
      <w:r w:rsidRPr="009D7F36">
        <w:rPr>
          <w:rFonts w:ascii="Times New Roman" w:hAnsi="Times New Roman" w:cs="Times New Roman"/>
          <w:sz w:val="24"/>
          <w:szCs w:val="24"/>
        </w:rPr>
        <w:t xml:space="preserve"> este o </w:t>
      </w:r>
      <w:r w:rsidR="00D135A4" w:rsidRPr="009D7F36">
        <w:rPr>
          <w:rFonts w:ascii="Times New Roman" w:eastAsia="Times New Roman" w:hAnsi="Times New Roman" w:cs="Times New Roman"/>
          <w:sz w:val="24"/>
          <w:szCs w:val="24"/>
          <w:lang w:val="ro-RO"/>
        </w:rPr>
        <w:t xml:space="preserve">autoritate publică autonomă, independentă </w:t>
      </w:r>
      <w:r w:rsidR="00654CC7" w:rsidRPr="00CB5976">
        <w:rPr>
          <w:rFonts w:ascii="Times New Roman" w:eastAsia="Times New Roman" w:hAnsi="Times New Roman" w:cs="Times New Roman"/>
          <w:sz w:val="24"/>
          <w:szCs w:val="24"/>
          <w:lang w:val="ro-RO"/>
        </w:rPr>
        <w:t>și</w:t>
      </w:r>
      <w:r w:rsidR="00D135A4" w:rsidRPr="00CB5976">
        <w:rPr>
          <w:rFonts w:ascii="Times New Roman" w:eastAsia="Times New Roman" w:hAnsi="Times New Roman" w:cs="Times New Roman"/>
          <w:sz w:val="24"/>
          <w:szCs w:val="24"/>
          <w:lang w:val="ro-RO"/>
        </w:rPr>
        <w:t xml:space="preserve"> imparțială față de alte autorități publice, persoane fizice </w:t>
      </w:r>
      <w:r w:rsidR="00654CC7" w:rsidRPr="00CB5976">
        <w:rPr>
          <w:rFonts w:ascii="Times New Roman" w:eastAsia="Times New Roman" w:hAnsi="Times New Roman" w:cs="Times New Roman"/>
          <w:sz w:val="24"/>
          <w:szCs w:val="24"/>
          <w:lang w:val="ro-RO"/>
        </w:rPr>
        <w:t>și</w:t>
      </w:r>
      <w:r w:rsidR="00D135A4" w:rsidRPr="00CB5976">
        <w:rPr>
          <w:rFonts w:ascii="Times New Roman" w:eastAsia="Times New Roman" w:hAnsi="Times New Roman" w:cs="Times New Roman"/>
          <w:sz w:val="24"/>
          <w:szCs w:val="24"/>
          <w:lang w:val="ro-RO"/>
        </w:rPr>
        <w:t xml:space="preserve"> juridice</w:t>
      </w:r>
      <w:r w:rsidR="00D42052" w:rsidRPr="00CB5976">
        <w:rPr>
          <w:rFonts w:ascii="Times New Roman" w:eastAsia="Times New Roman" w:hAnsi="Times New Roman" w:cs="Times New Roman"/>
          <w:sz w:val="24"/>
          <w:szCs w:val="24"/>
          <w:lang w:val="ro-RO"/>
        </w:rPr>
        <w:t>,</w:t>
      </w:r>
      <w:r w:rsidR="00654CC7" w:rsidRPr="00CB5976">
        <w:rPr>
          <w:rFonts w:ascii="Times New Roman" w:eastAsia="Times New Roman" w:hAnsi="Times New Roman" w:cs="Times New Roman"/>
          <w:sz w:val="24"/>
          <w:szCs w:val="24"/>
          <w:lang w:val="ro-RO"/>
        </w:rPr>
        <w:t xml:space="preserve"> </w:t>
      </w:r>
      <w:r w:rsidR="009D7F36" w:rsidRPr="00CB5976">
        <w:rPr>
          <w:rFonts w:ascii="Times New Roman" w:eastAsia="Times New Roman" w:hAnsi="Times New Roman" w:cs="Times New Roman"/>
          <w:sz w:val="24"/>
          <w:szCs w:val="24"/>
          <w:lang w:val="ro-RO"/>
        </w:rPr>
        <w:t xml:space="preserve">al cărei </w:t>
      </w:r>
      <w:r w:rsidR="00654CC7" w:rsidRPr="005846BA">
        <w:rPr>
          <w:rFonts w:ascii="Times New Roman" w:eastAsia="Times New Roman" w:hAnsi="Times New Roman" w:cs="Times New Roman"/>
          <w:color w:val="333333"/>
          <w:sz w:val="24"/>
          <w:szCs w:val="24"/>
          <w:lang w:val="ro-RO"/>
        </w:rPr>
        <w:t>obiectiv</w:t>
      </w:r>
      <w:r w:rsidR="00654CC7" w:rsidRPr="00372EAF">
        <w:rPr>
          <w:rFonts w:ascii="Times New Roman" w:eastAsia="Times New Roman" w:hAnsi="Times New Roman" w:cs="Times New Roman"/>
          <w:color w:val="333333"/>
          <w:sz w:val="24"/>
          <w:szCs w:val="24"/>
          <w:lang w:val="ro-RO"/>
        </w:rPr>
        <w:t xml:space="preserve"> este apărarea drepturilor și libertăților fundamentale ale persoanelor fizice, în special a dreptului la viață privată în legătură cu prelucrarea și transmiterea transfrontalieră a datel</w:t>
      </w:r>
      <w:r w:rsidR="00654CC7" w:rsidRPr="00C370A5">
        <w:rPr>
          <w:rFonts w:ascii="Times New Roman" w:eastAsia="Times New Roman" w:hAnsi="Times New Roman" w:cs="Times New Roman"/>
          <w:color w:val="333333"/>
          <w:sz w:val="24"/>
          <w:szCs w:val="24"/>
          <w:lang w:val="ro-RO"/>
        </w:rPr>
        <w:t>or cu caracter personal.</w:t>
      </w:r>
    </w:p>
    <w:p w14:paraId="172B794C" w14:textId="318BF719" w:rsidR="0071589F" w:rsidRPr="009D7F36" w:rsidRDefault="00BC6E0D" w:rsidP="00A752D1">
      <w:pPr>
        <w:spacing w:after="120" w:line="276" w:lineRule="auto"/>
        <w:jc w:val="both"/>
        <w:rPr>
          <w:rFonts w:ascii="Times New Roman" w:hAnsi="Times New Roman" w:cs="Times New Roman"/>
          <w:sz w:val="24"/>
          <w:szCs w:val="24"/>
        </w:rPr>
      </w:pPr>
      <w:r w:rsidRPr="009D7F36">
        <w:rPr>
          <w:rFonts w:ascii="Times New Roman" w:hAnsi="Times New Roman" w:cs="Times New Roman"/>
          <w:sz w:val="24"/>
          <w:szCs w:val="24"/>
        </w:rPr>
        <w:t xml:space="preserve">CNPDCP </w:t>
      </w:r>
      <w:r w:rsidR="000C745B" w:rsidRPr="009D7F36">
        <w:rPr>
          <w:rFonts w:ascii="Times New Roman" w:eastAsia="Times New Roman" w:hAnsi="Times New Roman" w:cs="Times New Roman"/>
          <w:sz w:val="24"/>
          <w:szCs w:val="24"/>
          <w:lang w:val="ro-RO"/>
        </w:rPr>
        <w:t>își</w:t>
      </w:r>
      <w:r w:rsidRPr="009D7F36">
        <w:rPr>
          <w:rFonts w:ascii="Times New Roman" w:eastAsia="Times New Roman" w:hAnsi="Times New Roman" w:cs="Times New Roman"/>
          <w:sz w:val="24"/>
          <w:szCs w:val="24"/>
          <w:lang w:val="ro-RO"/>
        </w:rPr>
        <w:t xml:space="preserve"> exercită </w:t>
      </w:r>
      <w:r w:rsidR="000C745B" w:rsidRPr="009D7F36">
        <w:rPr>
          <w:rFonts w:ascii="Times New Roman" w:eastAsia="Times New Roman" w:hAnsi="Times New Roman" w:cs="Times New Roman"/>
          <w:sz w:val="24"/>
          <w:szCs w:val="24"/>
          <w:lang w:val="ro-RO"/>
        </w:rPr>
        <w:t>atribuțiile</w:t>
      </w:r>
      <w:r w:rsidRPr="009D7F36">
        <w:rPr>
          <w:rFonts w:ascii="Times New Roman" w:eastAsia="Times New Roman" w:hAnsi="Times New Roman" w:cs="Times New Roman"/>
          <w:sz w:val="24"/>
          <w:szCs w:val="24"/>
          <w:lang w:val="ro-RO"/>
        </w:rPr>
        <w:t xml:space="preserve"> ce îi </w:t>
      </w:r>
      <w:r w:rsidR="000C745B" w:rsidRPr="009D7F36">
        <w:rPr>
          <w:rFonts w:ascii="Times New Roman" w:eastAsia="Times New Roman" w:hAnsi="Times New Roman" w:cs="Times New Roman"/>
          <w:sz w:val="24"/>
          <w:szCs w:val="24"/>
          <w:lang w:val="ro-RO"/>
        </w:rPr>
        <w:t>s</w:t>
      </w:r>
      <w:r w:rsidR="009D7F36" w:rsidRPr="009D7F36">
        <w:rPr>
          <w:rFonts w:ascii="Times New Roman" w:eastAsia="Times New Roman" w:hAnsi="Times New Roman" w:cs="Times New Roman"/>
          <w:sz w:val="24"/>
          <w:szCs w:val="24"/>
          <w:lang w:val="ro-RO"/>
        </w:rPr>
        <w:t>u</w:t>
      </w:r>
      <w:r w:rsidR="000C745B" w:rsidRPr="009D7F36">
        <w:rPr>
          <w:rFonts w:ascii="Times New Roman" w:eastAsia="Times New Roman" w:hAnsi="Times New Roman" w:cs="Times New Roman"/>
          <w:sz w:val="24"/>
          <w:szCs w:val="24"/>
          <w:lang w:val="ro-RO"/>
        </w:rPr>
        <w:t>nt</w:t>
      </w:r>
      <w:r w:rsidRPr="009D7F36">
        <w:rPr>
          <w:rFonts w:ascii="Times New Roman" w:eastAsia="Times New Roman" w:hAnsi="Times New Roman" w:cs="Times New Roman"/>
          <w:sz w:val="24"/>
          <w:szCs w:val="24"/>
          <w:lang w:val="ro-RO"/>
        </w:rPr>
        <w:t xml:space="preserve"> date în </w:t>
      </w:r>
      <w:r w:rsidR="000C745B" w:rsidRPr="009D7F36">
        <w:rPr>
          <w:rFonts w:ascii="Times New Roman" w:eastAsia="Times New Roman" w:hAnsi="Times New Roman" w:cs="Times New Roman"/>
          <w:sz w:val="24"/>
          <w:szCs w:val="24"/>
          <w:lang w:val="ro-RO"/>
        </w:rPr>
        <w:t>competen</w:t>
      </w:r>
      <w:r w:rsidR="009D7F36" w:rsidRPr="009D7F36">
        <w:rPr>
          <w:rFonts w:ascii="Times New Roman" w:eastAsia="Times New Roman" w:hAnsi="Times New Roman" w:cs="Times New Roman"/>
          <w:sz w:val="24"/>
          <w:szCs w:val="24"/>
          <w:lang w:val="ro-RO"/>
        </w:rPr>
        <w:t>ț</w:t>
      </w:r>
      <w:r w:rsidR="000C745B" w:rsidRPr="009D7F36">
        <w:rPr>
          <w:rFonts w:ascii="Times New Roman" w:eastAsia="Times New Roman" w:hAnsi="Times New Roman" w:cs="Times New Roman"/>
          <w:sz w:val="24"/>
          <w:szCs w:val="24"/>
          <w:lang w:val="ro-RO"/>
        </w:rPr>
        <w:t>ă</w:t>
      </w:r>
      <w:r w:rsidRPr="009D7F36">
        <w:rPr>
          <w:rFonts w:ascii="Times New Roman" w:eastAsia="Times New Roman" w:hAnsi="Times New Roman" w:cs="Times New Roman"/>
          <w:sz w:val="24"/>
          <w:szCs w:val="24"/>
          <w:lang w:val="ro-RO"/>
        </w:rPr>
        <w:t xml:space="preserve"> prin </w:t>
      </w:r>
      <w:hyperlink r:id="rId13" w:history="1">
        <w:r w:rsidRPr="009D7F36">
          <w:rPr>
            <w:rFonts w:ascii="Times New Roman" w:eastAsia="Times New Roman" w:hAnsi="Times New Roman" w:cs="Times New Roman"/>
            <w:sz w:val="24"/>
            <w:szCs w:val="24"/>
            <w:lang w:val="ro-RO"/>
          </w:rPr>
          <w:t xml:space="preserve">Legea cu privire la </w:t>
        </w:r>
        <w:r w:rsidR="000C745B" w:rsidRPr="009D7F36">
          <w:rPr>
            <w:rFonts w:ascii="Times New Roman" w:eastAsia="Times New Roman" w:hAnsi="Times New Roman" w:cs="Times New Roman"/>
            <w:sz w:val="24"/>
            <w:szCs w:val="24"/>
            <w:lang w:val="ro-RO"/>
          </w:rPr>
          <w:t>protecția</w:t>
        </w:r>
        <w:r w:rsidRPr="009D7F36">
          <w:rPr>
            <w:rFonts w:ascii="Times New Roman" w:eastAsia="Times New Roman" w:hAnsi="Times New Roman" w:cs="Times New Roman"/>
            <w:sz w:val="24"/>
            <w:szCs w:val="24"/>
            <w:lang w:val="ro-RO"/>
          </w:rPr>
          <w:t xml:space="preserve"> datelor cu caracter personal</w:t>
        </w:r>
      </w:hyperlink>
      <w:r w:rsidRPr="009D7F36">
        <w:rPr>
          <w:rFonts w:ascii="Times New Roman" w:eastAsia="Times New Roman" w:hAnsi="Times New Roman" w:cs="Times New Roman"/>
          <w:sz w:val="24"/>
          <w:szCs w:val="24"/>
          <w:lang w:val="ro-RO"/>
        </w:rPr>
        <w:t xml:space="preserve"> nr.133 din </w:t>
      </w:r>
      <w:r w:rsidR="000C745B" w:rsidRPr="009D7F36">
        <w:rPr>
          <w:rFonts w:ascii="Times New Roman" w:eastAsia="Times New Roman" w:hAnsi="Times New Roman" w:cs="Times New Roman"/>
          <w:sz w:val="24"/>
          <w:szCs w:val="24"/>
          <w:lang w:val="ro-RO"/>
        </w:rPr>
        <w:t>08.07.2011</w:t>
      </w:r>
      <w:r w:rsidR="000C745B" w:rsidRPr="009D7F36">
        <w:rPr>
          <w:rStyle w:val="FootnoteReference"/>
          <w:rFonts w:ascii="Times New Roman" w:eastAsia="Times New Roman" w:hAnsi="Times New Roman" w:cs="Times New Roman"/>
          <w:sz w:val="24"/>
          <w:szCs w:val="24"/>
          <w:lang w:val="ro-RO"/>
        </w:rPr>
        <w:footnoteReference w:id="19"/>
      </w:r>
      <w:r w:rsidRPr="009D7F36">
        <w:rPr>
          <w:rFonts w:ascii="Times New Roman" w:eastAsia="Times New Roman" w:hAnsi="Times New Roman" w:cs="Times New Roman"/>
          <w:sz w:val="24"/>
          <w:szCs w:val="24"/>
          <w:lang w:val="ro-RO"/>
        </w:rPr>
        <w:t>.</w:t>
      </w:r>
    </w:p>
    <w:p w14:paraId="79D903C4" w14:textId="00879885" w:rsidR="00FF28B4" w:rsidRPr="00372EAF" w:rsidRDefault="00FF28B4" w:rsidP="008C1B8F">
      <w:pPr>
        <w:spacing w:after="120" w:line="276" w:lineRule="auto"/>
        <w:jc w:val="both"/>
        <w:rPr>
          <w:rFonts w:ascii="Times New Roman" w:hAnsi="Times New Roman" w:cs="Times New Roman"/>
          <w:sz w:val="24"/>
          <w:szCs w:val="24"/>
        </w:rPr>
      </w:pPr>
      <w:r w:rsidRPr="00F2358E">
        <w:rPr>
          <w:rFonts w:ascii="Times New Roman" w:hAnsi="Times New Roman" w:cs="Times New Roman"/>
          <w:sz w:val="24"/>
          <w:szCs w:val="24"/>
          <w:lang w:val="ro-RO"/>
        </w:rPr>
        <w:t>În conformitate cu art.22 din Legea</w:t>
      </w:r>
      <w:r w:rsidR="00F54AE8" w:rsidRPr="00F2358E">
        <w:rPr>
          <w:rFonts w:ascii="Times New Roman" w:hAnsi="Times New Roman" w:cs="Times New Roman"/>
          <w:sz w:val="24"/>
          <w:szCs w:val="24"/>
          <w:lang w:val="ro-RO"/>
        </w:rPr>
        <w:t xml:space="preserve"> </w:t>
      </w:r>
      <w:r w:rsidR="00F2358E">
        <w:rPr>
          <w:rFonts w:ascii="Times New Roman" w:hAnsi="Times New Roman" w:cs="Times New Roman"/>
          <w:sz w:val="24"/>
          <w:szCs w:val="24"/>
          <w:lang w:val="ro-RO"/>
        </w:rPr>
        <w:t>menționată</w:t>
      </w:r>
      <w:r w:rsidRPr="00F2358E">
        <w:rPr>
          <w:rFonts w:ascii="Times New Roman" w:hAnsi="Times New Roman" w:cs="Times New Roman"/>
          <w:sz w:val="24"/>
          <w:szCs w:val="24"/>
          <w:lang w:val="ro-RO"/>
        </w:rPr>
        <w:t xml:space="preserve">, </w:t>
      </w:r>
      <w:r w:rsidRPr="00F2358E">
        <w:rPr>
          <w:rFonts w:ascii="Times New Roman" w:hAnsi="Times New Roman" w:cs="Times New Roman"/>
          <w:color w:val="000000"/>
          <w:sz w:val="24"/>
          <w:szCs w:val="24"/>
          <w:shd w:val="clear" w:color="auto" w:fill="FFFFFF"/>
          <w:lang w:val="ro-RO"/>
        </w:rPr>
        <w:t>C</w:t>
      </w:r>
      <w:r w:rsidR="004510C6" w:rsidRPr="00F2358E">
        <w:rPr>
          <w:rFonts w:ascii="Times New Roman" w:hAnsi="Times New Roman" w:cs="Times New Roman"/>
          <w:color w:val="000000"/>
          <w:sz w:val="24"/>
          <w:szCs w:val="24"/>
          <w:shd w:val="clear" w:color="auto" w:fill="FFFFFF"/>
          <w:lang w:val="ro-RO"/>
        </w:rPr>
        <w:t>NPDCP</w:t>
      </w:r>
      <w:r w:rsidRPr="00F2358E">
        <w:rPr>
          <w:rFonts w:ascii="Times New Roman" w:hAnsi="Times New Roman" w:cs="Times New Roman"/>
          <w:color w:val="000000"/>
          <w:sz w:val="24"/>
          <w:szCs w:val="24"/>
          <w:shd w:val="clear" w:color="auto" w:fill="FFFFFF"/>
          <w:lang w:val="ro-RO"/>
        </w:rPr>
        <w:t xml:space="preserve"> este condus de un director, numit în funcție de Parlament</w:t>
      </w:r>
      <w:r w:rsidRPr="00CB5976">
        <w:rPr>
          <w:rFonts w:ascii="Times New Roman" w:hAnsi="Times New Roman" w:cs="Times New Roman"/>
          <w:color w:val="000000"/>
          <w:sz w:val="24"/>
          <w:szCs w:val="24"/>
          <w:shd w:val="clear" w:color="auto" w:fill="FFFFFF"/>
          <w:lang w:val="ro-RO"/>
        </w:rPr>
        <w:t xml:space="preserve"> pentru un mandat de 5 ani. </w:t>
      </w:r>
      <w:r w:rsidRPr="00CB5976">
        <w:rPr>
          <w:rFonts w:ascii="Times New Roman" w:hAnsi="Times New Roman" w:cs="Times New Roman"/>
          <w:sz w:val="24"/>
          <w:szCs w:val="24"/>
          <w:lang w:val="ro-RO"/>
        </w:rPr>
        <w:t>În absența directorului Centrului, directorul adjunct îndeplinește temporar atribuțiile acestuia.</w:t>
      </w:r>
    </w:p>
    <w:p w14:paraId="15726806" w14:textId="77777777" w:rsidR="00FF28B4" w:rsidRPr="004D2FF7" w:rsidRDefault="006049D5" w:rsidP="008C1B8F">
      <w:pPr>
        <w:spacing w:after="120" w:line="276" w:lineRule="auto"/>
        <w:jc w:val="both"/>
        <w:rPr>
          <w:rFonts w:ascii="Times New Roman" w:hAnsi="Times New Roman" w:cs="Times New Roman"/>
          <w:sz w:val="24"/>
          <w:szCs w:val="24"/>
        </w:rPr>
      </w:pPr>
      <w:r w:rsidRPr="00C370A5">
        <w:rPr>
          <w:rFonts w:ascii="Times New Roman" w:hAnsi="Times New Roman" w:cs="Times New Roman"/>
          <w:sz w:val="24"/>
          <w:szCs w:val="24"/>
        </w:rPr>
        <w:t>Cu referire la statul de pe</w:t>
      </w:r>
      <w:r w:rsidR="00C42E4D" w:rsidRPr="001F7A1F">
        <w:rPr>
          <w:rFonts w:ascii="Times New Roman" w:hAnsi="Times New Roman" w:cs="Times New Roman"/>
          <w:sz w:val="24"/>
          <w:szCs w:val="24"/>
        </w:rPr>
        <w:t>rsonal, în conformitate cu art.</w:t>
      </w:r>
      <w:r w:rsidR="003F66D1" w:rsidRPr="009D7F36">
        <w:rPr>
          <w:rFonts w:ascii="Times New Roman" w:hAnsi="Times New Roman" w:cs="Times New Roman"/>
          <w:sz w:val="24"/>
          <w:szCs w:val="24"/>
        </w:rPr>
        <w:t>1 lit.(c)</w:t>
      </w:r>
      <w:r w:rsidRPr="009D7F36">
        <w:rPr>
          <w:rFonts w:ascii="Times New Roman" w:hAnsi="Times New Roman" w:cs="Times New Roman"/>
          <w:sz w:val="24"/>
          <w:szCs w:val="24"/>
        </w:rPr>
        <w:t xml:space="preserve"> </w:t>
      </w:r>
      <w:r w:rsidR="003F66D1" w:rsidRPr="009D7F36">
        <w:rPr>
          <w:rFonts w:ascii="Times New Roman" w:hAnsi="Times New Roman" w:cs="Times New Roman"/>
          <w:sz w:val="24"/>
          <w:szCs w:val="24"/>
        </w:rPr>
        <w:t xml:space="preserve">din Legea </w:t>
      </w:r>
      <w:r w:rsidRPr="009D7F36">
        <w:rPr>
          <w:rFonts w:ascii="Times New Roman" w:hAnsi="Times New Roman" w:cs="Times New Roman"/>
          <w:sz w:val="24"/>
          <w:szCs w:val="24"/>
        </w:rPr>
        <w:t>nr.</w:t>
      </w:r>
      <w:r w:rsidR="003F66D1" w:rsidRPr="009D7F36">
        <w:rPr>
          <w:rFonts w:ascii="Times New Roman" w:hAnsi="Times New Roman" w:cs="Times New Roman"/>
          <w:sz w:val="24"/>
          <w:szCs w:val="24"/>
        </w:rPr>
        <w:t>182</w:t>
      </w:r>
      <w:r w:rsidR="00C42E4D" w:rsidRPr="009D7F36">
        <w:rPr>
          <w:rFonts w:ascii="Times New Roman" w:hAnsi="Times New Roman" w:cs="Times New Roman"/>
          <w:sz w:val="24"/>
          <w:szCs w:val="24"/>
        </w:rPr>
        <w:t>/201</w:t>
      </w:r>
      <w:r w:rsidR="003F66D1" w:rsidRPr="009D7F36">
        <w:rPr>
          <w:rFonts w:ascii="Times New Roman" w:hAnsi="Times New Roman" w:cs="Times New Roman"/>
          <w:sz w:val="24"/>
          <w:szCs w:val="24"/>
        </w:rPr>
        <w:t>8</w:t>
      </w:r>
      <w:r w:rsidR="00C42E4D" w:rsidRPr="009D7F36">
        <w:rPr>
          <w:rStyle w:val="FootnoteReference"/>
          <w:rFonts w:ascii="Times New Roman" w:hAnsi="Times New Roman" w:cs="Times New Roman"/>
          <w:sz w:val="24"/>
          <w:szCs w:val="24"/>
        </w:rPr>
        <w:footnoteReference w:id="20"/>
      </w:r>
      <w:r w:rsidRPr="009D7F36">
        <w:rPr>
          <w:rFonts w:ascii="Times New Roman" w:hAnsi="Times New Roman" w:cs="Times New Roman"/>
          <w:sz w:val="24"/>
          <w:szCs w:val="24"/>
        </w:rPr>
        <w:t xml:space="preserve">, personalul </w:t>
      </w:r>
      <w:r w:rsidR="003F66D1" w:rsidRPr="00CB5976">
        <w:rPr>
          <w:rFonts w:ascii="Times New Roman" w:hAnsi="Times New Roman" w:cs="Times New Roman"/>
          <w:sz w:val="24"/>
          <w:szCs w:val="24"/>
        </w:rPr>
        <w:t xml:space="preserve">CNPDCP </w:t>
      </w:r>
      <w:r w:rsidRPr="00CB5976">
        <w:rPr>
          <w:rFonts w:ascii="Times New Roman" w:hAnsi="Times New Roman" w:cs="Times New Roman"/>
          <w:sz w:val="24"/>
          <w:szCs w:val="24"/>
        </w:rPr>
        <w:t xml:space="preserve">este constituit din </w:t>
      </w:r>
      <w:r w:rsidR="003F66D1" w:rsidRPr="00CB5976">
        <w:rPr>
          <w:rFonts w:ascii="Times New Roman" w:hAnsi="Times New Roman" w:cs="Times New Roman"/>
          <w:sz w:val="24"/>
          <w:szCs w:val="24"/>
        </w:rPr>
        <w:t>45</w:t>
      </w:r>
      <w:r w:rsidRPr="00CB5976">
        <w:rPr>
          <w:rFonts w:ascii="Times New Roman" w:hAnsi="Times New Roman" w:cs="Times New Roman"/>
          <w:sz w:val="24"/>
          <w:szCs w:val="24"/>
        </w:rPr>
        <w:t xml:space="preserve"> </w:t>
      </w:r>
      <w:r w:rsidR="009D7F36" w:rsidRPr="00CB5976">
        <w:rPr>
          <w:rFonts w:ascii="Times New Roman" w:hAnsi="Times New Roman" w:cs="Times New Roman"/>
          <w:sz w:val="24"/>
          <w:szCs w:val="24"/>
        </w:rPr>
        <w:t xml:space="preserve">de </w:t>
      </w:r>
      <w:r w:rsidRPr="00CB5976">
        <w:rPr>
          <w:rFonts w:ascii="Times New Roman" w:hAnsi="Times New Roman" w:cs="Times New Roman"/>
          <w:sz w:val="24"/>
          <w:szCs w:val="24"/>
        </w:rPr>
        <w:t>unități</w:t>
      </w:r>
      <w:r w:rsidR="003F66D1" w:rsidRPr="00CB5976">
        <w:rPr>
          <w:rFonts w:ascii="Times New Roman" w:hAnsi="Times New Roman" w:cs="Times New Roman"/>
          <w:sz w:val="24"/>
          <w:szCs w:val="24"/>
        </w:rPr>
        <w:t xml:space="preserve">, </w:t>
      </w:r>
      <w:r w:rsidR="00501B50" w:rsidRPr="00CB5976">
        <w:rPr>
          <w:rFonts w:ascii="Times New Roman" w:hAnsi="Times New Roman" w:cs="Times New Roman"/>
          <w:sz w:val="24"/>
          <w:szCs w:val="24"/>
        </w:rPr>
        <w:t xml:space="preserve">inclusiv 2 unități sunt funcții cu demnitate publică, </w:t>
      </w:r>
      <w:r w:rsidR="009D7F36" w:rsidRPr="005846BA">
        <w:rPr>
          <w:rFonts w:ascii="Times New Roman" w:hAnsi="Times New Roman" w:cs="Times New Roman"/>
          <w:sz w:val="24"/>
          <w:szCs w:val="24"/>
        </w:rPr>
        <w:t xml:space="preserve">iar </w:t>
      </w:r>
      <w:r w:rsidR="00501B50" w:rsidRPr="005846BA">
        <w:rPr>
          <w:rFonts w:ascii="Times New Roman" w:hAnsi="Times New Roman" w:cs="Times New Roman"/>
          <w:sz w:val="24"/>
          <w:szCs w:val="24"/>
        </w:rPr>
        <w:t>42</w:t>
      </w:r>
      <w:r w:rsidR="009D7F36" w:rsidRPr="004951A7">
        <w:rPr>
          <w:rFonts w:ascii="Times New Roman" w:hAnsi="Times New Roman" w:cs="Times New Roman"/>
          <w:sz w:val="24"/>
          <w:szCs w:val="24"/>
        </w:rPr>
        <w:t xml:space="preserve"> de</w:t>
      </w:r>
      <w:r w:rsidR="00501B50" w:rsidRPr="00372EAF">
        <w:rPr>
          <w:rFonts w:ascii="Times New Roman" w:hAnsi="Times New Roman" w:cs="Times New Roman"/>
          <w:sz w:val="24"/>
          <w:szCs w:val="24"/>
        </w:rPr>
        <w:t xml:space="preserve"> unități sunt funcționari publici și o unitate de personal auxiliar</w:t>
      </w:r>
      <w:r w:rsidRPr="00372EAF">
        <w:rPr>
          <w:rFonts w:ascii="Times New Roman" w:hAnsi="Times New Roman" w:cs="Times New Roman"/>
          <w:sz w:val="24"/>
          <w:szCs w:val="24"/>
        </w:rPr>
        <w:t xml:space="preserve">. Gradul de ocupare a statelor de personal, pe parcursul perioadei auditate, </w:t>
      </w:r>
      <w:r w:rsidR="00974B89" w:rsidRPr="00C370A5">
        <w:rPr>
          <w:rFonts w:ascii="Times New Roman" w:hAnsi="Times New Roman" w:cs="Times New Roman"/>
          <w:sz w:val="24"/>
          <w:szCs w:val="24"/>
        </w:rPr>
        <w:t>indic</w:t>
      </w:r>
      <w:r w:rsidRPr="001F7A1F">
        <w:rPr>
          <w:rFonts w:ascii="Times New Roman" w:hAnsi="Times New Roman" w:cs="Times New Roman"/>
          <w:sz w:val="24"/>
          <w:szCs w:val="24"/>
        </w:rPr>
        <w:t>ă</w:t>
      </w:r>
      <w:r w:rsidR="00974B89" w:rsidRPr="001F7A1F">
        <w:rPr>
          <w:rFonts w:ascii="Times New Roman" w:hAnsi="Times New Roman" w:cs="Times New Roman"/>
          <w:sz w:val="24"/>
          <w:szCs w:val="24"/>
        </w:rPr>
        <w:t xml:space="preserve"> </w:t>
      </w:r>
      <w:r w:rsidRPr="009D7F36">
        <w:rPr>
          <w:rFonts w:ascii="Times New Roman" w:hAnsi="Times New Roman" w:cs="Times New Roman"/>
          <w:sz w:val="24"/>
          <w:szCs w:val="24"/>
        </w:rPr>
        <w:t>un număr mare de funcții vacante</w:t>
      </w:r>
      <w:r w:rsidR="00491496" w:rsidRPr="009D7F36">
        <w:rPr>
          <w:rFonts w:ascii="Times New Roman" w:hAnsi="Times New Roman" w:cs="Times New Roman"/>
          <w:sz w:val="24"/>
          <w:szCs w:val="24"/>
        </w:rPr>
        <w:t>,</w:t>
      </w:r>
      <w:r w:rsidR="00F04E9E" w:rsidRPr="009D7F36">
        <w:rPr>
          <w:rFonts w:ascii="Times New Roman" w:hAnsi="Times New Roman" w:cs="Times New Roman"/>
          <w:sz w:val="24"/>
          <w:szCs w:val="24"/>
        </w:rPr>
        <w:t xml:space="preserve"> statele de personal în anul 2018 </w:t>
      </w:r>
      <w:r w:rsidR="00491496" w:rsidRPr="009D7F36">
        <w:rPr>
          <w:rFonts w:ascii="Times New Roman" w:hAnsi="Times New Roman" w:cs="Times New Roman"/>
          <w:sz w:val="24"/>
          <w:szCs w:val="24"/>
        </w:rPr>
        <w:t>fiind</w:t>
      </w:r>
      <w:r w:rsidR="00F04E9E" w:rsidRPr="009D7F36">
        <w:rPr>
          <w:rFonts w:ascii="Times New Roman" w:hAnsi="Times New Roman" w:cs="Times New Roman"/>
          <w:sz w:val="24"/>
          <w:szCs w:val="24"/>
        </w:rPr>
        <w:t xml:space="preserve"> completate la nivel de 7</w:t>
      </w:r>
      <w:r w:rsidR="00812F89" w:rsidRPr="009D7F36">
        <w:rPr>
          <w:rFonts w:ascii="Times New Roman" w:hAnsi="Times New Roman" w:cs="Times New Roman"/>
          <w:sz w:val="24"/>
          <w:szCs w:val="24"/>
        </w:rPr>
        <w:t>1</w:t>
      </w:r>
      <w:r w:rsidR="00F04E9E" w:rsidRPr="009D7F36">
        <w:rPr>
          <w:rFonts w:ascii="Times New Roman" w:hAnsi="Times New Roman" w:cs="Times New Roman"/>
          <w:sz w:val="24"/>
          <w:szCs w:val="24"/>
        </w:rPr>
        <w:t>% (1</w:t>
      </w:r>
      <w:r w:rsidR="00812F89" w:rsidRPr="009D7F36">
        <w:rPr>
          <w:rFonts w:ascii="Times New Roman" w:hAnsi="Times New Roman" w:cs="Times New Roman"/>
          <w:sz w:val="24"/>
          <w:szCs w:val="24"/>
        </w:rPr>
        <w:t>3</w:t>
      </w:r>
      <w:r w:rsidR="00F04E9E" w:rsidRPr="009D7F36">
        <w:rPr>
          <w:rFonts w:ascii="Times New Roman" w:hAnsi="Times New Roman" w:cs="Times New Roman"/>
          <w:sz w:val="24"/>
          <w:szCs w:val="24"/>
        </w:rPr>
        <w:t xml:space="preserve"> funcț</w:t>
      </w:r>
      <w:r w:rsidR="00812F89" w:rsidRPr="009D7F36">
        <w:rPr>
          <w:rFonts w:ascii="Times New Roman" w:hAnsi="Times New Roman" w:cs="Times New Roman"/>
          <w:sz w:val="24"/>
          <w:szCs w:val="24"/>
        </w:rPr>
        <w:t>ii vacante), în anul 2019 – 73</w:t>
      </w:r>
      <w:r w:rsidR="00F04E9E" w:rsidRPr="009D7F36">
        <w:rPr>
          <w:rFonts w:ascii="Times New Roman" w:hAnsi="Times New Roman" w:cs="Times New Roman"/>
          <w:sz w:val="24"/>
          <w:szCs w:val="24"/>
        </w:rPr>
        <w:t>% (12 funcții vacante), în anul 2020 – 80% (9 funcții vacante), în anul 2021 – 87% (6 funcții vacante), în anul 2022 – 71% (13 funcții vacante)</w:t>
      </w:r>
      <w:r w:rsidR="00025A09" w:rsidRPr="009D7F36">
        <w:rPr>
          <w:rFonts w:ascii="Times New Roman" w:hAnsi="Times New Roman" w:cs="Times New Roman"/>
          <w:sz w:val="24"/>
          <w:szCs w:val="24"/>
        </w:rPr>
        <w:t>,</w:t>
      </w:r>
      <w:r w:rsidR="000A705A" w:rsidRPr="009D7F36">
        <w:rPr>
          <w:rFonts w:ascii="Times New Roman" w:hAnsi="Times New Roman" w:cs="Times New Roman"/>
          <w:sz w:val="24"/>
          <w:szCs w:val="24"/>
        </w:rPr>
        <w:t xml:space="preserve"> toate fiind sub moratoriu</w:t>
      </w:r>
      <w:r w:rsidR="00F04E9E" w:rsidRPr="009D7F36">
        <w:rPr>
          <w:rFonts w:ascii="Times New Roman" w:hAnsi="Times New Roman" w:cs="Times New Roman"/>
          <w:sz w:val="24"/>
          <w:szCs w:val="24"/>
        </w:rPr>
        <w:t>.</w:t>
      </w:r>
      <w:r w:rsidR="000A705A" w:rsidRPr="009D7F36">
        <w:rPr>
          <w:rFonts w:ascii="Times New Roman" w:hAnsi="Times New Roman" w:cs="Times New Roman"/>
          <w:sz w:val="24"/>
          <w:szCs w:val="24"/>
        </w:rPr>
        <w:t xml:space="preserve"> </w:t>
      </w:r>
      <w:r w:rsidR="000A705A" w:rsidRPr="009D7F36">
        <w:rPr>
          <w:rFonts w:ascii="Times New Roman" w:hAnsi="Times New Roman" w:cs="Times New Roman"/>
          <w:sz w:val="24"/>
          <w:szCs w:val="24"/>
          <w:lang w:val="ro-RO"/>
        </w:rPr>
        <w:t>Potrivit cadrului legal</w:t>
      </w:r>
      <w:r w:rsidR="000A705A" w:rsidRPr="0077171B">
        <w:rPr>
          <w:rStyle w:val="FootnoteReference"/>
          <w:rFonts w:ascii="Times New Roman" w:hAnsi="Times New Roman" w:cs="Times New Roman"/>
          <w:sz w:val="24"/>
          <w:szCs w:val="24"/>
          <w:lang w:val="ro-RO"/>
        </w:rPr>
        <w:footnoteReference w:id="21"/>
      </w:r>
      <w:r w:rsidR="000A705A" w:rsidRPr="009D7F36">
        <w:rPr>
          <w:rFonts w:ascii="Times New Roman" w:hAnsi="Times New Roman" w:cs="Times New Roman"/>
          <w:sz w:val="24"/>
          <w:szCs w:val="24"/>
          <w:lang w:val="ro-RO"/>
        </w:rPr>
        <w:t>, pentru autoritățile</w:t>
      </w:r>
      <w:r w:rsidR="00025A09" w:rsidRPr="009D7F36">
        <w:rPr>
          <w:rFonts w:ascii="Times New Roman" w:hAnsi="Times New Roman" w:cs="Times New Roman"/>
          <w:sz w:val="24"/>
          <w:szCs w:val="24"/>
          <w:lang w:val="ro-RO"/>
        </w:rPr>
        <w:t xml:space="preserve"> </w:t>
      </w:r>
      <w:r w:rsidR="00025A09" w:rsidRPr="004D2FF7">
        <w:rPr>
          <w:rFonts w:ascii="Times New Roman" w:hAnsi="Times New Roman" w:cs="Times New Roman"/>
          <w:sz w:val="24"/>
          <w:szCs w:val="24"/>
          <w:lang w:val="ro-RO"/>
        </w:rPr>
        <w:lastRenderedPageBreak/>
        <w:t>publice</w:t>
      </w:r>
      <w:r w:rsidR="000A705A" w:rsidRPr="004D2FF7">
        <w:rPr>
          <w:rFonts w:ascii="Times New Roman" w:hAnsi="Times New Roman" w:cs="Times New Roman"/>
          <w:sz w:val="24"/>
          <w:szCs w:val="24"/>
          <w:lang w:val="ro-RO"/>
        </w:rPr>
        <w:t xml:space="preserve"> independente, moratoriu</w:t>
      </w:r>
      <w:r w:rsidR="00301F15">
        <w:rPr>
          <w:rFonts w:ascii="Times New Roman" w:hAnsi="Times New Roman" w:cs="Times New Roman"/>
          <w:sz w:val="24"/>
          <w:szCs w:val="24"/>
          <w:lang w:val="ro-RO"/>
        </w:rPr>
        <w:t>l</w:t>
      </w:r>
      <w:r w:rsidR="000A705A" w:rsidRPr="004D2FF7">
        <w:rPr>
          <w:rFonts w:ascii="Times New Roman" w:hAnsi="Times New Roman" w:cs="Times New Roman"/>
          <w:sz w:val="24"/>
          <w:szCs w:val="24"/>
          <w:lang w:val="ro-RO"/>
        </w:rPr>
        <w:t xml:space="preserve"> stabilit privind încadrarea personalului în funcțiile vacante este cu titlu de recomandare și nu poartă un caracter obligatoriu.</w:t>
      </w:r>
    </w:p>
    <w:p w14:paraId="610D5E5B" w14:textId="4A3B8992" w:rsidR="00EC7933" w:rsidRPr="004D2FF7" w:rsidRDefault="00EC7933" w:rsidP="00EC7933">
      <w:pPr>
        <w:jc w:val="both"/>
        <w:rPr>
          <w:rFonts w:ascii="Times New Roman" w:hAnsi="Times New Roman" w:cs="Times New Roman"/>
          <w:sz w:val="24"/>
          <w:szCs w:val="24"/>
          <w:lang w:val="ro-RO"/>
        </w:rPr>
      </w:pPr>
      <w:r w:rsidRPr="004D2FF7">
        <w:rPr>
          <w:rFonts w:ascii="Times New Roman" w:hAnsi="Times New Roman" w:cs="Times New Roman"/>
          <w:sz w:val="24"/>
          <w:szCs w:val="24"/>
          <w:lang w:val="ro-RO"/>
        </w:rPr>
        <w:t>De menționat că o problemă acută pentru buna desfășurare a activităților și realizarea obiectivelor</w:t>
      </w:r>
      <w:r w:rsidR="000C3A36" w:rsidRPr="004D2FF7">
        <w:rPr>
          <w:rFonts w:ascii="Times New Roman" w:hAnsi="Times New Roman" w:cs="Times New Roman"/>
          <w:sz w:val="24"/>
          <w:szCs w:val="24"/>
          <w:lang w:val="ro-RO"/>
        </w:rPr>
        <w:t xml:space="preserve"> CNPDCP</w:t>
      </w:r>
      <w:r w:rsidRPr="004D2FF7">
        <w:rPr>
          <w:rFonts w:ascii="Times New Roman" w:hAnsi="Times New Roman" w:cs="Times New Roman"/>
          <w:sz w:val="24"/>
          <w:szCs w:val="24"/>
          <w:lang w:val="ro-RO"/>
        </w:rPr>
        <w:t>, reprezintă existența funcțiilor vacante, în special în rândul personalului cu funcții de control</w:t>
      </w:r>
      <w:r w:rsidR="006315F6" w:rsidRPr="004D2FF7">
        <w:rPr>
          <w:rFonts w:ascii="Times New Roman" w:hAnsi="Times New Roman" w:cs="Times New Roman"/>
          <w:sz w:val="24"/>
          <w:szCs w:val="24"/>
          <w:lang w:val="ro-RO"/>
        </w:rPr>
        <w:t>,</w:t>
      </w:r>
      <w:r w:rsidRPr="004D2FF7">
        <w:rPr>
          <w:rFonts w:ascii="Times New Roman" w:hAnsi="Times New Roman" w:cs="Times New Roman"/>
          <w:sz w:val="24"/>
          <w:szCs w:val="24"/>
          <w:lang w:val="ro-RO"/>
        </w:rPr>
        <w:t xml:space="preserve"> care a înregistrat în anul 2022</w:t>
      </w:r>
      <w:r w:rsidR="006315F6" w:rsidRPr="004D2FF7">
        <w:rPr>
          <w:rFonts w:ascii="Times New Roman" w:hAnsi="Times New Roman" w:cs="Times New Roman"/>
          <w:sz w:val="24"/>
          <w:szCs w:val="24"/>
          <w:lang w:val="ro-RO"/>
        </w:rPr>
        <w:t xml:space="preserve"> de la 40%</w:t>
      </w:r>
      <w:r w:rsidRPr="004D2FF7">
        <w:rPr>
          <w:rFonts w:ascii="Times New Roman" w:hAnsi="Times New Roman" w:cs="Times New Roman"/>
          <w:sz w:val="24"/>
          <w:szCs w:val="24"/>
          <w:lang w:val="ro-RO"/>
        </w:rPr>
        <w:t xml:space="preserve"> până la 60% din totalul funcțiilor vacante, determinată de fluctuația personalului, </w:t>
      </w:r>
      <w:r w:rsidR="00301F15">
        <w:rPr>
          <w:rFonts w:ascii="Times New Roman" w:hAnsi="Times New Roman" w:cs="Times New Roman"/>
          <w:sz w:val="24"/>
          <w:szCs w:val="24"/>
          <w:lang w:val="ro-RO"/>
        </w:rPr>
        <w:t>cauzată de</w:t>
      </w:r>
      <w:r w:rsidRPr="004D2FF7">
        <w:rPr>
          <w:rFonts w:ascii="Times New Roman" w:hAnsi="Times New Roman" w:cs="Times New Roman"/>
          <w:sz w:val="24"/>
          <w:szCs w:val="24"/>
          <w:lang w:val="ro-RO"/>
        </w:rPr>
        <w:t xml:space="preserve"> motivați</w:t>
      </w:r>
      <w:r w:rsidR="00301F15">
        <w:rPr>
          <w:rFonts w:ascii="Times New Roman" w:hAnsi="Times New Roman" w:cs="Times New Roman"/>
          <w:sz w:val="24"/>
          <w:szCs w:val="24"/>
          <w:lang w:val="ro-RO"/>
        </w:rPr>
        <w:t>a</w:t>
      </w:r>
      <w:r w:rsidRPr="004D2FF7">
        <w:rPr>
          <w:rFonts w:ascii="Times New Roman" w:hAnsi="Times New Roman" w:cs="Times New Roman"/>
          <w:sz w:val="24"/>
          <w:szCs w:val="24"/>
          <w:lang w:val="ro-RO"/>
        </w:rPr>
        <w:t xml:space="preserve"> financiar</w:t>
      </w:r>
      <w:r w:rsidR="00301F15">
        <w:rPr>
          <w:rFonts w:ascii="Times New Roman" w:hAnsi="Times New Roman" w:cs="Times New Roman"/>
          <w:sz w:val="24"/>
          <w:szCs w:val="24"/>
          <w:lang w:val="ro-RO"/>
        </w:rPr>
        <w:t>ă</w:t>
      </w:r>
      <w:r w:rsidRPr="004D2FF7">
        <w:rPr>
          <w:rFonts w:ascii="Times New Roman" w:hAnsi="Times New Roman" w:cs="Times New Roman"/>
          <w:sz w:val="24"/>
          <w:szCs w:val="24"/>
          <w:lang w:val="ro-RO"/>
        </w:rPr>
        <w:t xml:space="preserve"> scăzută și </w:t>
      </w:r>
      <w:r w:rsidR="00301F15">
        <w:rPr>
          <w:rFonts w:ascii="Times New Roman" w:hAnsi="Times New Roman" w:cs="Times New Roman"/>
          <w:sz w:val="24"/>
          <w:szCs w:val="24"/>
          <w:lang w:val="ro-RO"/>
        </w:rPr>
        <w:t xml:space="preserve">de </w:t>
      </w:r>
      <w:r w:rsidRPr="004D2FF7">
        <w:rPr>
          <w:rFonts w:ascii="Times New Roman" w:hAnsi="Times New Roman" w:cs="Times New Roman"/>
          <w:sz w:val="24"/>
          <w:szCs w:val="24"/>
          <w:lang w:val="ro-RO"/>
        </w:rPr>
        <w:t xml:space="preserve">interesul redus față de funcția publică. </w:t>
      </w:r>
    </w:p>
    <w:p w14:paraId="58E9C164" w14:textId="4A315FDF" w:rsidR="00A51661" w:rsidRPr="004D2FF7" w:rsidRDefault="002C4D8F" w:rsidP="00A51661">
      <w:pPr>
        <w:tabs>
          <w:tab w:val="left" w:pos="450"/>
        </w:tabs>
        <w:spacing w:after="0" w:line="276" w:lineRule="auto"/>
        <w:jc w:val="both"/>
        <w:rPr>
          <w:rFonts w:ascii="Times New Roman" w:eastAsiaTheme="majorEastAsia" w:hAnsi="Times New Roman" w:cs="Times New Roman"/>
          <w:sz w:val="24"/>
          <w:szCs w:val="24"/>
        </w:rPr>
      </w:pPr>
      <w:r w:rsidRPr="004D2FF7">
        <w:rPr>
          <w:rFonts w:ascii="Times New Roman" w:eastAsia="Times New Roman" w:hAnsi="Times New Roman" w:cs="Times New Roman"/>
          <w:noProof/>
          <w:color w:val="000000"/>
          <w:sz w:val="24"/>
          <w:szCs w:val="24"/>
          <w:lang w:val="ro-RO" w:eastAsia="ro-RO"/>
        </w:rPr>
        <w:t>Se atestă un grad înalt de fluctuație</w:t>
      </w:r>
      <w:r w:rsidR="00301F15">
        <w:rPr>
          <w:rFonts w:ascii="Times New Roman" w:eastAsia="Times New Roman" w:hAnsi="Times New Roman" w:cs="Times New Roman"/>
          <w:noProof/>
          <w:color w:val="000000"/>
          <w:sz w:val="24"/>
          <w:szCs w:val="24"/>
          <w:lang w:val="ro-RO" w:eastAsia="ro-RO"/>
        </w:rPr>
        <w:t>,</w:t>
      </w:r>
      <w:r w:rsidR="00323C43" w:rsidRPr="004D2FF7">
        <w:rPr>
          <w:rFonts w:ascii="Times New Roman" w:hAnsi="Times New Roman" w:cs="Times New Roman"/>
          <w:sz w:val="24"/>
          <w:szCs w:val="24"/>
          <w:lang w:val="ro-RO"/>
        </w:rPr>
        <w:t xml:space="preserve"> de 37,0%</w:t>
      </w:r>
      <w:r w:rsidR="00301F15">
        <w:rPr>
          <w:rFonts w:ascii="Times New Roman" w:hAnsi="Times New Roman" w:cs="Times New Roman"/>
          <w:sz w:val="24"/>
          <w:szCs w:val="24"/>
          <w:lang w:val="ro-RO"/>
        </w:rPr>
        <w:t>,</w:t>
      </w:r>
      <w:r w:rsidRPr="004D2FF7">
        <w:rPr>
          <w:rFonts w:ascii="Times New Roman" w:eastAsia="Times New Roman" w:hAnsi="Times New Roman" w:cs="Times New Roman"/>
          <w:noProof/>
          <w:color w:val="000000"/>
          <w:sz w:val="24"/>
          <w:szCs w:val="24"/>
          <w:lang w:val="ro-RO" w:eastAsia="ro-RO"/>
        </w:rPr>
        <w:t xml:space="preserve"> a personalului din cadrul CNPDCP</w:t>
      </w:r>
      <w:r w:rsidRPr="004D2FF7">
        <w:rPr>
          <w:rFonts w:ascii="Times New Roman" w:eastAsia="Times New Roman" w:hAnsi="Times New Roman" w:cs="Times New Roman"/>
          <w:noProof/>
          <w:sz w:val="24"/>
          <w:szCs w:val="24"/>
          <w:lang w:val="ro-RO" w:eastAsia="ro-RO"/>
        </w:rPr>
        <w:t>, pe parcursul anului</w:t>
      </w:r>
      <w:r w:rsidR="00323C43" w:rsidRPr="004D2FF7">
        <w:rPr>
          <w:rFonts w:ascii="Times New Roman" w:eastAsia="Times New Roman" w:hAnsi="Times New Roman" w:cs="Times New Roman"/>
          <w:noProof/>
          <w:sz w:val="24"/>
          <w:szCs w:val="24"/>
          <w:lang w:val="ro-RO" w:eastAsia="ro-RO"/>
        </w:rPr>
        <w:t xml:space="preserve"> 2022</w:t>
      </w:r>
      <w:r w:rsidRPr="004D2FF7">
        <w:rPr>
          <w:rFonts w:ascii="Times New Roman" w:eastAsia="Times New Roman" w:hAnsi="Times New Roman" w:cs="Times New Roman"/>
          <w:noProof/>
          <w:sz w:val="24"/>
          <w:szCs w:val="24"/>
          <w:lang w:val="ro-RO" w:eastAsia="ro-RO"/>
        </w:rPr>
        <w:t xml:space="preserve"> </w:t>
      </w:r>
      <w:r w:rsidR="00E0303E">
        <w:rPr>
          <w:rFonts w:ascii="Times New Roman" w:eastAsia="Times New Roman" w:hAnsi="Times New Roman" w:cs="Times New Roman"/>
          <w:noProof/>
          <w:sz w:val="24"/>
          <w:szCs w:val="24"/>
          <w:lang w:val="ro-RO" w:eastAsia="ro-RO"/>
        </w:rPr>
        <w:t>fiind</w:t>
      </w:r>
      <w:r w:rsidRPr="004D2FF7">
        <w:rPr>
          <w:rFonts w:ascii="Times New Roman" w:eastAsia="Times New Roman" w:hAnsi="Times New Roman" w:cs="Times New Roman"/>
          <w:noProof/>
          <w:sz w:val="24"/>
          <w:szCs w:val="24"/>
          <w:lang w:val="ro-RO" w:eastAsia="ro-RO"/>
        </w:rPr>
        <w:t xml:space="preserve"> angajate </w:t>
      </w:r>
      <w:r w:rsidR="00323C43" w:rsidRPr="004D2FF7">
        <w:rPr>
          <w:rFonts w:ascii="Times New Roman" w:eastAsia="Times New Roman" w:hAnsi="Times New Roman" w:cs="Times New Roman"/>
          <w:noProof/>
          <w:sz w:val="24"/>
          <w:szCs w:val="24"/>
          <w:lang w:val="ro-RO" w:eastAsia="ro-RO"/>
        </w:rPr>
        <w:t>6</w:t>
      </w:r>
      <w:r w:rsidRPr="004D2FF7">
        <w:rPr>
          <w:rFonts w:ascii="Times New Roman" w:eastAsia="Times New Roman" w:hAnsi="Times New Roman" w:cs="Times New Roman"/>
          <w:b/>
          <w:noProof/>
          <w:sz w:val="24"/>
          <w:szCs w:val="24"/>
          <w:lang w:val="ro-RO" w:eastAsia="ro-RO"/>
        </w:rPr>
        <w:t xml:space="preserve"> </w:t>
      </w:r>
      <w:r w:rsidRPr="004D2FF7">
        <w:rPr>
          <w:rFonts w:ascii="Times New Roman" w:eastAsia="Times New Roman" w:hAnsi="Times New Roman" w:cs="Times New Roman"/>
          <w:noProof/>
          <w:sz w:val="24"/>
          <w:szCs w:val="24"/>
          <w:lang w:val="ro-RO" w:eastAsia="ro-RO"/>
        </w:rPr>
        <w:t>persoane, în același timp fiind eliberate</w:t>
      </w:r>
      <w:r w:rsidR="00323C43" w:rsidRPr="004D2FF7">
        <w:rPr>
          <w:rFonts w:ascii="Times New Roman" w:eastAsia="Times New Roman" w:hAnsi="Times New Roman" w:cs="Times New Roman"/>
          <w:noProof/>
          <w:sz w:val="24"/>
          <w:szCs w:val="24"/>
          <w:lang w:val="ro-RO" w:eastAsia="ro-RO"/>
        </w:rPr>
        <w:t xml:space="preserve"> 13</w:t>
      </w:r>
      <w:r w:rsidRPr="004D2FF7">
        <w:rPr>
          <w:rFonts w:ascii="Times New Roman" w:eastAsia="Times New Roman" w:hAnsi="Times New Roman" w:cs="Times New Roman"/>
          <w:b/>
          <w:noProof/>
          <w:sz w:val="24"/>
          <w:szCs w:val="24"/>
          <w:lang w:val="ro-RO" w:eastAsia="ro-RO"/>
        </w:rPr>
        <w:t xml:space="preserve"> </w:t>
      </w:r>
      <w:r w:rsidRPr="004D2FF7">
        <w:rPr>
          <w:rFonts w:ascii="Times New Roman" w:eastAsia="Times New Roman" w:hAnsi="Times New Roman" w:cs="Times New Roman"/>
          <w:noProof/>
          <w:sz w:val="24"/>
          <w:szCs w:val="24"/>
          <w:lang w:val="ro-RO" w:eastAsia="ro-RO"/>
        </w:rPr>
        <w:t>persoane</w:t>
      </w:r>
      <w:r w:rsidR="00323C43" w:rsidRPr="004D2FF7">
        <w:rPr>
          <w:rFonts w:ascii="Times New Roman" w:eastAsia="Times New Roman" w:hAnsi="Times New Roman" w:cs="Times New Roman"/>
          <w:noProof/>
          <w:sz w:val="24"/>
          <w:szCs w:val="24"/>
          <w:lang w:val="ro-RO" w:eastAsia="ro-RO"/>
        </w:rPr>
        <w:t xml:space="preserve">, </w:t>
      </w:r>
      <w:r w:rsidR="00DF6535" w:rsidRPr="004D2FF7">
        <w:rPr>
          <w:rFonts w:ascii="Times New Roman" w:eastAsia="Times New Roman" w:hAnsi="Times New Roman" w:cs="Times New Roman"/>
          <w:noProof/>
          <w:sz w:val="24"/>
          <w:szCs w:val="24"/>
          <w:lang w:val="ro-RO" w:eastAsia="ro-RO"/>
        </w:rPr>
        <w:t>situația mențin</w:t>
      </w:r>
      <w:r w:rsidR="00E0303E">
        <w:rPr>
          <w:rFonts w:ascii="Times New Roman" w:eastAsia="Times New Roman" w:hAnsi="Times New Roman" w:cs="Times New Roman"/>
          <w:noProof/>
          <w:sz w:val="24"/>
          <w:szCs w:val="24"/>
          <w:lang w:val="ro-RO" w:eastAsia="ro-RO"/>
        </w:rPr>
        <w:t>ându-se</w:t>
      </w:r>
      <w:r w:rsidR="00DF6535" w:rsidRPr="004D2FF7">
        <w:rPr>
          <w:rFonts w:ascii="Times New Roman" w:eastAsia="Times New Roman" w:hAnsi="Times New Roman" w:cs="Times New Roman"/>
          <w:noProof/>
          <w:sz w:val="24"/>
          <w:szCs w:val="24"/>
          <w:lang w:val="ro-RO" w:eastAsia="ro-RO"/>
        </w:rPr>
        <w:t xml:space="preserve"> și pe parcursul anilor 2018-2021,</w:t>
      </w:r>
      <w:r w:rsidR="00301F15">
        <w:rPr>
          <w:rFonts w:ascii="Times New Roman" w:eastAsia="Times New Roman" w:hAnsi="Times New Roman" w:cs="Times New Roman"/>
          <w:noProof/>
          <w:sz w:val="24"/>
          <w:szCs w:val="24"/>
          <w:lang w:val="ro-RO" w:eastAsia="ro-RO"/>
        </w:rPr>
        <w:t xml:space="preserve"> </w:t>
      </w:r>
      <w:r w:rsidR="00DF6535" w:rsidRPr="004D2FF7">
        <w:rPr>
          <w:rFonts w:ascii="Times New Roman" w:eastAsia="Times New Roman" w:hAnsi="Times New Roman" w:cs="Times New Roman"/>
          <w:noProof/>
          <w:sz w:val="24"/>
          <w:szCs w:val="24"/>
          <w:lang w:val="ro-RO" w:eastAsia="ro-RO"/>
        </w:rPr>
        <w:t>c</w:t>
      </w:r>
      <w:r w:rsidR="00301F15">
        <w:rPr>
          <w:rFonts w:ascii="Times New Roman" w:eastAsia="Times New Roman" w:hAnsi="Times New Roman" w:cs="Times New Roman"/>
          <w:noProof/>
          <w:sz w:val="24"/>
          <w:szCs w:val="24"/>
          <w:lang w:val="ro-RO" w:eastAsia="ro-RO"/>
        </w:rPr>
        <w:t>â</w:t>
      </w:r>
      <w:r w:rsidR="00DF6535" w:rsidRPr="004D2FF7">
        <w:rPr>
          <w:rFonts w:ascii="Times New Roman" w:eastAsia="Times New Roman" w:hAnsi="Times New Roman" w:cs="Times New Roman"/>
          <w:noProof/>
          <w:sz w:val="24"/>
          <w:szCs w:val="24"/>
          <w:lang w:val="ro-RO" w:eastAsia="ro-RO"/>
        </w:rPr>
        <w:t>nd fluctuația a variat de la 18% p</w:t>
      </w:r>
      <w:r w:rsidR="00301F15">
        <w:rPr>
          <w:rFonts w:ascii="Times New Roman" w:eastAsia="Times New Roman" w:hAnsi="Times New Roman" w:cs="Times New Roman"/>
          <w:noProof/>
          <w:sz w:val="24"/>
          <w:szCs w:val="24"/>
          <w:lang w:val="ro-RO" w:eastAsia="ro-RO"/>
        </w:rPr>
        <w:t>â</w:t>
      </w:r>
      <w:r w:rsidR="00DF6535" w:rsidRPr="004D2FF7">
        <w:rPr>
          <w:rFonts w:ascii="Times New Roman" w:eastAsia="Times New Roman" w:hAnsi="Times New Roman" w:cs="Times New Roman"/>
          <w:noProof/>
          <w:sz w:val="24"/>
          <w:szCs w:val="24"/>
          <w:lang w:val="ro-RO" w:eastAsia="ro-RO"/>
        </w:rPr>
        <w:t>nă la 35%</w:t>
      </w:r>
      <w:r w:rsidRPr="004D2FF7">
        <w:rPr>
          <w:rFonts w:ascii="Times New Roman" w:eastAsia="Times New Roman" w:hAnsi="Times New Roman" w:cs="Times New Roman"/>
          <w:noProof/>
          <w:sz w:val="24"/>
          <w:szCs w:val="24"/>
          <w:lang w:val="ro-RO" w:eastAsia="ro-RO"/>
        </w:rPr>
        <w:t>.</w:t>
      </w:r>
      <w:r w:rsidR="00A51661" w:rsidRPr="004D2FF7">
        <w:rPr>
          <w:rFonts w:ascii="Times New Roman" w:eastAsia="Times New Roman" w:hAnsi="Times New Roman" w:cs="Times New Roman"/>
          <w:noProof/>
          <w:sz w:val="24"/>
          <w:szCs w:val="24"/>
          <w:lang w:val="ro-RO" w:eastAsia="ro-RO"/>
        </w:rPr>
        <w:t xml:space="preserve"> </w:t>
      </w:r>
      <w:r w:rsidR="00A51661" w:rsidRPr="004D2FF7">
        <w:rPr>
          <w:rFonts w:ascii="Times New Roman" w:eastAsia="Calibri" w:hAnsi="Times New Roman" w:cs="Times New Roman"/>
          <w:sz w:val="24"/>
          <w:szCs w:val="24"/>
        </w:rPr>
        <w:t>Datele privind g</w:t>
      </w:r>
      <w:r w:rsidR="00A51661" w:rsidRPr="004D2FF7">
        <w:rPr>
          <w:rFonts w:ascii="Times New Roman" w:hAnsi="Times New Roman" w:cs="Times New Roman"/>
          <w:sz w:val="24"/>
          <w:szCs w:val="24"/>
        </w:rPr>
        <w:t>radul de ocupare a statelor de personal</w:t>
      </w:r>
      <w:r w:rsidR="00A51661" w:rsidRPr="004D2FF7">
        <w:rPr>
          <w:rFonts w:ascii="Times New Roman" w:eastAsia="Calibri" w:hAnsi="Times New Roman" w:cs="Times New Roman"/>
          <w:sz w:val="24"/>
          <w:szCs w:val="24"/>
        </w:rPr>
        <w:t xml:space="preserve"> </w:t>
      </w:r>
      <w:r w:rsidR="00BC1DD6" w:rsidRPr="004D2FF7">
        <w:rPr>
          <w:rFonts w:ascii="Times New Roman" w:eastAsia="Calibri" w:hAnsi="Times New Roman" w:cs="Times New Roman"/>
          <w:sz w:val="24"/>
          <w:szCs w:val="24"/>
        </w:rPr>
        <w:t>a</w:t>
      </w:r>
      <w:r w:rsidR="00A51661" w:rsidRPr="004D2FF7">
        <w:rPr>
          <w:rFonts w:ascii="Times New Roman" w:eastAsia="Calibri" w:hAnsi="Times New Roman" w:cs="Times New Roman"/>
          <w:sz w:val="24"/>
          <w:szCs w:val="24"/>
        </w:rPr>
        <w:t xml:space="preserve">le CNPDCP în anii 2018-2022 sunt expuse în </w:t>
      </w:r>
      <w:r w:rsidR="00A51661" w:rsidRPr="004D2FF7">
        <w:rPr>
          <w:rFonts w:ascii="Times New Roman" w:eastAsia="Calibri" w:hAnsi="Times New Roman" w:cs="Times New Roman"/>
          <w:i/>
          <w:sz w:val="24"/>
          <w:szCs w:val="24"/>
        </w:rPr>
        <w:t>Anex</w:t>
      </w:r>
      <w:r w:rsidR="00E0303E">
        <w:rPr>
          <w:rFonts w:ascii="Times New Roman" w:eastAsia="Calibri" w:hAnsi="Times New Roman" w:cs="Times New Roman"/>
          <w:i/>
          <w:sz w:val="24"/>
          <w:szCs w:val="24"/>
        </w:rPr>
        <w:t>ele</w:t>
      </w:r>
      <w:r w:rsidR="00A51661" w:rsidRPr="004D2FF7">
        <w:rPr>
          <w:rFonts w:ascii="Times New Roman" w:eastAsia="Calibri" w:hAnsi="Times New Roman" w:cs="Times New Roman"/>
          <w:i/>
          <w:sz w:val="24"/>
          <w:szCs w:val="24"/>
        </w:rPr>
        <w:t xml:space="preserve"> nr.1 și nr.2</w:t>
      </w:r>
      <w:r w:rsidR="00A51661" w:rsidRPr="00E0303E">
        <w:rPr>
          <w:rFonts w:ascii="Times New Roman" w:eastAsia="Calibri" w:hAnsi="Times New Roman" w:cs="Times New Roman"/>
          <w:i/>
          <w:sz w:val="24"/>
          <w:szCs w:val="24"/>
        </w:rPr>
        <w:t xml:space="preserve"> </w:t>
      </w:r>
      <w:r w:rsidR="00A51661" w:rsidRPr="0077171B">
        <w:rPr>
          <w:rFonts w:ascii="Times New Roman" w:eastAsia="Calibri" w:hAnsi="Times New Roman" w:cs="Times New Roman"/>
          <w:i/>
          <w:sz w:val="24"/>
          <w:szCs w:val="24"/>
        </w:rPr>
        <w:t>la p</w:t>
      </w:r>
      <w:r w:rsidR="00A51661" w:rsidRPr="0077171B">
        <w:rPr>
          <w:rFonts w:ascii="Times New Roman" w:eastAsiaTheme="majorEastAsia" w:hAnsi="Times New Roman" w:cs="Times New Roman"/>
          <w:i/>
          <w:sz w:val="24"/>
          <w:szCs w:val="24"/>
        </w:rPr>
        <w:t>rezentul Raport de audit</w:t>
      </w:r>
      <w:r w:rsidR="00A51661" w:rsidRPr="004D2FF7">
        <w:rPr>
          <w:rFonts w:ascii="Times New Roman" w:eastAsiaTheme="majorEastAsia" w:hAnsi="Times New Roman" w:cs="Times New Roman"/>
          <w:sz w:val="24"/>
          <w:szCs w:val="24"/>
        </w:rPr>
        <w:t>.</w:t>
      </w:r>
    </w:p>
    <w:p w14:paraId="1AAD0E98" w14:textId="77777777" w:rsidR="00C60E5C" w:rsidRPr="004D2FF7" w:rsidRDefault="00C60E5C" w:rsidP="00A51661">
      <w:pPr>
        <w:tabs>
          <w:tab w:val="left" w:pos="450"/>
        </w:tabs>
        <w:spacing w:after="0" w:line="276" w:lineRule="auto"/>
        <w:jc w:val="both"/>
        <w:rPr>
          <w:rFonts w:ascii="Times New Roman" w:eastAsiaTheme="majorEastAsia" w:hAnsi="Times New Roman" w:cs="Times New Roman"/>
          <w:sz w:val="24"/>
          <w:szCs w:val="24"/>
        </w:rPr>
      </w:pPr>
    </w:p>
    <w:p w14:paraId="7C159AF5" w14:textId="77777777" w:rsidR="006049D5" w:rsidRPr="004D2FF7" w:rsidRDefault="006049D5" w:rsidP="00ED5A00">
      <w:pPr>
        <w:pStyle w:val="Heading3"/>
        <w:numPr>
          <w:ilvl w:val="1"/>
          <w:numId w:val="11"/>
        </w:numPr>
        <w:tabs>
          <w:tab w:val="left" w:pos="426"/>
        </w:tabs>
        <w:spacing w:after="120"/>
        <w:ind w:left="0" w:firstLine="0"/>
        <w:rPr>
          <w:rFonts w:ascii="Times New Roman" w:eastAsiaTheme="minorEastAsia" w:hAnsi="Times New Roman" w:cs="Times New Roman"/>
          <w:b/>
          <w:i/>
          <w:color w:val="2E74B5" w:themeColor="accent1" w:themeShade="BF"/>
          <w:lang w:eastAsia="ru-RU"/>
        </w:rPr>
      </w:pPr>
      <w:bookmarkStart w:id="13" w:name="_Toc157776082"/>
      <w:r w:rsidRPr="004D2FF7">
        <w:rPr>
          <w:rFonts w:ascii="Times New Roman" w:eastAsiaTheme="minorEastAsia" w:hAnsi="Times New Roman" w:cs="Times New Roman"/>
          <w:b/>
          <w:i/>
          <w:color w:val="2E74B5" w:themeColor="accent1" w:themeShade="BF"/>
          <w:lang w:eastAsia="ru-RU"/>
        </w:rPr>
        <w:t xml:space="preserve">Responsabilitatea conducerii </w:t>
      </w:r>
      <w:r w:rsidR="009E06DA" w:rsidRPr="004D2FF7">
        <w:rPr>
          <w:rFonts w:ascii="Times New Roman" w:eastAsiaTheme="minorEastAsia" w:hAnsi="Times New Roman" w:cs="Times New Roman"/>
          <w:b/>
          <w:i/>
          <w:color w:val="2E74B5" w:themeColor="accent1" w:themeShade="BF"/>
          <w:lang w:eastAsia="ru-RU"/>
        </w:rPr>
        <w:t>CNPDCP</w:t>
      </w:r>
      <w:bookmarkEnd w:id="13"/>
    </w:p>
    <w:p w14:paraId="63E69C9E" w14:textId="068182D1" w:rsidR="006049D5" w:rsidRPr="004D2FF7" w:rsidRDefault="00AC23BF" w:rsidP="008C1B8F">
      <w:pPr>
        <w:spacing w:line="276" w:lineRule="auto"/>
        <w:jc w:val="both"/>
        <w:rPr>
          <w:rFonts w:ascii="Times New Roman" w:hAnsi="Times New Roman" w:cs="Times New Roman"/>
          <w:sz w:val="24"/>
          <w:szCs w:val="24"/>
        </w:rPr>
      </w:pPr>
      <w:r w:rsidRPr="004D2FF7">
        <w:rPr>
          <w:rFonts w:ascii="Times New Roman" w:hAnsi="Times New Roman" w:cs="Times New Roman"/>
          <w:sz w:val="24"/>
          <w:szCs w:val="24"/>
        </w:rPr>
        <w:t>Directorul Centrului</w:t>
      </w:r>
      <w:r w:rsidR="003E77B8">
        <w:rPr>
          <w:rFonts w:ascii="Times New Roman" w:hAnsi="Times New Roman" w:cs="Times New Roman"/>
          <w:sz w:val="24"/>
          <w:szCs w:val="24"/>
        </w:rPr>
        <w:t xml:space="preserve"> Național</w:t>
      </w:r>
      <w:r w:rsidRPr="004D2FF7">
        <w:rPr>
          <w:rFonts w:ascii="Times New Roman" w:hAnsi="Times New Roman" w:cs="Times New Roman"/>
          <w:sz w:val="24"/>
          <w:szCs w:val="24"/>
        </w:rPr>
        <w:t xml:space="preserve"> pentru Protecția Datelor cu Caracter Personal </w:t>
      </w:r>
      <w:r w:rsidR="006049D5" w:rsidRPr="004D2FF7">
        <w:rPr>
          <w:rFonts w:ascii="Times New Roman" w:hAnsi="Times New Roman" w:cs="Times New Roman"/>
          <w:sz w:val="24"/>
          <w:szCs w:val="24"/>
        </w:rPr>
        <w:t>organizează și implementează sistemul de control intern managerial</w:t>
      </w:r>
      <w:r w:rsidR="00974B89" w:rsidRPr="004D2FF7">
        <w:rPr>
          <w:rFonts w:ascii="Times New Roman" w:hAnsi="Times New Roman" w:cs="Times New Roman"/>
          <w:sz w:val="24"/>
          <w:szCs w:val="24"/>
        </w:rPr>
        <w:t>,</w:t>
      </w:r>
      <w:r w:rsidR="006049D5" w:rsidRPr="004D2FF7">
        <w:rPr>
          <w:rFonts w:ascii="Times New Roman" w:hAnsi="Times New Roman" w:cs="Times New Roman"/>
          <w:sz w:val="24"/>
          <w:szCs w:val="24"/>
        </w:rPr>
        <w:t xml:space="preserve"> care să asigure gestionarea optimă a resurselor pentru atingerea obiectivelor stabilite, în baza principiilor bunei guvernări: transparență și răspundere, economicitate, eficiență și eficacitate, legalitate și echitate, etică și integritate profesională. Totodată, </w:t>
      </w:r>
      <w:r w:rsidRPr="004D2FF7">
        <w:rPr>
          <w:rFonts w:ascii="Times New Roman" w:hAnsi="Times New Roman" w:cs="Times New Roman"/>
          <w:sz w:val="24"/>
          <w:szCs w:val="24"/>
        </w:rPr>
        <w:t xml:space="preserve">Directorul Centrului </w:t>
      </w:r>
      <w:r w:rsidR="006049D5" w:rsidRPr="004D2FF7">
        <w:rPr>
          <w:rFonts w:ascii="Times New Roman" w:hAnsi="Times New Roman" w:cs="Times New Roman"/>
          <w:sz w:val="24"/>
          <w:szCs w:val="24"/>
        </w:rPr>
        <w:t xml:space="preserve">poartă răspundere managerială pentru administrarea bugetului și a patrimoniului public aflat în gestiunea </w:t>
      </w:r>
      <w:r w:rsidRPr="004D2FF7">
        <w:rPr>
          <w:rFonts w:ascii="Times New Roman" w:hAnsi="Times New Roman" w:cs="Times New Roman"/>
          <w:sz w:val="24"/>
          <w:szCs w:val="24"/>
        </w:rPr>
        <w:t>Centrului</w:t>
      </w:r>
      <w:r w:rsidR="00172CE8">
        <w:rPr>
          <w:rFonts w:ascii="Times New Roman" w:hAnsi="Times New Roman" w:cs="Times New Roman"/>
          <w:sz w:val="24"/>
          <w:szCs w:val="24"/>
        </w:rPr>
        <w:t xml:space="preserve"> Național</w:t>
      </w:r>
      <w:r w:rsidRPr="004D2FF7">
        <w:rPr>
          <w:rFonts w:ascii="Times New Roman" w:hAnsi="Times New Roman" w:cs="Times New Roman"/>
          <w:sz w:val="24"/>
          <w:szCs w:val="24"/>
        </w:rPr>
        <w:t xml:space="preserve"> pentru Protecția Datelor cu Caracter Personal</w:t>
      </w:r>
      <w:r w:rsidR="006049D5" w:rsidRPr="004D2FF7">
        <w:rPr>
          <w:rFonts w:ascii="Times New Roman" w:hAnsi="Times New Roman" w:cs="Times New Roman"/>
          <w:sz w:val="24"/>
          <w:szCs w:val="24"/>
        </w:rPr>
        <w:t>.</w:t>
      </w:r>
      <w:r w:rsidR="008C3246" w:rsidRPr="004D2FF7">
        <w:rPr>
          <w:rFonts w:ascii="Times New Roman" w:hAnsi="Times New Roman" w:cs="Times New Roman"/>
          <w:sz w:val="24"/>
          <w:szCs w:val="24"/>
        </w:rPr>
        <w:t xml:space="preserve"> O parte din responsabilitățile aferente domeniului economico-financiar</w:t>
      </w:r>
      <w:r w:rsidR="008C3246" w:rsidRPr="004D2FF7">
        <w:rPr>
          <w:rStyle w:val="FootnoteReference"/>
          <w:rFonts w:ascii="Times New Roman" w:hAnsi="Times New Roman" w:cs="Times New Roman"/>
          <w:sz w:val="24"/>
          <w:szCs w:val="24"/>
        </w:rPr>
        <w:footnoteReference w:id="22"/>
      </w:r>
      <w:r w:rsidR="008C3246" w:rsidRPr="004D2FF7">
        <w:rPr>
          <w:rFonts w:ascii="Times New Roman" w:hAnsi="Times New Roman" w:cs="Times New Roman"/>
          <w:sz w:val="24"/>
          <w:szCs w:val="24"/>
        </w:rPr>
        <w:t>, în anii 201</w:t>
      </w:r>
      <w:r w:rsidR="00A673C5" w:rsidRPr="004D2FF7">
        <w:rPr>
          <w:rFonts w:ascii="Times New Roman" w:hAnsi="Times New Roman" w:cs="Times New Roman"/>
          <w:sz w:val="24"/>
          <w:szCs w:val="24"/>
        </w:rPr>
        <w:t>8</w:t>
      </w:r>
      <w:r w:rsidR="008C3246" w:rsidRPr="004D2FF7">
        <w:rPr>
          <w:rFonts w:ascii="Times New Roman" w:hAnsi="Times New Roman" w:cs="Times New Roman"/>
          <w:sz w:val="24"/>
          <w:szCs w:val="24"/>
        </w:rPr>
        <w:t>-202</w:t>
      </w:r>
      <w:r w:rsidR="00A673C5" w:rsidRPr="004D2FF7">
        <w:rPr>
          <w:rFonts w:ascii="Times New Roman" w:hAnsi="Times New Roman" w:cs="Times New Roman"/>
          <w:sz w:val="24"/>
          <w:szCs w:val="24"/>
        </w:rPr>
        <w:t>2</w:t>
      </w:r>
      <w:r w:rsidR="00974B89" w:rsidRPr="004D2FF7">
        <w:rPr>
          <w:rFonts w:ascii="Times New Roman" w:hAnsi="Times New Roman" w:cs="Times New Roman"/>
          <w:sz w:val="24"/>
          <w:szCs w:val="24"/>
        </w:rPr>
        <w:t>,</w:t>
      </w:r>
      <w:r w:rsidR="008C3246" w:rsidRPr="004D2FF7">
        <w:rPr>
          <w:rFonts w:ascii="Times New Roman" w:hAnsi="Times New Roman" w:cs="Times New Roman"/>
          <w:sz w:val="24"/>
          <w:szCs w:val="24"/>
        </w:rPr>
        <w:t xml:space="preserve"> au fost delegate </w:t>
      </w:r>
      <w:r w:rsidRPr="004D2FF7">
        <w:rPr>
          <w:rFonts w:ascii="Times New Roman" w:hAnsi="Times New Roman" w:cs="Times New Roman"/>
          <w:sz w:val="24"/>
          <w:szCs w:val="24"/>
        </w:rPr>
        <w:t>director</w:t>
      </w:r>
      <w:r w:rsidR="00A673C5" w:rsidRPr="004D2FF7">
        <w:rPr>
          <w:rFonts w:ascii="Times New Roman" w:hAnsi="Times New Roman" w:cs="Times New Roman"/>
          <w:sz w:val="24"/>
          <w:szCs w:val="24"/>
        </w:rPr>
        <w:t>ilor</w:t>
      </w:r>
      <w:r w:rsidRPr="004D2FF7">
        <w:rPr>
          <w:rFonts w:ascii="Times New Roman" w:hAnsi="Times New Roman" w:cs="Times New Roman"/>
          <w:sz w:val="24"/>
          <w:szCs w:val="24"/>
        </w:rPr>
        <w:t xml:space="preserve"> </w:t>
      </w:r>
      <w:r w:rsidR="008C3246" w:rsidRPr="004D2FF7">
        <w:rPr>
          <w:rFonts w:ascii="Times New Roman" w:hAnsi="Times New Roman" w:cs="Times New Roman"/>
          <w:sz w:val="24"/>
          <w:szCs w:val="24"/>
        </w:rPr>
        <w:t xml:space="preserve">adjuncți ai </w:t>
      </w:r>
      <w:r w:rsidRPr="004D2FF7">
        <w:rPr>
          <w:rFonts w:ascii="Times New Roman" w:eastAsiaTheme="minorEastAsia" w:hAnsi="Times New Roman" w:cs="Times New Roman"/>
          <w:sz w:val="24"/>
          <w:szCs w:val="24"/>
          <w:lang w:eastAsia="ru-RU"/>
        </w:rPr>
        <w:t>CNPDCP</w:t>
      </w:r>
      <w:r w:rsidR="00765111" w:rsidRPr="004D2FF7">
        <w:rPr>
          <w:rFonts w:ascii="Times New Roman" w:hAnsi="Times New Roman" w:cs="Times New Roman"/>
          <w:sz w:val="24"/>
          <w:szCs w:val="24"/>
        </w:rPr>
        <w:t xml:space="preserve">. </w:t>
      </w:r>
    </w:p>
    <w:p w14:paraId="21133DBB" w14:textId="77777777" w:rsidR="006049D5" w:rsidRPr="004D2FF7" w:rsidRDefault="006049D5" w:rsidP="00ED5A00">
      <w:pPr>
        <w:pStyle w:val="Heading3"/>
        <w:numPr>
          <w:ilvl w:val="1"/>
          <w:numId w:val="11"/>
        </w:numPr>
        <w:tabs>
          <w:tab w:val="left" w:pos="426"/>
        </w:tabs>
        <w:spacing w:after="120"/>
        <w:ind w:left="0" w:firstLine="0"/>
        <w:rPr>
          <w:rFonts w:ascii="Times New Roman" w:hAnsi="Times New Roman" w:cs="Times New Roman"/>
          <w:b/>
          <w:i/>
          <w:color w:val="2E74B5" w:themeColor="accent1" w:themeShade="BF"/>
        </w:rPr>
      </w:pPr>
      <w:bookmarkStart w:id="14" w:name="_Toc157776083"/>
      <w:r w:rsidRPr="004D2FF7">
        <w:rPr>
          <w:rFonts w:ascii="Times New Roman" w:hAnsi="Times New Roman" w:cs="Times New Roman"/>
          <w:b/>
          <w:i/>
          <w:color w:val="2E74B5" w:themeColor="accent1" w:themeShade="BF"/>
        </w:rPr>
        <w:t xml:space="preserve">Bugetul </w:t>
      </w:r>
      <w:r w:rsidR="009E06DA" w:rsidRPr="004D2FF7">
        <w:rPr>
          <w:rFonts w:ascii="Times New Roman" w:hAnsi="Times New Roman" w:cs="Times New Roman"/>
          <w:b/>
          <w:i/>
          <w:color w:val="2E74B5" w:themeColor="accent1" w:themeShade="BF"/>
        </w:rPr>
        <w:t>CNPDCP</w:t>
      </w:r>
      <w:r w:rsidRPr="004D2FF7">
        <w:rPr>
          <w:rFonts w:ascii="Times New Roman" w:hAnsi="Times New Roman" w:cs="Times New Roman"/>
          <w:b/>
          <w:i/>
          <w:color w:val="2E74B5" w:themeColor="accent1" w:themeShade="BF"/>
        </w:rPr>
        <w:t xml:space="preserve"> în anii 2018-2022</w:t>
      </w:r>
      <w:bookmarkEnd w:id="14"/>
    </w:p>
    <w:p w14:paraId="7A33EAB9" w14:textId="77777777" w:rsidR="006049D5" w:rsidRPr="004D2FF7" w:rsidRDefault="006049D5" w:rsidP="008C1B8F">
      <w:pPr>
        <w:spacing w:after="120" w:line="276" w:lineRule="auto"/>
        <w:jc w:val="both"/>
        <w:rPr>
          <w:rFonts w:ascii="Times New Roman" w:hAnsi="Times New Roman" w:cs="Times New Roman"/>
          <w:sz w:val="24"/>
          <w:szCs w:val="24"/>
        </w:rPr>
      </w:pPr>
      <w:r w:rsidRPr="004D2FF7">
        <w:rPr>
          <w:rFonts w:ascii="Times New Roman" w:hAnsi="Times New Roman" w:cs="Times New Roman"/>
          <w:sz w:val="24"/>
          <w:szCs w:val="24"/>
        </w:rPr>
        <w:t xml:space="preserve">În corespundere cu legislația în vigoare, </w:t>
      </w:r>
      <w:r w:rsidR="009921BF" w:rsidRPr="004D2FF7">
        <w:rPr>
          <w:rFonts w:ascii="Times New Roman" w:eastAsiaTheme="minorEastAsia" w:hAnsi="Times New Roman" w:cs="Times New Roman"/>
          <w:sz w:val="24"/>
          <w:szCs w:val="24"/>
          <w:lang w:eastAsia="ru-RU"/>
        </w:rPr>
        <w:t>CNPDCP</w:t>
      </w:r>
      <w:r w:rsidR="009921BF" w:rsidRPr="004D2FF7">
        <w:rPr>
          <w:rFonts w:ascii="Times New Roman" w:hAnsi="Times New Roman" w:cs="Times New Roman"/>
          <w:sz w:val="24"/>
          <w:szCs w:val="24"/>
        </w:rPr>
        <w:t xml:space="preserve"> </w:t>
      </w:r>
      <w:r w:rsidRPr="004D2FF7">
        <w:rPr>
          <w:rFonts w:ascii="Times New Roman" w:hAnsi="Times New Roman" w:cs="Times New Roman"/>
          <w:sz w:val="24"/>
          <w:szCs w:val="24"/>
        </w:rPr>
        <w:t>se finanțează de la bugetul de stat în limita alocațiilor apro</w:t>
      </w:r>
      <w:r w:rsidR="004040F0" w:rsidRPr="004D2FF7">
        <w:rPr>
          <w:rFonts w:ascii="Times New Roman" w:hAnsi="Times New Roman" w:cs="Times New Roman"/>
          <w:sz w:val="24"/>
          <w:szCs w:val="24"/>
        </w:rPr>
        <w:t>bate prin legea bugetară anuală</w:t>
      </w:r>
      <w:r w:rsidR="00CD5B65" w:rsidRPr="004D2FF7">
        <w:rPr>
          <w:rFonts w:ascii="Times New Roman" w:hAnsi="Times New Roman" w:cs="Times New Roman"/>
          <w:sz w:val="24"/>
          <w:szCs w:val="24"/>
        </w:rPr>
        <w:t>.</w:t>
      </w:r>
      <w:r w:rsidRPr="004D2FF7">
        <w:rPr>
          <w:rFonts w:ascii="Times New Roman" w:hAnsi="Times New Roman" w:cs="Times New Roman"/>
          <w:sz w:val="24"/>
          <w:szCs w:val="24"/>
        </w:rPr>
        <w:t xml:space="preserve"> În perioada verificată</w:t>
      </w:r>
      <w:r w:rsidR="001E5155" w:rsidRPr="004D2FF7">
        <w:rPr>
          <w:rFonts w:ascii="Times New Roman" w:hAnsi="Times New Roman" w:cs="Times New Roman"/>
          <w:sz w:val="24"/>
          <w:szCs w:val="24"/>
        </w:rPr>
        <w:t>,</w:t>
      </w:r>
      <w:r w:rsidRPr="004D2FF7">
        <w:rPr>
          <w:rFonts w:ascii="Times New Roman" w:hAnsi="Times New Roman" w:cs="Times New Roman"/>
          <w:sz w:val="24"/>
          <w:szCs w:val="24"/>
        </w:rPr>
        <w:t xml:space="preserve"> alocarea mijloacelor bugetare </w:t>
      </w:r>
      <w:r w:rsidR="001E5155" w:rsidRPr="004D2FF7">
        <w:rPr>
          <w:rFonts w:ascii="Times New Roman" w:hAnsi="Times New Roman" w:cs="Times New Roman"/>
          <w:sz w:val="24"/>
          <w:szCs w:val="24"/>
        </w:rPr>
        <w:t>către</w:t>
      </w:r>
      <w:r w:rsidRPr="004D2FF7">
        <w:rPr>
          <w:rFonts w:ascii="Times New Roman" w:hAnsi="Times New Roman" w:cs="Times New Roman"/>
          <w:sz w:val="24"/>
          <w:szCs w:val="24"/>
        </w:rPr>
        <w:t xml:space="preserve"> </w:t>
      </w:r>
      <w:r w:rsidR="00722494" w:rsidRPr="004D2FF7">
        <w:rPr>
          <w:rFonts w:ascii="Times New Roman" w:hAnsi="Times New Roman" w:cs="Times New Roman"/>
          <w:sz w:val="24"/>
          <w:szCs w:val="24"/>
        </w:rPr>
        <w:t>CNPDCP</w:t>
      </w:r>
      <w:r w:rsidRPr="004D2FF7">
        <w:rPr>
          <w:rFonts w:ascii="Times New Roman" w:hAnsi="Times New Roman" w:cs="Times New Roman"/>
          <w:sz w:val="24"/>
          <w:szCs w:val="24"/>
        </w:rPr>
        <w:t xml:space="preserve"> s-a efectuat în cadrul </w:t>
      </w:r>
      <w:r w:rsidR="001E5155" w:rsidRPr="004D2FF7">
        <w:rPr>
          <w:rFonts w:ascii="Times New Roman" w:hAnsi="Times New Roman" w:cs="Times New Roman"/>
          <w:sz w:val="24"/>
          <w:szCs w:val="24"/>
        </w:rPr>
        <w:t>P</w:t>
      </w:r>
      <w:r w:rsidRPr="004D2FF7">
        <w:rPr>
          <w:rFonts w:ascii="Times New Roman" w:hAnsi="Times New Roman" w:cs="Times New Roman"/>
          <w:sz w:val="24"/>
          <w:szCs w:val="24"/>
        </w:rPr>
        <w:t xml:space="preserve">rogramului </w:t>
      </w:r>
      <w:r w:rsidR="00233EDD" w:rsidRPr="004D2FF7">
        <w:rPr>
          <w:rFonts w:ascii="Times New Roman" w:hAnsi="Times New Roman" w:cs="Times New Roman"/>
          <w:sz w:val="24"/>
          <w:szCs w:val="24"/>
        </w:rPr>
        <w:t>„</w:t>
      </w:r>
      <w:r w:rsidR="00722494" w:rsidRPr="004D2FF7">
        <w:rPr>
          <w:rFonts w:ascii="Times New Roman" w:hAnsi="Times New Roman" w:cs="Times New Roman"/>
          <w:sz w:val="24"/>
          <w:szCs w:val="24"/>
        </w:rPr>
        <w:t>Edificarea societății informaționale</w:t>
      </w:r>
      <w:r w:rsidRPr="004D2FF7">
        <w:rPr>
          <w:rFonts w:ascii="Times New Roman" w:hAnsi="Times New Roman" w:cs="Times New Roman"/>
          <w:sz w:val="24"/>
          <w:szCs w:val="24"/>
        </w:rPr>
        <w:t>”, având drept scop „</w:t>
      </w:r>
      <w:r w:rsidR="00722494" w:rsidRPr="004D2FF7">
        <w:rPr>
          <w:rFonts w:ascii="Times New Roman" w:hAnsi="Times New Roman" w:cs="Times New Roman"/>
          <w:sz w:val="24"/>
          <w:szCs w:val="24"/>
        </w:rPr>
        <w:t xml:space="preserve">asigurarea </w:t>
      </w:r>
      <w:r w:rsidR="007A3C67" w:rsidRPr="004D2FF7">
        <w:rPr>
          <w:rFonts w:ascii="Times New Roman" w:hAnsi="Times New Roman" w:cs="Times New Roman"/>
          <w:sz w:val="24"/>
          <w:szCs w:val="24"/>
        </w:rPr>
        <w:t>unui nivel adecvat de protecție a datelor cu caracter personal în Republica Moldova, conform standardelor europene”</w:t>
      </w:r>
      <w:r w:rsidRPr="004D2FF7">
        <w:rPr>
          <w:rFonts w:ascii="Times New Roman" w:hAnsi="Times New Roman" w:cs="Times New Roman"/>
          <w:sz w:val="24"/>
          <w:szCs w:val="24"/>
        </w:rPr>
        <w:t>.</w:t>
      </w:r>
    </w:p>
    <w:p w14:paraId="34C0B976" w14:textId="6337D93B" w:rsidR="00CA62A2" w:rsidRPr="004D2FF7" w:rsidRDefault="00CA62A2" w:rsidP="00CA62A2">
      <w:pPr>
        <w:tabs>
          <w:tab w:val="left" w:pos="567"/>
          <w:tab w:val="left" w:pos="993"/>
        </w:tabs>
        <w:spacing w:after="120" w:line="276" w:lineRule="auto"/>
        <w:jc w:val="both"/>
        <w:rPr>
          <w:rFonts w:ascii="Times New Roman" w:eastAsia="Times New Roman" w:hAnsi="Times New Roman" w:cs="Times New Roman"/>
          <w:sz w:val="24"/>
          <w:szCs w:val="24"/>
          <w:lang w:eastAsia="ru-RU"/>
        </w:rPr>
      </w:pPr>
      <w:r w:rsidRPr="004D2FF7">
        <w:rPr>
          <w:rFonts w:ascii="Times New Roman" w:eastAsia="Times New Roman" w:hAnsi="Times New Roman" w:cs="Times New Roman"/>
          <w:sz w:val="24"/>
          <w:szCs w:val="24"/>
          <w:lang w:eastAsia="ru-RU"/>
        </w:rPr>
        <w:t xml:space="preserve">Analiza </w:t>
      </w:r>
      <w:r w:rsidR="001F2D9C" w:rsidRPr="004D2FF7">
        <w:rPr>
          <w:rFonts w:ascii="Times New Roman" w:eastAsia="Times New Roman" w:hAnsi="Times New Roman" w:cs="Times New Roman"/>
          <w:sz w:val="24"/>
          <w:szCs w:val="24"/>
          <w:lang w:eastAsia="ru-RU"/>
        </w:rPr>
        <w:t>executării</w:t>
      </w:r>
      <w:r w:rsidRPr="004D2FF7">
        <w:rPr>
          <w:rFonts w:ascii="Times New Roman" w:eastAsia="Times New Roman" w:hAnsi="Times New Roman" w:cs="Times New Roman"/>
          <w:sz w:val="24"/>
          <w:szCs w:val="24"/>
          <w:lang w:eastAsia="ru-RU"/>
        </w:rPr>
        <w:t xml:space="preserve"> veniturilor </w:t>
      </w:r>
      <w:r w:rsidR="001A6CCA" w:rsidRPr="004D2FF7">
        <w:rPr>
          <w:rFonts w:ascii="Times New Roman" w:eastAsia="Times New Roman" w:hAnsi="Times New Roman" w:cs="Times New Roman"/>
          <w:sz w:val="24"/>
          <w:szCs w:val="24"/>
          <w:lang w:eastAsia="ru-RU"/>
        </w:rPr>
        <w:t>în perioada 2018-2022</w:t>
      </w:r>
      <w:r w:rsidRPr="004D2FF7">
        <w:rPr>
          <w:rFonts w:ascii="Times New Roman" w:hAnsi="Times New Roman" w:cs="Times New Roman"/>
          <w:noProof/>
          <w:sz w:val="24"/>
          <w:szCs w:val="24"/>
        </w:rPr>
        <w:t xml:space="preserve"> </w:t>
      </w:r>
      <w:r w:rsidRPr="004D2FF7">
        <w:rPr>
          <w:rFonts w:ascii="Times New Roman" w:eastAsia="Times New Roman" w:hAnsi="Times New Roman" w:cs="Times New Roman"/>
          <w:sz w:val="24"/>
          <w:szCs w:val="24"/>
          <w:lang w:eastAsia="ru-RU"/>
        </w:rPr>
        <w:t>relevă nerealizarea</w:t>
      </w:r>
      <w:r w:rsidR="00AA49BF" w:rsidRPr="004D2FF7">
        <w:rPr>
          <w:rFonts w:ascii="Times New Roman" w:eastAsia="Times New Roman" w:hAnsi="Times New Roman" w:cs="Times New Roman"/>
          <w:sz w:val="24"/>
          <w:szCs w:val="24"/>
          <w:lang w:eastAsia="ru-RU"/>
        </w:rPr>
        <w:t xml:space="preserve"> de către </w:t>
      </w:r>
      <w:r w:rsidR="00AA49BF" w:rsidRPr="004D2FF7">
        <w:rPr>
          <w:rFonts w:ascii="Times New Roman" w:hAnsi="Times New Roman" w:cs="Times New Roman"/>
          <w:bCs/>
          <w:iCs/>
          <w:noProof/>
          <w:sz w:val="24"/>
          <w:szCs w:val="24"/>
        </w:rPr>
        <w:t>CNPDCP a</w:t>
      </w:r>
      <w:r w:rsidRPr="004D2FF7">
        <w:rPr>
          <w:rFonts w:ascii="Times New Roman" w:eastAsia="Times New Roman" w:hAnsi="Times New Roman" w:cs="Times New Roman"/>
          <w:sz w:val="24"/>
          <w:szCs w:val="24"/>
          <w:lang w:eastAsia="ru-RU"/>
        </w:rPr>
        <w:t xml:space="preserve"> indicatorilor precizați cu suma de </w:t>
      </w:r>
      <w:r w:rsidR="001A6CCA" w:rsidRPr="004D2FF7">
        <w:rPr>
          <w:rFonts w:ascii="Times New Roman" w:eastAsia="Times New Roman" w:hAnsi="Times New Roman" w:cs="Times New Roman"/>
          <w:sz w:val="24"/>
          <w:szCs w:val="24"/>
          <w:lang w:eastAsia="ru-RU"/>
        </w:rPr>
        <w:t>5</w:t>
      </w:r>
      <w:r w:rsidR="00E0303E">
        <w:rPr>
          <w:rFonts w:ascii="Times New Roman" w:eastAsia="Times New Roman" w:hAnsi="Times New Roman" w:cs="Times New Roman"/>
          <w:sz w:val="24"/>
          <w:szCs w:val="24"/>
          <w:lang w:eastAsia="ru-RU"/>
        </w:rPr>
        <w:t>.</w:t>
      </w:r>
      <w:r w:rsidR="001A6CCA" w:rsidRPr="004D2FF7">
        <w:rPr>
          <w:rFonts w:ascii="Times New Roman" w:eastAsia="Times New Roman" w:hAnsi="Times New Roman" w:cs="Times New Roman"/>
          <w:sz w:val="24"/>
          <w:szCs w:val="24"/>
          <w:lang w:eastAsia="ru-RU"/>
        </w:rPr>
        <w:t>842,2</w:t>
      </w:r>
      <w:r w:rsidRPr="004D2FF7">
        <w:rPr>
          <w:rFonts w:ascii="Times New Roman" w:eastAsia="Times New Roman" w:hAnsi="Times New Roman" w:cs="Times New Roman"/>
          <w:noProof/>
          <w:sz w:val="24"/>
          <w:szCs w:val="24"/>
          <w:lang w:eastAsia="ru-RU"/>
        </w:rPr>
        <w:t xml:space="preserve"> mi</w:t>
      </w:r>
      <w:r w:rsidR="001A6CCA" w:rsidRPr="004D2FF7">
        <w:rPr>
          <w:rFonts w:ascii="Times New Roman" w:eastAsia="Times New Roman" w:hAnsi="Times New Roman" w:cs="Times New Roman"/>
          <w:noProof/>
          <w:sz w:val="24"/>
          <w:szCs w:val="24"/>
          <w:lang w:eastAsia="ru-RU"/>
        </w:rPr>
        <w:t>i</w:t>
      </w:r>
      <w:r w:rsidRPr="004D2FF7">
        <w:rPr>
          <w:rFonts w:ascii="Times New Roman" w:eastAsia="Times New Roman" w:hAnsi="Times New Roman" w:cs="Times New Roman"/>
          <w:noProof/>
          <w:sz w:val="24"/>
          <w:szCs w:val="24"/>
          <w:lang w:eastAsia="ru-RU"/>
        </w:rPr>
        <w:t xml:space="preserve"> lei,</w:t>
      </w:r>
      <w:r w:rsidRPr="004D2FF7">
        <w:rPr>
          <w:rFonts w:ascii="Times New Roman" w:hAnsi="Times New Roman" w:cs="Times New Roman"/>
          <w:sz w:val="24"/>
          <w:szCs w:val="24"/>
        </w:rPr>
        <w:t xml:space="preserve"> fiind </w:t>
      </w:r>
      <w:r w:rsidRPr="004D2FF7">
        <w:rPr>
          <w:rFonts w:ascii="Times New Roman" w:hAnsi="Times New Roman" w:cs="Times New Roman"/>
          <w:noProof/>
          <w:sz w:val="24"/>
          <w:szCs w:val="24"/>
        </w:rPr>
        <w:t xml:space="preserve">executați </w:t>
      </w:r>
      <w:r w:rsidRPr="004D2FF7">
        <w:rPr>
          <w:rFonts w:ascii="Times New Roman" w:hAnsi="Times New Roman" w:cs="Times New Roman"/>
          <w:sz w:val="24"/>
          <w:szCs w:val="24"/>
        </w:rPr>
        <w:t xml:space="preserve">la nivel de </w:t>
      </w:r>
      <w:r w:rsidR="001A6CCA" w:rsidRPr="004D2FF7">
        <w:rPr>
          <w:rFonts w:ascii="Times New Roman" w:hAnsi="Times New Roman" w:cs="Times New Roman"/>
          <w:noProof/>
          <w:sz w:val="24"/>
          <w:szCs w:val="24"/>
        </w:rPr>
        <w:t>8</w:t>
      </w:r>
      <w:r w:rsidRPr="004D2FF7">
        <w:rPr>
          <w:rFonts w:ascii="Times New Roman" w:hAnsi="Times New Roman" w:cs="Times New Roman"/>
          <w:noProof/>
          <w:sz w:val="24"/>
          <w:szCs w:val="24"/>
        </w:rPr>
        <w:t>6</w:t>
      </w:r>
      <w:r w:rsidR="001A6CCA" w:rsidRPr="004D2FF7">
        <w:rPr>
          <w:rFonts w:ascii="Times New Roman" w:hAnsi="Times New Roman" w:cs="Times New Roman"/>
          <w:noProof/>
          <w:sz w:val="24"/>
          <w:szCs w:val="24"/>
        </w:rPr>
        <w:t>,7</w:t>
      </w:r>
      <w:r w:rsidRPr="004D2FF7">
        <w:rPr>
          <w:rFonts w:ascii="Times New Roman" w:hAnsi="Times New Roman" w:cs="Times New Roman"/>
          <w:noProof/>
          <w:sz w:val="24"/>
          <w:szCs w:val="24"/>
        </w:rPr>
        <w:t>% (</w:t>
      </w:r>
      <w:r w:rsidR="001A6CCA" w:rsidRPr="004D2FF7">
        <w:rPr>
          <w:rFonts w:ascii="Times New Roman" w:hAnsi="Times New Roman" w:cs="Times New Roman"/>
          <w:noProof/>
          <w:sz w:val="24"/>
          <w:szCs w:val="24"/>
        </w:rPr>
        <w:t>38</w:t>
      </w:r>
      <w:r w:rsidR="00E0303E">
        <w:rPr>
          <w:rFonts w:ascii="Times New Roman" w:hAnsi="Times New Roman" w:cs="Times New Roman"/>
          <w:noProof/>
          <w:sz w:val="24"/>
          <w:szCs w:val="24"/>
        </w:rPr>
        <w:t>.</w:t>
      </w:r>
      <w:r w:rsidR="001A6CCA" w:rsidRPr="004D2FF7">
        <w:rPr>
          <w:rFonts w:ascii="Times New Roman" w:hAnsi="Times New Roman" w:cs="Times New Roman"/>
          <w:noProof/>
          <w:sz w:val="24"/>
          <w:szCs w:val="24"/>
        </w:rPr>
        <w:t>230,</w:t>
      </w:r>
      <w:r w:rsidR="00BE63EA" w:rsidRPr="004D2FF7">
        <w:rPr>
          <w:rFonts w:ascii="Times New Roman" w:hAnsi="Times New Roman" w:cs="Times New Roman"/>
          <w:noProof/>
          <w:sz w:val="24"/>
          <w:szCs w:val="24"/>
        </w:rPr>
        <w:t>3</w:t>
      </w:r>
      <w:r w:rsidRPr="004D2FF7">
        <w:rPr>
          <w:rFonts w:ascii="Times New Roman" w:hAnsi="Times New Roman" w:cs="Times New Roman"/>
          <w:noProof/>
          <w:sz w:val="24"/>
          <w:szCs w:val="24"/>
        </w:rPr>
        <w:t xml:space="preserve"> m</w:t>
      </w:r>
      <w:r w:rsidR="001A6CCA" w:rsidRPr="004D2FF7">
        <w:rPr>
          <w:rFonts w:ascii="Times New Roman" w:hAnsi="Times New Roman" w:cs="Times New Roman"/>
          <w:noProof/>
          <w:sz w:val="24"/>
          <w:szCs w:val="24"/>
        </w:rPr>
        <w:t>ii</w:t>
      </w:r>
      <w:r w:rsidRPr="004D2FF7">
        <w:rPr>
          <w:rFonts w:ascii="Times New Roman" w:hAnsi="Times New Roman" w:cs="Times New Roman"/>
          <w:noProof/>
          <w:sz w:val="24"/>
          <w:szCs w:val="24"/>
        </w:rPr>
        <w:t xml:space="preserve"> lei), cauzele</w:t>
      </w:r>
      <w:r w:rsidR="001A6CCA" w:rsidRPr="004D2FF7">
        <w:rPr>
          <w:rFonts w:ascii="Times New Roman" w:hAnsi="Times New Roman" w:cs="Times New Roman"/>
          <w:noProof/>
          <w:sz w:val="24"/>
          <w:szCs w:val="24"/>
        </w:rPr>
        <w:t xml:space="preserve"> fiind supraestimarea cheltuielilor bugetare</w:t>
      </w:r>
      <w:r w:rsidRPr="004D2FF7">
        <w:rPr>
          <w:rFonts w:ascii="Times New Roman" w:eastAsia="Times New Roman" w:hAnsi="Times New Roman" w:cs="Times New Roman"/>
          <w:noProof/>
          <w:sz w:val="24"/>
          <w:szCs w:val="24"/>
          <w:lang w:eastAsia="ru-RU"/>
        </w:rPr>
        <w:t>.</w:t>
      </w:r>
    </w:p>
    <w:p w14:paraId="6097C041" w14:textId="77777777" w:rsidR="00423590" w:rsidRPr="004D2FF7" w:rsidRDefault="006049D5" w:rsidP="00461B2C">
      <w:pPr>
        <w:spacing w:after="0" w:line="276" w:lineRule="auto"/>
        <w:jc w:val="both"/>
        <w:rPr>
          <w:rFonts w:ascii="Times New Roman" w:hAnsi="Times New Roman" w:cs="Times New Roman"/>
          <w:color w:val="000000" w:themeColor="text1"/>
          <w:sz w:val="24"/>
          <w:szCs w:val="24"/>
        </w:rPr>
      </w:pPr>
      <w:r w:rsidRPr="004D2FF7">
        <w:rPr>
          <w:rFonts w:ascii="Times New Roman" w:hAnsi="Times New Roman" w:cs="Times New Roman"/>
          <w:sz w:val="24"/>
          <w:szCs w:val="24"/>
        </w:rPr>
        <w:t>Pentru anii 2018-2022,</w:t>
      </w:r>
      <w:r w:rsidR="00506B74" w:rsidRPr="004D2FF7">
        <w:rPr>
          <w:rFonts w:ascii="Times New Roman" w:hAnsi="Times New Roman" w:cs="Times New Roman"/>
          <w:sz w:val="24"/>
          <w:szCs w:val="24"/>
        </w:rPr>
        <w:t xml:space="preserve"> CNPDCP</w:t>
      </w:r>
      <w:r w:rsidRPr="004D2FF7">
        <w:rPr>
          <w:rFonts w:ascii="Times New Roman" w:hAnsi="Times New Roman" w:cs="Times New Roman"/>
          <w:sz w:val="24"/>
          <w:szCs w:val="24"/>
        </w:rPr>
        <w:t xml:space="preserve"> i-au fost precizate mijloace de la bugetul de stat în sumă totală de</w:t>
      </w:r>
      <w:r w:rsidR="005C5DB6" w:rsidRPr="004D2FF7">
        <w:rPr>
          <w:rFonts w:ascii="Times New Roman" w:hAnsi="Times New Roman" w:cs="Times New Roman"/>
          <w:sz w:val="24"/>
          <w:szCs w:val="24"/>
        </w:rPr>
        <w:t xml:space="preserve"> 4</w:t>
      </w:r>
      <w:r w:rsidR="00BD2A8C" w:rsidRPr="004D2FF7">
        <w:rPr>
          <w:rFonts w:ascii="Times New Roman" w:hAnsi="Times New Roman" w:cs="Times New Roman"/>
          <w:sz w:val="24"/>
          <w:szCs w:val="24"/>
        </w:rPr>
        <w:t>4</w:t>
      </w:r>
      <w:r w:rsidR="00E0303E">
        <w:rPr>
          <w:rFonts w:ascii="Times New Roman" w:hAnsi="Times New Roman" w:cs="Times New Roman"/>
          <w:sz w:val="24"/>
          <w:szCs w:val="24"/>
        </w:rPr>
        <w:t>.</w:t>
      </w:r>
      <w:r w:rsidR="00BD2A8C" w:rsidRPr="004D2FF7">
        <w:rPr>
          <w:rFonts w:ascii="Times New Roman" w:hAnsi="Times New Roman" w:cs="Times New Roman"/>
          <w:sz w:val="24"/>
          <w:szCs w:val="24"/>
        </w:rPr>
        <w:t>0</w:t>
      </w:r>
      <w:r w:rsidR="005C5DB6" w:rsidRPr="004D2FF7">
        <w:rPr>
          <w:rFonts w:ascii="Times New Roman" w:hAnsi="Times New Roman" w:cs="Times New Roman"/>
          <w:sz w:val="24"/>
          <w:szCs w:val="24"/>
        </w:rPr>
        <w:t>72,5</w:t>
      </w:r>
      <w:r w:rsidRPr="004D2FF7">
        <w:rPr>
          <w:rFonts w:ascii="Times New Roman" w:hAnsi="Times New Roman" w:cs="Times New Roman"/>
          <w:sz w:val="24"/>
          <w:szCs w:val="24"/>
        </w:rPr>
        <w:t xml:space="preserve"> mii lei, cheltuielile de casă ș</w:t>
      </w:r>
      <w:r w:rsidR="002A4D83" w:rsidRPr="004D2FF7">
        <w:rPr>
          <w:rFonts w:ascii="Times New Roman" w:hAnsi="Times New Roman" w:cs="Times New Roman"/>
          <w:sz w:val="24"/>
          <w:szCs w:val="24"/>
        </w:rPr>
        <w:t>i cele efective constituind</w:t>
      </w:r>
      <w:r w:rsidR="005C5DB6" w:rsidRPr="004D2FF7">
        <w:rPr>
          <w:rFonts w:ascii="Times New Roman" w:hAnsi="Times New Roman" w:cs="Times New Roman"/>
          <w:sz w:val="24"/>
          <w:szCs w:val="24"/>
        </w:rPr>
        <w:t xml:space="preserve"> 38</w:t>
      </w:r>
      <w:r w:rsidR="00E0303E">
        <w:rPr>
          <w:rFonts w:ascii="Times New Roman" w:hAnsi="Times New Roman" w:cs="Times New Roman"/>
          <w:sz w:val="24"/>
          <w:szCs w:val="24"/>
        </w:rPr>
        <w:t>.</w:t>
      </w:r>
      <w:r w:rsidR="005C5DB6" w:rsidRPr="004D2FF7">
        <w:rPr>
          <w:rFonts w:ascii="Times New Roman" w:hAnsi="Times New Roman" w:cs="Times New Roman"/>
          <w:sz w:val="24"/>
          <w:szCs w:val="24"/>
        </w:rPr>
        <w:t>230,4</w:t>
      </w:r>
      <w:r w:rsidR="002A4D83" w:rsidRPr="004D2FF7">
        <w:rPr>
          <w:rFonts w:ascii="Times New Roman" w:hAnsi="Times New Roman" w:cs="Times New Roman"/>
          <w:sz w:val="24"/>
          <w:szCs w:val="24"/>
        </w:rPr>
        <w:t xml:space="preserve"> </w:t>
      </w:r>
      <w:r w:rsidRPr="004D2FF7">
        <w:rPr>
          <w:rFonts w:ascii="Times New Roman" w:hAnsi="Times New Roman" w:cs="Times New Roman"/>
          <w:sz w:val="24"/>
          <w:szCs w:val="24"/>
        </w:rPr>
        <w:t>mii lei (</w:t>
      </w:r>
      <w:r w:rsidR="005C5DB6" w:rsidRPr="004D2FF7">
        <w:rPr>
          <w:rFonts w:ascii="Times New Roman" w:hAnsi="Times New Roman" w:cs="Times New Roman"/>
          <w:sz w:val="24"/>
          <w:szCs w:val="24"/>
        </w:rPr>
        <w:t>8</w:t>
      </w:r>
      <w:r w:rsidR="00BD2A8C" w:rsidRPr="004D2FF7">
        <w:rPr>
          <w:rFonts w:ascii="Times New Roman" w:hAnsi="Times New Roman" w:cs="Times New Roman"/>
          <w:sz w:val="24"/>
          <w:szCs w:val="24"/>
        </w:rPr>
        <w:t>6</w:t>
      </w:r>
      <w:r w:rsidR="005C5DB6" w:rsidRPr="004D2FF7">
        <w:rPr>
          <w:rFonts w:ascii="Times New Roman" w:hAnsi="Times New Roman" w:cs="Times New Roman"/>
          <w:sz w:val="24"/>
          <w:szCs w:val="24"/>
        </w:rPr>
        <w:t>,</w:t>
      </w:r>
      <w:r w:rsidR="00BD2A8C" w:rsidRPr="004D2FF7">
        <w:rPr>
          <w:rFonts w:ascii="Times New Roman" w:hAnsi="Times New Roman" w:cs="Times New Roman"/>
          <w:sz w:val="24"/>
          <w:szCs w:val="24"/>
        </w:rPr>
        <w:t>7</w:t>
      </w:r>
      <w:r w:rsidRPr="004D2FF7">
        <w:rPr>
          <w:rFonts w:ascii="Times New Roman" w:hAnsi="Times New Roman" w:cs="Times New Roman"/>
          <w:sz w:val="24"/>
          <w:szCs w:val="24"/>
        </w:rPr>
        <w:t xml:space="preserve">%) şi, respectiv, </w:t>
      </w:r>
      <w:r w:rsidR="005C5DB6" w:rsidRPr="004D2FF7">
        <w:rPr>
          <w:rFonts w:ascii="Times New Roman" w:hAnsi="Times New Roman" w:cs="Times New Roman"/>
          <w:sz w:val="24"/>
          <w:szCs w:val="24"/>
        </w:rPr>
        <w:t>40</w:t>
      </w:r>
      <w:r w:rsidR="00E0303E">
        <w:rPr>
          <w:rFonts w:ascii="Times New Roman" w:hAnsi="Times New Roman" w:cs="Times New Roman"/>
          <w:sz w:val="24"/>
          <w:szCs w:val="24"/>
        </w:rPr>
        <w:t>.</w:t>
      </w:r>
      <w:r w:rsidR="005C5DB6" w:rsidRPr="004D2FF7">
        <w:rPr>
          <w:rFonts w:ascii="Times New Roman" w:hAnsi="Times New Roman" w:cs="Times New Roman"/>
          <w:sz w:val="24"/>
          <w:szCs w:val="24"/>
        </w:rPr>
        <w:t xml:space="preserve">408,2 </w:t>
      </w:r>
      <w:r w:rsidRPr="004D2FF7">
        <w:rPr>
          <w:rFonts w:ascii="Times New Roman" w:hAnsi="Times New Roman" w:cs="Times New Roman"/>
          <w:sz w:val="24"/>
          <w:szCs w:val="24"/>
        </w:rPr>
        <w:t>mii lei (</w:t>
      </w:r>
      <w:r w:rsidR="005C5DB6" w:rsidRPr="004D2FF7">
        <w:rPr>
          <w:rFonts w:ascii="Times New Roman" w:hAnsi="Times New Roman" w:cs="Times New Roman"/>
          <w:sz w:val="24"/>
          <w:szCs w:val="24"/>
        </w:rPr>
        <w:t>9</w:t>
      </w:r>
      <w:r w:rsidR="00BD2A8C" w:rsidRPr="004D2FF7">
        <w:rPr>
          <w:rFonts w:ascii="Times New Roman" w:hAnsi="Times New Roman" w:cs="Times New Roman"/>
          <w:sz w:val="24"/>
          <w:szCs w:val="24"/>
        </w:rPr>
        <w:t>1</w:t>
      </w:r>
      <w:r w:rsidR="005C5DB6" w:rsidRPr="004D2FF7">
        <w:rPr>
          <w:rFonts w:ascii="Times New Roman" w:hAnsi="Times New Roman" w:cs="Times New Roman"/>
          <w:sz w:val="24"/>
          <w:szCs w:val="24"/>
        </w:rPr>
        <w:t>,</w:t>
      </w:r>
      <w:r w:rsidR="00BD2A8C" w:rsidRPr="004D2FF7">
        <w:rPr>
          <w:rFonts w:ascii="Times New Roman" w:hAnsi="Times New Roman" w:cs="Times New Roman"/>
          <w:sz w:val="24"/>
          <w:szCs w:val="24"/>
        </w:rPr>
        <w:t>7</w:t>
      </w:r>
      <w:r w:rsidRPr="004D2FF7">
        <w:rPr>
          <w:rFonts w:ascii="Times New Roman" w:hAnsi="Times New Roman" w:cs="Times New Roman"/>
          <w:sz w:val="24"/>
          <w:szCs w:val="24"/>
        </w:rPr>
        <w:t xml:space="preserve">%), comparativ cu cele precizate. </w:t>
      </w:r>
      <w:r w:rsidR="0020121B" w:rsidRPr="004D2FF7">
        <w:rPr>
          <w:rFonts w:ascii="Times New Roman" w:hAnsi="Times New Roman" w:cs="Times New Roman"/>
          <w:sz w:val="24"/>
          <w:szCs w:val="24"/>
        </w:rPr>
        <w:t xml:space="preserve">Evoluția executării </w:t>
      </w:r>
      <w:r w:rsidRPr="004D2FF7">
        <w:rPr>
          <w:rFonts w:ascii="Times New Roman" w:hAnsi="Times New Roman" w:cs="Times New Roman"/>
          <w:color w:val="000000" w:themeColor="text1"/>
          <w:sz w:val="24"/>
          <w:szCs w:val="24"/>
        </w:rPr>
        <w:t xml:space="preserve">cheltuielilor </w:t>
      </w:r>
      <w:r w:rsidR="0020121B" w:rsidRPr="004D2FF7">
        <w:rPr>
          <w:rFonts w:ascii="Times New Roman" w:hAnsi="Times New Roman" w:cs="Times New Roman"/>
          <w:color w:val="000000" w:themeColor="text1"/>
          <w:sz w:val="24"/>
          <w:szCs w:val="24"/>
        </w:rPr>
        <w:t>pentru întreținerea</w:t>
      </w:r>
      <w:r w:rsidRPr="004D2FF7">
        <w:rPr>
          <w:rFonts w:ascii="Times New Roman" w:hAnsi="Times New Roman" w:cs="Times New Roman"/>
          <w:color w:val="000000" w:themeColor="text1"/>
          <w:sz w:val="24"/>
          <w:szCs w:val="24"/>
        </w:rPr>
        <w:t xml:space="preserve"> </w:t>
      </w:r>
      <w:r w:rsidR="00506B74" w:rsidRPr="004D2FF7">
        <w:rPr>
          <w:rFonts w:ascii="Times New Roman" w:hAnsi="Times New Roman" w:cs="Times New Roman"/>
          <w:color w:val="000000" w:themeColor="text1"/>
          <w:sz w:val="24"/>
          <w:szCs w:val="24"/>
        </w:rPr>
        <w:t>CNPDCP</w:t>
      </w:r>
      <w:r w:rsidRPr="004D2FF7">
        <w:rPr>
          <w:rFonts w:ascii="Times New Roman" w:hAnsi="Times New Roman" w:cs="Times New Roman"/>
          <w:color w:val="000000" w:themeColor="text1"/>
          <w:sz w:val="24"/>
          <w:szCs w:val="24"/>
        </w:rPr>
        <w:t xml:space="preserve">  în perioada 2018-20</w:t>
      </w:r>
      <w:r w:rsidR="00CF40B9" w:rsidRPr="004D2FF7">
        <w:rPr>
          <w:rFonts w:ascii="Times New Roman" w:hAnsi="Times New Roman" w:cs="Times New Roman"/>
          <w:color w:val="000000" w:themeColor="text1"/>
          <w:sz w:val="24"/>
          <w:szCs w:val="24"/>
        </w:rPr>
        <w:t xml:space="preserve">22 se prezintă în </w:t>
      </w:r>
      <w:r w:rsidR="00645374">
        <w:rPr>
          <w:rFonts w:ascii="Times New Roman" w:hAnsi="Times New Roman" w:cs="Times New Roman"/>
          <w:color w:val="000000" w:themeColor="text1"/>
          <w:sz w:val="24"/>
          <w:szCs w:val="24"/>
        </w:rPr>
        <w:t>Figura</w:t>
      </w:r>
      <w:r w:rsidR="00CF40B9" w:rsidRPr="004D2FF7">
        <w:rPr>
          <w:rFonts w:ascii="Times New Roman" w:hAnsi="Times New Roman" w:cs="Times New Roman"/>
          <w:color w:val="000000" w:themeColor="text1"/>
          <w:sz w:val="24"/>
          <w:szCs w:val="24"/>
        </w:rPr>
        <w:t xml:space="preserve"> nr.1</w:t>
      </w:r>
      <w:r w:rsidR="003701A9" w:rsidRPr="004D2FF7">
        <w:rPr>
          <w:rFonts w:ascii="Times New Roman" w:hAnsi="Times New Roman" w:cs="Times New Roman"/>
          <w:color w:val="000000" w:themeColor="text1"/>
          <w:sz w:val="24"/>
          <w:szCs w:val="24"/>
        </w:rPr>
        <w:t>.</w:t>
      </w:r>
    </w:p>
    <w:p w14:paraId="38B75608" w14:textId="77777777" w:rsidR="00471BF0" w:rsidRDefault="00471BF0" w:rsidP="00461B2C">
      <w:pPr>
        <w:spacing w:after="0" w:line="276" w:lineRule="auto"/>
        <w:jc w:val="right"/>
        <w:rPr>
          <w:rFonts w:ascii="Times New Roman" w:hAnsi="Times New Roman" w:cs="Times New Roman"/>
          <w:b/>
          <w:i/>
          <w:color w:val="000000" w:themeColor="text1"/>
        </w:rPr>
      </w:pPr>
    </w:p>
    <w:p w14:paraId="6C6C3144" w14:textId="77777777" w:rsidR="00471BF0" w:rsidRDefault="00471BF0" w:rsidP="00461B2C">
      <w:pPr>
        <w:spacing w:after="0" w:line="276" w:lineRule="auto"/>
        <w:jc w:val="right"/>
        <w:rPr>
          <w:rFonts w:ascii="Times New Roman" w:hAnsi="Times New Roman" w:cs="Times New Roman"/>
          <w:b/>
          <w:i/>
          <w:color w:val="000000" w:themeColor="text1"/>
        </w:rPr>
      </w:pPr>
    </w:p>
    <w:p w14:paraId="4E996DBF" w14:textId="77777777" w:rsidR="004C5D6A" w:rsidRDefault="00471BF0" w:rsidP="00471BF0">
      <w:pPr>
        <w:spacing w:after="0" w:line="276"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                                                                                                                                                      </w:t>
      </w:r>
    </w:p>
    <w:p w14:paraId="10F9C2AE" w14:textId="77777777" w:rsidR="004C5D6A" w:rsidRDefault="004C5D6A" w:rsidP="00471BF0">
      <w:pPr>
        <w:spacing w:after="0" w:line="276" w:lineRule="auto"/>
        <w:jc w:val="center"/>
        <w:rPr>
          <w:rFonts w:ascii="Times New Roman" w:hAnsi="Times New Roman" w:cs="Times New Roman"/>
          <w:b/>
          <w:i/>
          <w:color w:val="000000" w:themeColor="text1"/>
        </w:rPr>
      </w:pPr>
    </w:p>
    <w:p w14:paraId="0DAAFF08" w14:textId="3300CDDB" w:rsidR="00471BF0" w:rsidRDefault="004C5D6A" w:rsidP="00471BF0">
      <w:pPr>
        <w:spacing w:after="0" w:line="276" w:lineRule="auto"/>
        <w:jc w:val="center"/>
        <w:rPr>
          <w:rFonts w:asciiTheme="majorHAnsi" w:hAnsiTheme="majorHAnsi" w:cstheme="majorHAnsi"/>
          <w:i/>
          <w:color w:val="000000" w:themeColor="text1"/>
          <w:sz w:val="24"/>
          <w:szCs w:val="24"/>
        </w:rPr>
      </w:pPr>
      <w:r>
        <w:rPr>
          <w:rFonts w:ascii="Times New Roman" w:hAnsi="Times New Roman" w:cs="Times New Roman"/>
          <w:b/>
          <w:i/>
          <w:color w:val="000000" w:themeColor="text1"/>
        </w:rPr>
        <w:lastRenderedPageBreak/>
        <w:t xml:space="preserve">                                                                                                                                                 </w:t>
      </w:r>
      <w:r w:rsidR="00471BF0">
        <w:rPr>
          <w:rFonts w:ascii="Times New Roman" w:hAnsi="Times New Roman" w:cs="Times New Roman"/>
          <w:b/>
          <w:i/>
          <w:color w:val="000000" w:themeColor="text1"/>
        </w:rPr>
        <w:t xml:space="preserve"> </w:t>
      </w:r>
      <w:r w:rsidR="00645374" w:rsidRPr="00645374">
        <w:rPr>
          <w:rFonts w:ascii="Times New Roman" w:hAnsi="Times New Roman" w:cs="Times New Roman"/>
          <w:b/>
          <w:i/>
          <w:color w:val="000000" w:themeColor="text1"/>
        </w:rPr>
        <w:t>Figura</w:t>
      </w:r>
      <w:r w:rsidR="003701A9" w:rsidRPr="00645374">
        <w:rPr>
          <w:rFonts w:ascii="Times New Roman" w:hAnsi="Times New Roman" w:cs="Times New Roman"/>
          <w:b/>
          <w:i/>
          <w:color w:val="000000" w:themeColor="text1"/>
        </w:rPr>
        <w:t xml:space="preserve"> nr.1</w:t>
      </w:r>
      <w:r w:rsidR="00F7242E" w:rsidRPr="00E30132">
        <w:rPr>
          <w:rFonts w:asciiTheme="majorHAnsi" w:hAnsiTheme="majorHAnsi" w:cstheme="majorHAnsi"/>
          <w:i/>
          <w:color w:val="000000" w:themeColor="text1"/>
          <w:sz w:val="24"/>
          <w:szCs w:val="24"/>
        </w:rPr>
        <w:t xml:space="preserve"> </w:t>
      </w:r>
    </w:p>
    <w:p w14:paraId="74069D29" w14:textId="77777777" w:rsidR="00471BF0" w:rsidRDefault="00471BF0" w:rsidP="00471BF0">
      <w:pPr>
        <w:spacing w:after="0" w:line="276" w:lineRule="auto"/>
        <w:jc w:val="center"/>
        <w:rPr>
          <w:rFonts w:asciiTheme="majorHAnsi" w:hAnsiTheme="majorHAnsi" w:cstheme="majorHAnsi"/>
          <w:i/>
          <w:color w:val="000000" w:themeColor="text1"/>
          <w:sz w:val="24"/>
          <w:szCs w:val="24"/>
        </w:rPr>
      </w:pPr>
      <w:r>
        <w:rPr>
          <w:noProof/>
          <w:lang w:val="en-US"/>
        </w:rPr>
        <w:drawing>
          <wp:inline distT="0" distB="0" distL="0" distR="0" wp14:anchorId="79F50F56" wp14:editId="495A4F7A">
            <wp:extent cx="5989955" cy="2466196"/>
            <wp:effectExtent l="0" t="0" r="10795" b="1079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C82422" w14:textId="77777777" w:rsidR="006049D5" w:rsidRPr="004D2FF7" w:rsidRDefault="00471BF0" w:rsidP="008C1B8F">
      <w:pPr>
        <w:spacing w:after="120" w:line="276" w:lineRule="auto"/>
        <w:jc w:val="both"/>
        <w:rPr>
          <w:rFonts w:ascii="Times New Roman" w:hAnsi="Times New Roman" w:cs="Times New Roman"/>
          <w:b/>
          <w:i/>
          <w:color w:val="000000" w:themeColor="text1"/>
          <w:sz w:val="18"/>
          <w:szCs w:val="18"/>
        </w:rPr>
      </w:pPr>
      <w:r>
        <w:rPr>
          <w:rFonts w:ascii="Times New Roman" w:hAnsi="Times New Roman" w:cs="Times New Roman"/>
          <w:b/>
          <w:i/>
          <w:color w:val="000000" w:themeColor="text1"/>
          <w:sz w:val="18"/>
          <w:szCs w:val="18"/>
        </w:rPr>
        <w:t xml:space="preserve">    </w:t>
      </w:r>
      <w:r w:rsidR="006049D5" w:rsidRPr="004D2FF7">
        <w:rPr>
          <w:rFonts w:ascii="Times New Roman" w:hAnsi="Times New Roman" w:cs="Times New Roman"/>
          <w:b/>
          <w:i/>
          <w:color w:val="000000" w:themeColor="text1"/>
          <w:sz w:val="18"/>
          <w:szCs w:val="18"/>
        </w:rPr>
        <w:t xml:space="preserve">Sursa: </w:t>
      </w:r>
      <w:r w:rsidR="006049D5" w:rsidRPr="004D2FF7">
        <w:rPr>
          <w:rFonts w:ascii="Times New Roman" w:hAnsi="Times New Roman" w:cs="Times New Roman"/>
          <w:i/>
          <w:color w:val="000000" w:themeColor="text1"/>
          <w:sz w:val="18"/>
          <w:szCs w:val="18"/>
        </w:rPr>
        <w:t>Date generalizate de</w:t>
      </w:r>
      <w:r w:rsidR="00215DC0">
        <w:rPr>
          <w:rFonts w:ascii="Times New Roman" w:hAnsi="Times New Roman" w:cs="Times New Roman"/>
          <w:i/>
          <w:color w:val="000000" w:themeColor="text1"/>
          <w:sz w:val="18"/>
          <w:szCs w:val="18"/>
        </w:rPr>
        <w:t xml:space="preserve"> către echipa de</w:t>
      </w:r>
      <w:r w:rsidR="006049D5" w:rsidRPr="004D2FF7">
        <w:rPr>
          <w:rFonts w:ascii="Times New Roman" w:hAnsi="Times New Roman" w:cs="Times New Roman"/>
          <w:i/>
          <w:color w:val="000000" w:themeColor="text1"/>
          <w:sz w:val="18"/>
          <w:szCs w:val="18"/>
        </w:rPr>
        <w:t xml:space="preserve"> audit conform Rapoartelor privind executarea bugetelor pe anii 2018-2022.</w:t>
      </w:r>
    </w:p>
    <w:p w14:paraId="651EF81A" w14:textId="490320A5" w:rsidR="005C5DB6" w:rsidRPr="004D2FF7" w:rsidRDefault="006049D5" w:rsidP="008C1B8F">
      <w:pPr>
        <w:spacing w:after="120" w:line="276" w:lineRule="auto"/>
        <w:jc w:val="both"/>
        <w:rPr>
          <w:rFonts w:ascii="Times New Roman" w:hAnsi="Times New Roman" w:cs="Times New Roman"/>
          <w:color w:val="000000" w:themeColor="text1"/>
          <w:sz w:val="24"/>
          <w:szCs w:val="24"/>
        </w:rPr>
      </w:pPr>
      <w:r w:rsidRPr="004D2FF7">
        <w:rPr>
          <w:rFonts w:ascii="Times New Roman" w:hAnsi="Times New Roman" w:cs="Times New Roman"/>
          <w:color w:val="000000" w:themeColor="text1"/>
          <w:sz w:val="24"/>
          <w:szCs w:val="24"/>
        </w:rPr>
        <w:t xml:space="preserve">Potrivit datelor prezentate în </w:t>
      </w:r>
      <w:r w:rsidR="00672449">
        <w:rPr>
          <w:rFonts w:ascii="Times New Roman" w:hAnsi="Times New Roman" w:cs="Times New Roman"/>
          <w:color w:val="000000" w:themeColor="text1"/>
          <w:sz w:val="24"/>
          <w:szCs w:val="24"/>
        </w:rPr>
        <w:t>Figura nr.1</w:t>
      </w:r>
      <w:r w:rsidRPr="004D2FF7">
        <w:rPr>
          <w:rFonts w:ascii="Times New Roman" w:hAnsi="Times New Roman" w:cs="Times New Roman"/>
          <w:color w:val="000000" w:themeColor="text1"/>
          <w:sz w:val="24"/>
          <w:szCs w:val="24"/>
        </w:rPr>
        <w:t>, execuția de ansamblu a cheltuielilor de casă a fost sub nivelul alocațiilor precizate</w:t>
      </w:r>
      <w:r w:rsidR="006720BC" w:rsidRPr="004D2FF7">
        <w:rPr>
          <w:rFonts w:ascii="Times New Roman" w:hAnsi="Times New Roman" w:cs="Times New Roman"/>
          <w:color w:val="000000" w:themeColor="text1"/>
          <w:sz w:val="24"/>
          <w:szCs w:val="24"/>
        </w:rPr>
        <w:t xml:space="preserve"> cu suma de 5</w:t>
      </w:r>
      <w:r w:rsidR="00B71FDB">
        <w:rPr>
          <w:rFonts w:ascii="Times New Roman" w:hAnsi="Times New Roman" w:cs="Times New Roman"/>
          <w:color w:val="000000" w:themeColor="text1"/>
          <w:sz w:val="24"/>
          <w:szCs w:val="24"/>
        </w:rPr>
        <w:t>.</w:t>
      </w:r>
      <w:r w:rsidR="006720BC" w:rsidRPr="004D2FF7">
        <w:rPr>
          <w:rFonts w:ascii="Times New Roman" w:hAnsi="Times New Roman" w:cs="Times New Roman"/>
          <w:color w:val="000000" w:themeColor="text1"/>
          <w:sz w:val="24"/>
          <w:szCs w:val="24"/>
        </w:rPr>
        <w:t>8</w:t>
      </w:r>
      <w:r w:rsidR="008109F0" w:rsidRPr="004D2FF7">
        <w:rPr>
          <w:rFonts w:ascii="Times New Roman" w:hAnsi="Times New Roman" w:cs="Times New Roman"/>
          <w:color w:val="000000" w:themeColor="text1"/>
          <w:sz w:val="24"/>
          <w:szCs w:val="24"/>
        </w:rPr>
        <w:t>42,2</w:t>
      </w:r>
      <w:r w:rsidR="006720BC" w:rsidRPr="004D2FF7">
        <w:rPr>
          <w:rFonts w:ascii="Times New Roman" w:hAnsi="Times New Roman" w:cs="Times New Roman"/>
          <w:color w:val="000000" w:themeColor="text1"/>
          <w:sz w:val="24"/>
          <w:szCs w:val="24"/>
        </w:rPr>
        <w:t xml:space="preserve"> mi</w:t>
      </w:r>
      <w:r w:rsidR="00F70A5B">
        <w:rPr>
          <w:rFonts w:ascii="Times New Roman" w:hAnsi="Times New Roman" w:cs="Times New Roman"/>
          <w:color w:val="000000" w:themeColor="text1"/>
          <w:sz w:val="24"/>
          <w:szCs w:val="24"/>
        </w:rPr>
        <w:t>i</w:t>
      </w:r>
      <w:r w:rsidR="006720BC" w:rsidRPr="004D2FF7">
        <w:rPr>
          <w:rFonts w:ascii="Times New Roman" w:hAnsi="Times New Roman" w:cs="Times New Roman"/>
          <w:color w:val="000000" w:themeColor="text1"/>
          <w:sz w:val="24"/>
          <w:szCs w:val="24"/>
        </w:rPr>
        <w:t xml:space="preserve"> lei</w:t>
      </w:r>
      <w:r w:rsidRPr="004D2FF7">
        <w:rPr>
          <w:rFonts w:ascii="Times New Roman" w:hAnsi="Times New Roman" w:cs="Times New Roman"/>
          <w:color w:val="000000" w:themeColor="text1"/>
          <w:sz w:val="24"/>
          <w:szCs w:val="24"/>
        </w:rPr>
        <w:t>, această tendință fiind înregistrată pe întreaga perioadă  supusă verificărilor</w:t>
      </w:r>
      <w:r w:rsidR="00E76C25" w:rsidRPr="004D2FF7">
        <w:rPr>
          <w:rFonts w:ascii="Times New Roman" w:hAnsi="Times New Roman" w:cs="Times New Roman"/>
          <w:color w:val="000000" w:themeColor="text1"/>
          <w:sz w:val="24"/>
          <w:szCs w:val="24"/>
        </w:rPr>
        <w:t>.</w:t>
      </w:r>
      <w:r w:rsidRPr="004D2FF7">
        <w:rPr>
          <w:rFonts w:ascii="Times New Roman" w:hAnsi="Times New Roman" w:cs="Times New Roman"/>
          <w:color w:val="000000" w:themeColor="text1"/>
          <w:sz w:val="24"/>
          <w:szCs w:val="24"/>
        </w:rPr>
        <w:t xml:space="preserve"> Astfel, nivelul de execuție a cheltuielilor de casă, comparativ cu alocațiile bugetare precizate </w:t>
      </w:r>
      <w:r w:rsidR="005C5DB6" w:rsidRPr="004D2FF7">
        <w:rPr>
          <w:rFonts w:ascii="Times New Roman" w:hAnsi="Times New Roman" w:cs="Times New Roman"/>
          <w:color w:val="000000" w:themeColor="text1"/>
          <w:sz w:val="24"/>
          <w:szCs w:val="24"/>
        </w:rPr>
        <w:t>CNPDCP</w:t>
      </w:r>
      <w:r w:rsidRPr="004D2FF7">
        <w:rPr>
          <w:rFonts w:ascii="Times New Roman" w:hAnsi="Times New Roman" w:cs="Times New Roman"/>
          <w:color w:val="000000" w:themeColor="text1"/>
          <w:sz w:val="24"/>
          <w:szCs w:val="24"/>
        </w:rPr>
        <w:t xml:space="preserve"> în anul 2018</w:t>
      </w:r>
      <w:r w:rsidR="00830D99" w:rsidRPr="004D2FF7">
        <w:rPr>
          <w:rFonts w:ascii="Times New Roman" w:hAnsi="Times New Roman" w:cs="Times New Roman"/>
          <w:color w:val="000000" w:themeColor="text1"/>
          <w:sz w:val="24"/>
          <w:szCs w:val="24"/>
        </w:rPr>
        <w:t>,</w:t>
      </w:r>
      <w:r w:rsidRPr="004D2FF7">
        <w:rPr>
          <w:rFonts w:ascii="Times New Roman" w:hAnsi="Times New Roman" w:cs="Times New Roman"/>
          <w:color w:val="000000" w:themeColor="text1"/>
          <w:sz w:val="24"/>
          <w:szCs w:val="24"/>
        </w:rPr>
        <w:t xml:space="preserve">  a constituit </w:t>
      </w:r>
      <w:r w:rsidR="00953854" w:rsidRPr="004D2FF7">
        <w:rPr>
          <w:rFonts w:ascii="Times New Roman" w:hAnsi="Times New Roman" w:cs="Times New Roman"/>
          <w:color w:val="000000" w:themeColor="text1"/>
          <w:sz w:val="24"/>
          <w:szCs w:val="24"/>
        </w:rPr>
        <w:t>7</w:t>
      </w:r>
      <w:r w:rsidR="00BD2A8C" w:rsidRPr="004D2FF7">
        <w:rPr>
          <w:rFonts w:ascii="Times New Roman" w:hAnsi="Times New Roman" w:cs="Times New Roman"/>
          <w:color w:val="000000" w:themeColor="text1"/>
          <w:sz w:val="24"/>
          <w:szCs w:val="24"/>
        </w:rPr>
        <w:t>3,3</w:t>
      </w:r>
      <w:r w:rsidRPr="004D2FF7">
        <w:rPr>
          <w:rFonts w:ascii="Times New Roman" w:hAnsi="Times New Roman" w:cs="Times New Roman"/>
          <w:color w:val="000000" w:themeColor="text1"/>
          <w:sz w:val="24"/>
          <w:szCs w:val="24"/>
        </w:rPr>
        <w:t xml:space="preserve">%, în anul 2019 </w:t>
      </w:r>
      <w:r w:rsidR="00B71FDB">
        <w:rPr>
          <w:rFonts w:ascii="Times New Roman" w:hAnsi="Times New Roman" w:cs="Times New Roman"/>
          <w:color w:val="000000" w:themeColor="text1"/>
          <w:sz w:val="24"/>
          <w:szCs w:val="24"/>
        </w:rPr>
        <w:t>–</w:t>
      </w:r>
      <w:r w:rsidRPr="004D2FF7">
        <w:rPr>
          <w:rFonts w:ascii="Times New Roman" w:hAnsi="Times New Roman" w:cs="Times New Roman"/>
          <w:color w:val="000000" w:themeColor="text1"/>
          <w:sz w:val="24"/>
          <w:szCs w:val="24"/>
        </w:rPr>
        <w:t xml:space="preserve"> 8</w:t>
      </w:r>
      <w:r w:rsidR="00953854" w:rsidRPr="004D2FF7">
        <w:rPr>
          <w:rFonts w:ascii="Times New Roman" w:hAnsi="Times New Roman" w:cs="Times New Roman"/>
          <w:color w:val="000000" w:themeColor="text1"/>
          <w:sz w:val="24"/>
          <w:szCs w:val="24"/>
        </w:rPr>
        <w:t>7,0</w:t>
      </w:r>
      <w:r w:rsidRPr="004D2FF7">
        <w:rPr>
          <w:rFonts w:ascii="Times New Roman" w:hAnsi="Times New Roman" w:cs="Times New Roman"/>
          <w:color w:val="000000" w:themeColor="text1"/>
          <w:sz w:val="24"/>
          <w:szCs w:val="24"/>
        </w:rPr>
        <w:t xml:space="preserve">%, în anul 2020 </w:t>
      </w:r>
      <w:r w:rsidR="00B71FDB">
        <w:rPr>
          <w:rFonts w:ascii="Times New Roman" w:hAnsi="Times New Roman" w:cs="Times New Roman"/>
          <w:color w:val="000000" w:themeColor="text1"/>
          <w:sz w:val="24"/>
          <w:szCs w:val="24"/>
        </w:rPr>
        <w:t>–</w:t>
      </w:r>
      <w:r w:rsidRPr="004D2FF7">
        <w:rPr>
          <w:rFonts w:ascii="Times New Roman" w:hAnsi="Times New Roman" w:cs="Times New Roman"/>
          <w:color w:val="000000" w:themeColor="text1"/>
          <w:sz w:val="24"/>
          <w:szCs w:val="24"/>
        </w:rPr>
        <w:t xml:space="preserve"> 9</w:t>
      </w:r>
      <w:r w:rsidR="00953854" w:rsidRPr="004D2FF7">
        <w:rPr>
          <w:rFonts w:ascii="Times New Roman" w:hAnsi="Times New Roman" w:cs="Times New Roman"/>
          <w:color w:val="000000" w:themeColor="text1"/>
          <w:sz w:val="24"/>
          <w:szCs w:val="24"/>
        </w:rPr>
        <w:t>0</w:t>
      </w:r>
      <w:r w:rsidRPr="004D2FF7">
        <w:rPr>
          <w:rFonts w:ascii="Times New Roman" w:hAnsi="Times New Roman" w:cs="Times New Roman"/>
          <w:color w:val="000000" w:themeColor="text1"/>
          <w:sz w:val="24"/>
          <w:szCs w:val="24"/>
        </w:rPr>
        <w:t>,</w:t>
      </w:r>
      <w:r w:rsidR="00953854" w:rsidRPr="004D2FF7">
        <w:rPr>
          <w:rFonts w:ascii="Times New Roman" w:hAnsi="Times New Roman" w:cs="Times New Roman"/>
          <w:color w:val="000000" w:themeColor="text1"/>
          <w:sz w:val="24"/>
          <w:szCs w:val="24"/>
        </w:rPr>
        <w:t>4</w:t>
      </w:r>
      <w:r w:rsidRPr="004D2FF7">
        <w:rPr>
          <w:rFonts w:ascii="Times New Roman" w:hAnsi="Times New Roman" w:cs="Times New Roman"/>
          <w:color w:val="000000" w:themeColor="text1"/>
          <w:sz w:val="24"/>
          <w:szCs w:val="24"/>
        </w:rPr>
        <w:t xml:space="preserve"> %, în anul 2021 </w:t>
      </w:r>
      <w:r w:rsidR="00B71FDB">
        <w:rPr>
          <w:rFonts w:ascii="Times New Roman" w:hAnsi="Times New Roman" w:cs="Times New Roman"/>
          <w:color w:val="000000" w:themeColor="text1"/>
          <w:sz w:val="24"/>
          <w:szCs w:val="24"/>
        </w:rPr>
        <w:t>–</w:t>
      </w:r>
      <w:r w:rsidRPr="004D2FF7">
        <w:rPr>
          <w:rFonts w:ascii="Times New Roman" w:hAnsi="Times New Roman" w:cs="Times New Roman"/>
          <w:color w:val="000000" w:themeColor="text1"/>
          <w:sz w:val="24"/>
          <w:szCs w:val="24"/>
        </w:rPr>
        <w:t xml:space="preserve"> 92,</w:t>
      </w:r>
      <w:r w:rsidR="005D12F5" w:rsidRPr="004D2FF7">
        <w:rPr>
          <w:rFonts w:ascii="Times New Roman" w:hAnsi="Times New Roman" w:cs="Times New Roman"/>
          <w:color w:val="000000" w:themeColor="text1"/>
          <w:sz w:val="24"/>
          <w:szCs w:val="24"/>
        </w:rPr>
        <w:t>6</w:t>
      </w:r>
      <w:r w:rsidRPr="004D2FF7">
        <w:rPr>
          <w:rFonts w:ascii="Times New Roman" w:hAnsi="Times New Roman" w:cs="Times New Roman"/>
          <w:color w:val="000000" w:themeColor="text1"/>
          <w:sz w:val="24"/>
          <w:szCs w:val="24"/>
        </w:rPr>
        <w:t>%</w:t>
      </w:r>
      <w:r w:rsidR="00830D99" w:rsidRPr="004D2FF7">
        <w:rPr>
          <w:rFonts w:ascii="Times New Roman" w:hAnsi="Times New Roman" w:cs="Times New Roman"/>
          <w:color w:val="000000" w:themeColor="text1"/>
          <w:sz w:val="24"/>
          <w:szCs w:val="24"/>
        </w:rPr>
        <w:t>,</w:t>
      </w:r>
      <w:r w:rsidRPr="004D2FF7">
        <w:rPr>
          <w:rFonts w:ascii="Times New Roman" w:hAnsi="Times New Roman" w:cs="Times New Roman"/>
          <w:color w:val="000000" w:themeColor="text1"/>
          <w:sz w:val="24"/>
          <w:szCs w:val="24"/>
        </w:rPr>
        <w:t xml:space="preserve"> și în anul 2022 </w:t>
      </w:r>
      <w:r w:rsidR="00B71FDB">
        <w:rPr>
          <w:rFonts w:ascii="Times New Roman" w:hAnsi="Times New Roman" w:cs="Times New Roman"/>
          <w:color w:val="000000" w:themeColor="text1"/>
          <w:sz w:val="24"/>
          <w:szCs w:val="24"/>
        </w:rPr>
        <w:t>–</w:t>
      </w:r>
      <w:r w:rsidRPr="004D2FF7">
        <w:rPr>
          <w:rFonts w:ascii="Times New Roman" w:hAnsi="Times New Roman" w:cs="Times New Roman"/>
          <w:color w:val="000000" w:themeColor="text1"/>
          <w:sz w:val="24"/>
          <w:szCs w:val="24"/>
        </w:rPr>
        <w:t xml:space="preserve"> </w:t>
      </w:r>
      <w:r w:rsidR="005D12F5" w:rsidRPr="004D2FF7">
        <w:rPr>
          <w:rFonts w:ascii="Times New Roman" w:hAnsi="Times New Roman" w:cs="Times New Roman"/>
          <w:color w:val="000000" w:themeColor="text1"/>
          <w:sz w:val="24"/>
          <w:szCs w:val="24"/>
        </w:rPr>
        <w:t>89,6</w:t>
      </w:r>
      <w:r w:rsidRPr="004D2FF7">
        <w:rPr>
          <w:rFonts w:ascii="Times New Roman" w:hAnsi="Times New Roman" w:cs="Times New Roman"/>
          <w:color w:val="000000" w:themeColor="text1"/>
          <w:sz w:val="24"/>
          <w:szCs w:val="24"/>
        </w:rPr>
        <w:t xml:space="preserve">%. </w:t>
      </w:r>
    </w:p>
    <w:p w14:paraId="7020EFC9" w14:textId="1066526C" w:rsidR="000C3FB5" w:rsidRPr="004D2FF7" w:rsidRDefault="0045138E" w:rsidP="008C1B8F">
      <w:pPr>
        <w:spacing w:after="120" w:line="276" w:lineRule="auto"/>
        <w:jc w:val="both"/>
        <w:rPr>
          <w:rFonts w:ascii="Times New Roman" w:hAnsi="Times New Roman" w:cs="Times New Roman"/>
          <w:color w:val="000000" w:themeColor="text1"/>
          <w:sz w:val="24"/>
          <w:szCs w:val="24"/>
        </w:rPr>
      </w:pPr>
      <w:r w:rsidRPr="004D2FF7">
        <w:rPr>
          <w:rFonts w:ascii="Times New Roman" w:hAnsi="Times New Roman" w:cs="Times New Roman"/>
          <w:color w:val="000000" w:themeColor="text1"/>
          <w:sz w:val="24"/>
          <w:szCs w:val="24"/>
        </w:rPr>
        <w:t>Neva</w:t>
      </w:r>
      <w:r w:rsidR="006049D5" w:rsidRPr="004D2FF7">
        <w:rPr>
          <w:rFonts w:ascii="Times New Roman" w:hAnsi="Times New Roman" w:cs="Times New Roman"/>
          <w:color w:val="000000" w:themeColor="text1"/>
          <w:sz w:val="24"/>
          <w:szCs w:val="24"/>
        </w:rPr>
        <w:t xml:space="preserve">lorificarea alocațiilor bugetare </w:t>
      </w:r>
      <w:r w:rsidRPr="004D2FF7">
        <w:rPr>
          <w:rFonts w:ascii="Times New Roman" w:hAnsi="Times New Roman" w:cs="Times New Roman"/>
          <w:color w:val="000000" w:themeColor="text1"/>
          <w:sz w:val="24"/>
          <w:szCs w:val="24"/>
        </w:rPr>
        <w:t xml:space="preserve">în </w:t>
      </w:r>
      <w:r w:rsidR="00A807CB" w:rsidRPr="004D2FF7">
        <w:rPr>
          <w:rFonts w:ascii="Times New Roman" w:hAnsi="Times New Roman" w:cs="Times New Roman"/>
          <w:color w:val="000000" w:themeColor="text1"/>
          <w:sz w:val="24"/>
          <w:szCs w:val="24"/>
        </w:rPr>
        <w:t>sum</w:t>
      </w:r>
      <w:r w:rsidR="00C607FC">
        <w:rPr>
          <w:rFonts w:ascii="Times New Roman" w:hAnsi="Times New Roman" w:cs="Times New Roman"/>
          <w:color w:val="000000" w:themeColor="text1"/>
          <w:sz w:val="24"/>
          <w:szCs w:val="24"/>
        </w:rPr>
        <w:t>ă</w:t>
      </w:r>
      <w:r w:rsidR="00A807CB" w:rsidRPr="004D2FF7">
        <w:rPr>
          <w:rFonts w:ascii="Times New Roman" w:hAnsi="Times New Roman" w:cs="Times New Roman"/>
          <w:color w:val="000000" w:themeColor="text1"/>
          <w:sz w:val="24"/>
          <w:szCs w:val="24"/>
        </w:rPr>
        <w:t xml:space="preserve"> de 5</w:t>
      </w:r>
      <w:r w:rsidR="00C607FC">
        <w:rPr>
          <w:rFonts w:ascii="Times New Roman" w:hAnsi="Times New Roman" w:cs="Times New Roman"/>
          <w:color w:val="000000" w:themeColor="text1"/>
          <w:sz w:val="24"/>
          <w:szCs w:val="24"/>
        </w:rPr>
        <w:t>.</w:t>
      </w:r>
      <w:r w:rsidR="00A807CB" w:rsidRPr="004D2FF7">
        <w:rPr>
          <w:rFonts w:ascii="Times New Roman" w:hAnsi="Times New Roman" w:cs="Times New Roman"/>
          <w:color w:val="000000" w:themeColor="text1"/>
          <w:sz w:val="24"/>
          <w:szCs w:val="24"/>
        </w:rPr>
        <w:t>842,2 mi</w:t>
      </w:r>
      <w:r w:rsidR="00F70A5B">
        <w:rPr>
          <w:rFonts w:ascii="Times New Roman" w:hAnsi="Times New Roman" w:cs="Times New Roman"/>
          <w:color w:val="000000" w:themeColor="text1"/>
          <w:sz w:val="24"/>
          <w:szCs w:val="24"/>
        </w:rPr>
        <w:t>i</w:t>
      </w:r>
      <w:r w:rsidR="00A807CB" w:rsidRPr="004D2FF7">
        <w:rPr>
          <w:rFonts w:ascii="Times New Roman" w:hAnsi="Times New Roman" w:cs="Times New Roman"/>
          <w:color w:val="000000" w:themeColor="text1"/>
          <w:sz w:val="24"/>
          <w:szCs w:val="24"/>
        </w:rPr>
        <w:t xml:space="preserve"> lei</w:t>
      </w:r>
      <w:r w:rsidR="006049D5" w:rsidRPr="004D2FF7">
        <w:rPr>
          <w:rFonts w:ascii="Times New Roman" w:hAnsi="Times New Roman" w:cs="Times New Roman"/>
          <w:color w:val="000000" w:themeColor="text1"/>
          <w:sz w:val="24"/>
          <w:szCs w:val="24"/>
        </w:rPr>
        <w:t xml:space="preserve"> se explică prin soldul de mijloace neutilizate preponderent </w:t>
      </w:r>
      <w:r w:rsidR="008E3939" w:rsidRPr="004D2FF7">
        <w:rPr>
          <w:rFonts w:ascii="Times New Roman" w:hAnsi="Times New Roman" w:cs="Times New Roman"/>
          <w:color w:val="000000" w:themeColor="text1"/>
          <w:sz w:val="24"/>
          <w:szCs w:val="24"/>
        </w:rPr>
        <w:t>pentru plata</w:t>
      </w:r>
      <w:r w:rsidR="00CF2B73" w:rsidRPr="004D2FF7">
        <w:rPr>
          <w:rFonts w:ascii="Times New Roman" w:hAnsi="Times New Roman" w:cs="Times New Roman"/>
          <w:color w:val="000000" w:themeColor="text1"/>
          <w:sz w:val="24"/>
          <w:szCs w:val="24"/>
        </w:rPr>
        <w:t xml:space="preserve"> </w:t>
      </w:r>
      <w:r w:rsidR="008E3939" w:rsidRPr="004D2FF7">
        <w:rPr>
          <w:rFonts w:ascii="Times New Roman" w:hAnsi="Times New Roman" w:cs="Times New Roman"/>
          <w:color w:val="000000" w:themeColor="text1"/>
          <w:sz w:val="24"/>
          <w:szCs w:val="24"/>
        </w:rPr>
        <w:t>s</w:t>
      </w:r>
      <w:r w:rsidR="00CF2B73" w:rsidRPr="004D2FF7">
        <w:rPr>
          <w:rFonts w:ascii="Times New Roman" w:hAnsi="Times New Roman" w:cs="Times New Roman"/>
          <w:color w:val="000000" w:themeColor="text1"/>
          <w:sz w:val="24"/>
          <w:szCs w:val="24"/>
        </w:rPr>
        <w:t>ervicii</w:t>
      </w:r>
      <w:r w:rsidR="008E3939" w:rsidRPr="004D2FF7">
        <w:rPr>
          <w:rFonts w:ascii="Times New Roman" w:hAnsi="Times New Roman" w:cs="Times New Roman"/>
          <w:color w:val="000000" w:themeColor="text1"/>
          <w:sz w:val="24"/>
          <w:szCs w:val="24"/>
        </w:rPr>
        <w:t>lor</w:t>
      </w:r>
      <w:r w:rsidR="00C607FC">
        <w:rPr>
          <w:rFonts w:ascii="Times New Roman" w:hAnsi="Times New Roman" w:cs="Times New Roman"/>
          <w:color w:val="000000" w:themeColor="text1"/>
          <w:sz w:val="24"/>
          <w:szCs w:val="24"/>
        </w:rPr>
        <w:t xml:space="preserve"> în sumă de</w:t>
      </w:r>
      <w:r w:rsidR="00CF2B73" w:rsidRPr="004D2FF7">
        <w:rPr>
          <w:rFonts w:ascii="Times New Roman" w:hAnsi="Times New Roman" w:cs="Times New Roman"/>
          <w:color w:val="000000" w:themeColor="text1"/>
          <w:sz w:val="24"/>
          <w:szCs w:val="24"/>
        </w:rPr>
        <w:t xml:space="preserve"> </w:t>
      </w:r>
      <w:r w:rsidR="008E3939" w:rsidRPr="004D2FF7">
        <w:rPr>
          <w:rFonts w:ascii="Times New Roman" w:hAnsi="Times New Roman" w:cs="Times New Roman"/>
          <w:color w:val="000000" w:themeColor="text1"/>
          <w:sz w:val="24"/>
          <w:szCs w:val="24"/>
        </w:rPr>
        <w:t>2</w:t>
      </w:r>
      <w:r w:rsidR="00C607FC">
        <w:rPr>
          <w:rFonts w:ascii="Times New Roman" w:hAnsi="Times New Roman" w:cs="Times New Roman"/>
          <w:color w:val="000000" w:themeColor="text1"/>
          <w:sz w:val="24"/>
          <w:szCs w:val="24"/>
        </w:rPr>
        <w:t>.</w:t>
      </w:r>
      <w:r w:rsidR="008E3939" w:rsidRPr="004D2FF7">
        <w:rPr>
          <w:rFonts w:ascii="Times New Roman" w:hAnsi="Times New Roman" w:cs="Times New Roman"/>
          <w:color w:val="000000" w:themeColor="text1"/>
          <w:sz w:val="24"/>
          <w:szCs w:val="24"/>
        </w:rPr>
        <w:t>975,2</w:t>
      </w:r>
      <w:r w:rsidR="00CF2B73" w:rsidRPr="004D2FF7">
        <w:rPr>
          <w:rFonts w:ascii="Times New Roman" w:hAnsi="Times New Roman" w:cs="Times New Roman"/>
          <w:color w:val="000000" w:themeColor="text1"/>
          <w:sz w:val="24"/>
          <w:szCs w:val="24"/>
        </w:rPr>
        <w:t xml:space="preserve"> mii lei (</w:t>
      </w:r>
      <w:r w:rsidR="008E3939" w:rsidRPr="004D2FF7">
        <w:rPr>
          <w:rFonts w:ascii="Times New Roman" w:hAnsi="Times New Roman" w:cs="Times New Roman"/>
          <w:color w:val="000000" w:themeColor="text1"/>
          <w:sz w:val="24"/>
          <w:szCs w:val="24"/>
        </w:rPr>
        <w:t>50,9</w:t>
      </w:r>
      <w:r w:rsidR="00CF2B73" w:rsidRPr="004D2FF7">
        <w:rPr>
          <w:rFonts w:ascii="Times New Roman" w:hAnsi="Times New Roman" w:cs="Times New Roman"/>
          <w:color w:val="000000" w:themeColor="text1"/>
          <w:sz w:val="24"/>
          <w:szCs w:val="24"/>
        </w:rPr>
        <w:t>% din suma nevalorificată)</w:t>
      </w:r>
      <w:r w:rsidR="008E3939" w:rsidRPr="004D2FF7">
        <w:rPr>
          <w:rFonts w:ascii="Times New Roman" w:hAnsi="Times New Roman" w:cs="Times New Roman"/>
          <w:color w:val="000000" w:themeColor="text1"/>
          <w:sz w:val="24"/>
          <w:szCs w:val="24"/>
        </w:rPr>
        <w:t xml:space="preserve"> format în legătură cu nevalorificarea alocațiilor</w:t>
      </w:r>
      <w:r w:rsidR="00841E49" w:rsidRPr="004D2FF7">
        <w:rPr>
          <w:rFonts w:ascii="Times New Roman" w:hAnsi="Times New Roman" w:cs="Times New Roman"/>
          <w:color w:val="000000" w:themeColor="text1"/>
          <w:sz w:val="24"/>
          <w:szCs w:val="24"/>
        </w:rPr>
        <w:t xml:space="preserve"> pentru servicii</w:t>
      </w:r>
      <w:r w:rsidR="00C607FC">
        <w:rPr>
          <w:rFonts w:ascii="Times New Roman" w:hAnsi="Times New Roman" w:cs="Times New Roman"/>
          <w:color w:val="000000" w:themeColor="text1"/>
          <w:sz w:val="24"/>
          <w:szCs w:val="24"/>
        </w:rPr>
        <w:t>le</w:t>
      </w:r>
      <w:r w:rsidR="00841E49" w:rsidRPr="004D2FF7">
        <w:rPr>
          <w:rFonts w:ascii="Times New Roman" w:hAnsi="Times New Roman" w:cs="Times New Roman"/>
          <w:color w:val="000000" w:themeColor="text1"/>
          <w:sz w:val="24"/>
          <w:szCs w:val="24"/>
        </w:rPr>
        <w:t xml:space="preserve"> informaționale (</w:t>
      </w:r>
      <w:r w:rsidR="00D02B5C">
        <w:rPr>
          <w:rFonts w:ascii="Times New Roman" w:hAnsi="Times New Roman" w:cs="Times New Roman"/>
          <w:color w:val="000000" w:themeColor="text1"/>
          <w:sz w:val="24"/>
          <w:szCs w:val="24"/>
        </w:rPr>
        <w:t>1</w:t>
      </w:r>
      <w:r w:rsidR="00841E49" w:rsidRPr="004D2FF7">
        <w:rPr>
          <w:rFonts w:ascii="Times New Roman" w:hAnsi="Times New Roman" w:cs="Times New Roman"/>
          <w:color w:val="000000" w:themeColor="text1"/>
          <w:sz w:val="24"/>
          <w:szCs w:val="24"/>
        </w:rPr>
        <w:t>504,2 mii lei), servicii</w:t>
      </w:r>
      <w:r w:rsidR="00C607FC">
        <w:rPr>
          <w:rFonts w:ascii="Times New Roman" w:hAnsi="Times New Roman" w:cs="Times New Roman"/>
          <w:color w:val="000000" w:themeColor="text1"/>
          <w:sz w:val="24"/>
          <w:szCs w:val="24"/>
        </w:rPr>
        <w:t>le</w:t>
      </w:r>
      <w:r w:rsidR="00841E49" w:rsidRPr="004D2FF7">
        <w:rPr>
          <w:rFonts w:ascii="Times New Roman" w:hAnsi="Times New Roman" w:cs="Times New Roman"/>
          <w:color w:val="000000" w:themeColor="text1"/>
          <w:sz w:val="24"/>
          <w:szCs w:val="24"/>
        </w:rPr>
        <w:t xml:space="preserve"> de locațiune (483,2 mii lei)</w:t>
      </w:r>
      <w:r w:rsidR="008E3939" w:rsidRPr="004D2FF7">
        <w:rPr>
          <w:rFonts w:ascii="Times New Roman" w:hAnsi="Times New Roman" w:cs="Times New Roman"/>
          <w:color w:val="000000" w:themeColor="text1"/>
          <w:sz w:val="24"/>
          <w:szCs w:val="24"/>
        </w:rPr>
        <w:t>;</w:t>
      </w:r>
      <w:r w:rsidR="006049D5" w:rsidRPr="004D2FF7">
        <w:rPr>
          <w:rFonts w:ascii="Times New Roman" w:hAnsi="Times New Roman" w:cs="Times New Roman"/>
          <w:color w:val="000000" w:themeColor="text1"/>
          <w:sz w:val="24"/>
          <w:szCs w:val="24"/>
        </w:rPr>
        <w:t xml:space="preserve"> </w:t>
      </w:r>
      <w:r w:rsidR="00A807CB" w:rsidRPr="004D2FF7">
        <w:rPr>
          <w:rFonts w:ascii="Times New Roman" w:hAnsi="Times New Roman" w:cs="Times New Roman"/>
          <w:color w:val="000000" w:themeColor="text1"/>
          <w:sz w:val="24"/>
          <w:szCs w:val="24"/>
        </w:rPr>
        <w:t>servicii</w:t>
      </w:r>
      <w:r w:rsidR="00C607FC">
        <w:rPr>
          <w:rFonts w:ascii="Times New Roman" w:hAnsi="Times New Roman" w:cs="Times New Roman"/>
          <w:color w:val="000000" w:themeColor="text1"/>
          <w:sz w:val="24"/>
          <w:szCs w:val="24"/>
        </w:rPr>
        <w:t>le</w:t>
      </w:r>
      <w:r w:rsidR="00A807CB" w:rsidRPr="004D2FF7">
        <w:rPr>
          <w:rFonts w:ascii="Times New Roman" w:hAnsi="Times New Roman" w:cs="Times New Roman"/>
          <w:color w:val="000000" w:themeColor="text1"/>
          <w:sz w:val="24"/>
          <w:szCs w:val="24"/>
        </w:rPr>
        <w:t xml:space="preserve"> de reparații curente (121,3 mii lei) etc. C</w:t>
      </w:r>
      <w:r w:rsidR="008E3939" w:rsidRPr="004D2FF7">
        <w:rPr>
          <w:rFonts w:ascii="Times New Roman" w:hAnsi="Times New Roman" w:cs="Times New Roman"/>
          <w:color w:val="000000" w:themeColor="text1"/>
          <w:sz w:val="24"/>
          <w:szCs w:val="24"/>
        </w:rPr>
        <w:t xml:space="preserve">heltuielile </w:t>
      </w:r>
      <w:r w:rsidR="006049D5" w:rsidRPr="004D2FF7">
        <w:rPr>
          <w:rFonts w:ascii="Times New Roman" w:hAnsi="Times New Roman" w:cs="Times New Roman"/>
          <w:color w:val="000000" w:themeColor="text1"/>
          <w:sz w:val="24"/>
          <w:szCs w:val="24"/>
        </w:rPr>
        <w:t>de personal</w:t>
      </w:r>
      <w:r w:rsidR="00A807CB" w:rsidRPr="004D2FF7">
        <w:rPr>
          <w:rFonts w:ascii="Times New Roman" w:hAnsi="Times New Roman" w:cs="Times New Roman"/>
          <w:color w:val="000000" w:themeColor="text1"/>
          <w:sz w:val="24"/>
          <w:szCs w:val="24"/>
        </w:rPr>
        <w:t xml:space="preserve"> nu au fost </w:t>
      </w:r>
      <w:r w:rsidR="00097E9C" w:rsidRPr="004D2FF7">
        <w:rPr>
          <w:rFonts w:ascii="Times New Roman" w:hAnsi="Times New Roman" w:cs="Times New Roman"/>
          <w:color w:val="000000" w:themeColor="text1"/>
          <w:sz w:val="24"/>
          <w:szCs w:val="24"/>
        </w:rPr>
        <w:t>executate</w:t>
      </w:r>
      <w:r w:rsidR="00A807CB" w:rsidRPr="004D2FF7">
        <w:rPr>
          <w:rFonts w:ascii="Times New Roman" w:hAnsi="Times New Roman" w:cs="Times New Roman"/>
          <w:color w:val="000000" w:themeColor="text1"/>
          <w:sz w:val="24"/>
          <w:szCs w:val="24"/>
        </w:rPr>
        <w:t xml:space="preserve"> </w:t>
      </w:r>
      <w:r w:rsidR="00215DC0">
        <w:rPr>
          <w:rFonts w:ascii="Times New Roman" w:hAnsi="Times New Roman" w:cs="Times New Roman"/>
          <w:color w:val="000000" w:themeColor="text1"/>
          <w:sz w:val="24"/>
          <w:szCs w:val="24"/>
        </w:rPr>
        <w:t>cu</w:t>
      </w:r>
      <w:r w:rsidR="00CF2B73" w:rsidRPr="004D2FF7">
        <w:rPr>
          <w:rFonts w:ascii="Times New Roman" w:hAnsi="Times New Roman" w:cs="Times New Roman"/>
          <w:color w:val="000000" w:themeColor="text1"/>
          <w:sz w:val="24"/>
          <w:szCs w:val="24"/>
        </w:rPr>
        <w:t xml:space="preserve"> </w:t>
      </w:r>
      <w:r w:rsidR="00C607FC">
        <w:rPr>
          <w:rFonts w:ascii="Times New Roman" w:hAnsi="Times New Roman" w:cs="Times New Roman"/>
          <w:color w:val="000000" w:themeColor="text1"/>
          <w:sz w:val="24"/>
          <w:szCs w:val="24"/>
        </w:rPr>
        <w:t xml:space="preserve">suma de </w:t>
      </w:r>
      <w:r w:rsidR="00CF2B73" w:rsidRPr="004D2FF7">
        <w:rPr>
          <w:rFonts w:ascii="Times New Roman" w:hAnsi="Times New Roman" w:cs="Times New Roman"/>
          <w:color w:val="000000" w:themeColor="text1"/>
          <w:sz w:val="24"/>
          <w:szCs w:val="24"/>
        </w:rPr>
        <w:t>1</w:t>
      </w:r>
      <w:r w:rsidR="00C607FC">
        <w:rPr>
          <w:rFonts w:ascii="Times New Roman" w:hAnsi="Times New Roman" w:cs="Times New Roman"/>
          <w:color w:val="000000" w:themeColor="text1"/>
          <w:sz w:val="24"/>
          <w:szCs w:val="24"/>
        </w:rPr>
        <w:t>.</w:t>
      </w:r>
      <w:r w:rsidR="00A50DAB" w:rsidRPr="004D2FF7">
        <w:rPr>
          <w:rFonts w:ascii="Times New Roman" w:hAnsi="Times New Roman" w:cs="Times New Roman"/>
          <w:color w:val="000000" w:themeColor="text1"/>
          <w:sz w:val="24"/>
          <w:szCs w:val="24"/>
        </w:rPr>
        <w:t>523,9</w:t>
      </w:r>
      <w:r w:rsidR="00CF2B73" w:rsidRPr="004D2FF7">
        <w:rPr>
          <w:rFonts w:ascii="Times New Roman" w:hAnsi="Times New Roman" w:cs="Times New Roman"/>
          <w:color w:val="000000" w:themeColor="text1"/>
          <w:sz w:val="24"/>
          <w:szCs w:val="24"/>
        </w:rPr>
        <w:t xml:space="preserve"> mii lei</w:t>
      </w:r>
      <w:r w:rsidR="006049D5" w:rsidRPr="004D2FF7">
        <w:rPr>
          <w:rFonts w:ascii="Times New Roman" w:hAnsi="Times New Roman" w:cs="Times New Roman"/>
          <w:color w:val="000000" w:themeColor="text1"/>
          <w:sz w:val="24"/>
          <w:szCs w:val="24"/>
        </w:rPr>
        <w:t xml:space="preserve"> (</w:t>
      </w:r>
      <w:r w:rsidR="00A50DAB" w:rsidRPr="004D2FF7">
        <w:rPr>
          <w:rFonts w:ascii="Times New Roman" w:hAnsi="Times New Roman" w:cs="Times New Roman"/>
          <w:color w:val="000000" w:themeColor="text1"/>
          <w:sz w:val="24"/>
          <w:szCs w:val="24"/>
        </w:rPr>
        <w:t>26,1</w:t>
      </w:r>
      <w:r w:rsidR="006049D5" w:rsidRPr="004D2FF7">
        <w:rPr>
          <w:rFonts w:ascii="Times New Roman" w:hAnsi="Times New Roman" w:cs="Times New Roman"/>
          <w:color w:val="000000" w:themeColor="text1"/>
          <w:sz w:val="24"/>
          <w:szCs w:val="24"/>
        </w:rPr>
        <w:t>% din suma nevalorificată), format</w:t>
      </w:r>
      <w:r w:rsidR="00C607FC">
        <w:rPr>
          <w:rFonts w:ascii="Times New Roman" w:hAnsi="Times New Roman" w:cs="Times New Roman"/>
          <w:color w:val="000000" w:themeColor="text1"/>
          <w:sz w:val="24"/>
          <w:szCs w:val="24"/>
        </w:rPr>
        <w:t>ă</w:t>
      </w:r>
      <w:r w:rsidR="006049D5" w:rsidRPr="004D2FF7">
        <w:rPr>
          <w:rFonts w:ascii="Times New Roman" w:hAnsi="Times New Roman" w:cs="Times New Roman"/>
          <w:color w:val="000000" w:themeColor="text1"/>
          <w:sz w:val="24"/>
          <w:szCs w:val="24"/>
        </w:rPr>
        <w:t xml:space="preserve"> în legătură cu numărul mare de funcții vacante</w:t>
      </w:r>
      <w:r w:rsidR="009A561E" w:rsidRPr="004D2FF7">
        <w:rPr>
          <w:rFonts w:ascii="Times New Roman" w:hAnsi="Times New Roman" w:cs="Times New Roman"/>
          <w:color w:val="000000" w:themeColor="text1"/>
          <w:sz w:val="24"/>
          <w:szCs w:val="24"/>
        </w:rPr>
        <w:t xml:space="preserve">, iar </w:t>
      </w:r>
      <w:r w:rsidR="00A50DAB" w:rsidRPr="004D2FF7">
        <w:rPr>
          <w:rFonts w:ascii="Times New Roman" w:hAnsi="Times New Roman" w:cs="Times New Roman"/>
          <w:color w:val="000000" w:themeColor="text1"/>
          <w:sz w:val="24"/>
          <w:szCs w:val="24"/>
        </w:rPr>
        <w:t>prestațiile sociale</w:t>
      </w:r>
      <w:r w:rsidR="009A561E" w:rsidRPr="004D2FF7">
        <w:rPr>
          <w:rFonts w:ascii="Times New Roman" w:hAnsi="Times New Roman" w:cs="Times New Roman"/>
          <w:color w:val="000000" w:themeColor="text1"/>
          <w:sz w:val="24"/>
          <w:szCs w:val="24"/>
        </w:rPr>
        <w:t xml:space="preserve"> nu au fost valorificate</w:t>
      </w:r>
      <w:r w:rsidR="00A50DAB" w:rsidRPr="004D2FF7">
        <w:rPr>
          <w:rFonts w:ascii="Times New Roman" w:hAnsi="Times New Roman" w:cs="Times New Roman"/>
          <w:color w:val="000000" w:themeColor="text1"/>
          <w:sz w:val="24"/>
          <w:szCs w:val="24"/>
        </w:rPr>
        <w:t xml:space="preserve"> în sumă de 166,9 mii lei</w:t>
      </w:r>
      <w:r w:rsidR="009A561E" w:rsidRPr="004D2FF7">
        <w:rPr>
          <w:rFonts w:ascii="Times New Roman" w:hAnsi="Times New Roman" w:cs="Times New Roman"/>
          <w:color w:val="000000" w:themeColor="text1"/>
          <w:sz w:val="24"/>
          <w:szCs w:val="24"/>
        </w:rPr>
        <w:t>. De asemenea</w:t>
      </w:r>
      <w:r w:rsidR="000E6D03" w:rsidRPr="004D2FF7">
        <w:rPr>
          <w:rFonts w:ascii="Times New Roman" w:hAnsi="Times New Roman" w:cs="Times New Roman"/>
          <w:color w:val="000000" w:themeColor="text1"/>
          <w:sz w:val="24"/>
          <w:szCs w:val="24"/>
        </w:rPr>
        <w:t>,</w:t>
      </w:r>
      <w:r w:rsidR="009A561E" w:rsidRPr="004D2FF7">
        <w:rPr>
          <w:rFonts w:ascii="Times New Roman" w:hAnsi="Times New Roman" w:cs="Times New Roman"/>
          <w:color w:val="000000" w:themeColor="text1"/>
          <w:sz w:val="24"/>
          <w:szCs w:val="24"/>
        </w:rPr>
        <w:t xml:space="preserve"> a</w:t>
      </w:r>
      <w:r w:rsidR="008E3939" w:rsidRPr="004D2FF7">
        <w:rPr>
          <w:rFonts w:ascii="Times New Roman" w:hAnsi="Times New Roman" w:cs="Times New Roman"/>
          <w:color w:val="000000" w:themeColor="text1"/>
          <w:sz w:val="24"/>
          <w:szCs w:val="24"/>
        </w:rPr>
        <w:t>ctive</w:t>
      </w:r>
      <w:r w:rsidR="00A807CB" w:rsidRPr="004D2FF7">
        <w:rPr>
          <w:rFonts w:ascii="Times New Roman" w:hAnsi="Times New Roman" w:cs="Times New Roman"/>
          <w:color w:val="000000" w:themeColor="text1"/>
          <w:sz w:val="24"/>
          <w:szCs w:val="24"/>
        </w:rPr>
        <w:t>le</w:t>
      </w:r>
      <w:r w:rsidR="008E3939" w:rsidRPr="004D2FF7">
        <w:rPr>
          <w:rFonts w:ascii="Times New Roman" w:hAnsi="Times New Roman" w:cs="Times New Roman"/>
          <w:color w:val="000000" w:themeColor="text1"/>
          <w:sz w:val="24"/>
          <w:szCs w:val="24"/>
        </w:rPr>
        <w:t xml:space="preserve"> nemateriale</w:t>
      </w:r>
      <w:r w:rsidR="00A807CB" w:rsidRPr="004D2FF7">
        <w:rPr>
          <w:rFonts w:ascii="Times New Roman" w:hAnsi="Times New Roman" w:cs="Times New Roman"/>
          <w:color w:val="000000" w:themeColor="text1"/>
          <w:sz w:val="24"/>
          <w:szCs w:val="24"/>
        </w:rPr>
        <w:t xml:space="preserve"> nu au fost valorificate</w:t>
      </w:r>
      <w:r w:rsidR="008E3939" w:rsidRPr="004D2FF7">
        <w:rPr>
          <w:rFonts w:ascii="Times New Roman" w:hAnsi="Times New Roman" w:cs="Times New Roman"/>
          <w:color w:val="000000" w:themeColor="text1"/>
          <w:sz w:val="24"/>
          <w:szCs w:val="24"/>
        </w:rPr>
        <w:t xml:space="preserve"> în sumă de 1</w:t>
      </w:r>
      <w:r w:rsidR="00C607FC">
        <w:rPr>
          <w:rFonts w:ascii="Times New Roman" w:hAnsi="Times New Roman" w:cs="Times New Roman"/>
          <w:color w:val="000000" w:themeColor="text1"/>
          <w:sz w:val="24"/>
          <w:szCs w:val="24"/>
        </w:rPr>
        <w:t>.</w:t>
      </w:r>
      <w:r w:rsidR="008E3939" w:rsidRPr="004D2FF7">
        <w:rPr>
          <w:rFonts w:ascii="Times New Roman" w:hAnsi="Times New Roman" w:cs="Times New Roman"/>
          <w:color w:val="000000" w:themeColor="text1"/>
          <w:sz w:val="24"/>
          <w:szCs w:val="24"/>
        </w:rPr>
        <w:t>176,7 mii lei</w:t>
      </w:r>
      <w:r w:rsidR="0059709D" w:rsidRPr="004D2FF7">
        <w:rPr>
          <w:rFonts w:ascii="Times New Roman" w:hAnsi="Times New Roman" w:cs="Times New Roman"/>
          <w:color w:val="000000" w:themeColor="text1"/>
          <w:sz w:val="24"/>
          <w:szCs w:val="24"/>
        </w:rPr>
        <w:t xml:space="preserve"> (</w:t>
      </w:r>
      <w:r w:rsidR="009A561E" w:rsidRPr="004D2FF7">
        <w:rPr>
          <w:rFonts w:ascii="Times New Roman" w:hAnsi="Times New Roman" w:cs="Times New Roman"/>
          <w:color w:val="000000" w:themeColor="text1"/>
          <w:sz w:val="24"/>
          <w:szCs w:val="24"/>
        </w:rPr>
        <w:t>20,1</w:t>
      </w:r>
      <w:r w:rsidR="0059709D" w:rsidRPr="004D2FF7">
        <w:rPr>
          <w:rFonts w:ascii="Times New Roman" w:hAnsi="Times New Roman" w:cs="Times New Roman"/>
          <w:color w:val="000000" w:themeColor="text1"/>
          <w:sz w:val="24"/>
          <w:szCs w:val="24"/>
        </w:rPr>
        <w:t>% din suma</w:t>
      </w:r>
      <w:r w:rsidR="00215DC0">
        <w:rPr>
          <w:rFonts w:ascii="Times New Roman" w:hAnsi="Times New Roman" w:cs="Times New Roman"/>
          <w:color w:val="000000" w:themeColor="text1"/>
          <w:sz w:val="24"/>
          <w:szCs w:val="24"/>
        </w:rPr>
        <w:t xml:space="preserve"> totală</w:t>
      </w:r>
      <w:r w:rsidR="0059709D" w:rsidRPr="004D2FF7">
        <w:rPr>
          <w:rFonts w:ascii="Times New Roman" w:hAnsi="Times New Roman" w:cs="Times New Roman"/>
          <w:color w:val="000000" w:themeColor="text1"/>
          <w:sz w:val="24"/>
          <w:szCs w:val="24"/>
        </w:rPr>
        <w:t xml:space="preserve"> nevalorificată)</w:t>
      </w:r>
      <w:r w:rsidR="008E3939" w:rsidRPr="004D2FF7">
        <w:rPr>
          <w:rFonts w:ascii="Times New Roman" w:hAnsi="Times New Roman" w:cs="Times New Roman"/>
          <w:color w:val="000000" w:themeColor="text1"/>
          <w:sz w:val="24"/>
          <w:szCs w:val="24"/>
        </w:rPr>
        <w:t>, inclusiv 329,3 mii lei</w:t>
      </w:r>
      <w:r w:rsidR="00215DC0">
        <w:rPr>
          <w:rFonts w:ascii="Times New Roman" w:hAnsi="Times New Roman" w:cs="Times New Roman"/>
          <w:color w:val="000000" w:themeColor="text1"/>
          <w:sz w:val="24"/>
          <w:szCs w:val="24"/>
        </w:rPr>
        <w:t xml:space="preserve"> fiind planificate</w:t>
      </w:r>
      <w:r w:rsidR="008E3939" w:rsidRPr="004D2FF7">
        <w:rPr>
          <w:rFonts w:ascii="Times New Roman" w:hAnsi="Times New Roman" w:cs="Times New Roman"/>
          <w:color w:val="000000" w:themeColor="text1"/>
          <w:sz w:val="24"/>
          <w:szCs w:val="24"/>
        </w:rPr>
        <w:t xml:space="preserve"> </w:t>
      </w:r>
      <w:r w:rsidR="00A807CB" w:rsidRPr="004D2FF7">
        <w:rPr>
          <w:rFonts w:ascii="Times New Roman" w:hAnsi="Times New Roman" w:cs="Times New Roman"/>
          <w:color w:val="000000" w:themeColor="text1"/>
          <w:sz w:val="24"/>
          <w:szCs w:val="24"/>
        </w:rPr>
        <w:t>pentru</w:t>
      </w:r>
      <w:r w:rsidR="008E3939" w:rsidRPr="004D2FF7">
        <w:rPr>
          <w:rFonts w:ascii="Times New Roman" w:hAnsi="Times New Roman" w:cs="Times New Roman"/>
          <w:color w:val="000000" w:themeColor="text1"/>
          <w:sz w:val="24"/>
          <w:szCs w:val="24"/>
        </w:rPr>
        <w:t xml:space="preserve"> procurarea mașinilor și utilajelor</w:t>
      </w:r>
      <w:r w:rsidR="00841E49" w:rsidRPr="004D2FF7">
        <w:rPr>
          <w:rFonts w:ascii="Times New Roman" w:hAnsi="Times New Roman" w:cs="Times New Roman"/>
          <w:color w:val="000000" w:themeColor="text1"/>
          <w:sz w:val="24"/>
          <w:szCs w:val="24"/>
        </w:rPr>
        <w:t xml:space="preserve"> și 531,5 mii lei </w:t>
      </w:r>
      <w:r w:rsidR="00C607FC">
        <w:rPr>
          <w:rFonts w:ascii="Times New Roman" w:hAnsi="Times New Roman" w:cs="Times New Roman"/>
          <w:color w:val="000000" w:themeColor="text1"/>
          <w:sz w:val="24"/>
          <w:szCs w:val="24"/>
        </w:rPr>
        <w:t xml:space="preserve">– </w:t>
      </w:r>
      <w:r w:rsidR="00841E49" w:rsidRPr="004D2FF7">
        <w:rPr>
          <w:rFonts w:ascii="Times New Roman" w:hAnsi="Times New Roman" w:cs="Times New Roman"/>
          <w:color w:val="000000" w:themeColor="text1"/>
          <w:sz w:val="24"/>
          <w:szCs w:val="24"/>
        </w:rPr>
        <w:t>pentru</w:t>
      </w:r>
      <w:r w:rsidR="005731DB" w:rsidRPr="004D2FF7">
        <w:rPr>
          <w:rFonts w:ascii="Times New Roman" w:hAnsi="Times New Roman" w:cs="Times New Roman"/>
          <w:color w:val="000000" w:themeColor="text1"/>
          <w:sz w:val="24"/>
          <w:szCs w:val="24"/>
        </w:rPr>
        <w:t xml:space="preserve"> achiziția</w:t>
      </w:r>
      <w:r w:rsidR="00841E49" w:rsidRPr="004D2FF7">
        <w:rPr>
          <w:rFonts w:ascii="Times New Roman" w:hAnsi="Times New Roman" w:cs="Times New Roman"/>
          <w:color w:val="000000" w:themeColor="text1"/>
          <w:sz w:val="24"/>
          <w:szCs w:val="24"/>
        </w:rPr>
        <w:t xml:space="preserve"> active</w:t>
      </w:r>
      <w:r w:rsidR="005731DB" w:rsidRPr="004D2FF7">
        <w:rPr>
          <w:rFonts w:ascii="Times New Roman" w:hAnsi="Times New Roman" w:cs="Times New Roman"/>
          <w:color w:val="000000" w:themeColor="text1"/>
          <w:sz w:val="24"/>
          <w:szCs w:val="24"/>
        </w:rPr>
        <w:t>lor</w:t>
      </w:r>
      <w:r w:rsidR="00841E49" w:rsidRPr="004D2FF7">
        <w:rPr>
          <w:rFonts w:ascii="Times New Roman" w:hAnsi="Times New Roman" w:cs="Times New Roman"/>
          <w:color w:val="000000" w:themeColor="text1"/>
          <w:sz w:val="24"/>
          <w:szCs w:val="24"/>
        </w:rPr>
        <w:t xml:space="preserve"> nemateriale</w:t>
      </w:r>
      <w:r w:rsidR="006049D5" w:rsidRPr="004D2FF7">
        <w:rPr>
          <w:rFonts w:ascii="Times New Roman" w:hAnsi="Times New Roman" w:cs="Times New Roman"/>
          <w:color w:val="000000" w:themeColor="text1"/>
          <w:sz w:val="24"/>
          <w:szCs w:val="24"/>
        </w:rPr>
        <w:t>.</w:t>
      </w:r>
      <w:r w:rsidR="00B26964" w:rsidRPr="004D2FF7">
        <w:rPr>
          <w:rFonts w:ascii="Times New Roman" w:hAnsi="Times New Roman" w:cs="Times New Roman"/>
          <w:color w:val="000000" w:themeColor="text1"/>
          <w:sz w:val="24"/>
          <w:szCs w:val="24"/>
        </w:rPr>
        <w:t xml:space="preserve">  </w:t>
      </w:r>
    </w:p>
    <w:p w14:paraId="3A9BD2E7" w14:textId="77777777" w:rsidR="00C57313" w:rsidRPr="004D2FF7" w:rsidRDefault="00B26964" w:rsidP="009A561E">
      <w:pPr>
        <w:spacing w:after="0" w:line="276" w:lineRule="auto"/>
        <w:jc w:val="both"/>
        <w:rPr>
          <w:rFonts w:ascii="Times New Roman" w:hAnsi="Times New Roman" w:cs="Times New Roman"/>
          <w:color w:val="000000" w:themeColor="text1"/>
          <w:sz w:val="24"/>
          <w:szCs w:val="24"/>
        </w:rPr>
      </w:pPr>
      <w:r w:rsidRPr="004D2FF7">
        <w:rPr>
          <w:rFonts w:ascii="Times New Roman" w:hAnsi="Times New Roman" w:cs="Times New Roman"/>
          <w:color w:val="000000" w:themeColor="text1"/>
          <w:sz w:val="24"/>
          <w:szCs w:val="24"/>
        </w:rPr>
        <w:t>De fapt, analizele de audit at</w:t>
      </w:r>
      <w:r w:rsidR="006049D5" w:rsidRPr="004D2FF7">
        <w:rPr>
          <w:rFonts w:ascii="Times New Roman" w:hAnsi="Times New Roman" w:cs="Times New Roman"/>
          <w:color w:val="000000" w:themeColor="text1"/>
          <w:sz w:val="24"/>
          <w:szCs w:val="24"/>
        </w:rPr>
        <w:t xml:space="preserve">estă că mijloacele bugetare alocate </w:t>
      </w:r>
      <w:r w:rsidR="00EE57C8" w:rsidRPr="004D2FF7">
        <w:rPr>
          <w:rFonts w:ascii="Times New Roman" w:hAnsi="Times New Roman" w:cs="Times New Roman"/>
          <w:color w:val="000000" w:themeColor="text1"/>
          <w:sz w:val="24"/>
          <w:szCs w:val="24"/>
        </w:rPr>
        <w:t>CNPDCP</w:t>
      </w:r>
      <w:r w:rsidR="006049D5" w:rsidRPr="004D2FF7">
        <w:rPr>
          <w:rFonts w:ascii="Times New Roman" w:hAnsi="Times New Roman" w:cs="Times New Roman"/>
          <w:color w:val="000000" w:themeColor="text1"/>
          <w:sz w:val="24"/>
          <w:szCs w:val="24"/>
        </w:rPr>
        <w:t xml:space="preserve"> preponderent au fost îndreptate pentru finanțarea </w:t>
      </w:r>
      <w:r w:rsidR="002C14F9" w:rsidRPr="004D2FF7">
        <w:rPr>
          <w:rFonts w:ascii="Times New Roman" w:hAnsi="Times New Roman" w:cs="Times New Roman"/>
          <w:color w:val="000000" w:themeColor="text1"/>
          <w:sz w:val="24"/>
          <w:szCs w:val="24"/>
        </w:rPr>
        <w:t>c</w:t>
      </w:r>
      <w:r w:rsidR="006049D5" w:rsidRPr="004D2FF7">
        <w:rPr>
          <w:rFonts w:ascii="Times New Roman" w:hAnsi="Times New Roman" w:cs="Times New Roman"/>
          <w:color w:val="000000" w:themeColor="text1"/>
          <w:sz w:val="24"/>
          <w:szCs w:val="24"/>
        </w:rPr>
        <w:t>heltuielilor de personal</w:t>
      </w:r>
      <w:r w:rsidR="00656DB1" w:rsidRPr="004D2FF7">
        <w:rPr>
          <w:rFonts w:ascii="Times New Roman" w:hAnsi="Times New Roman" w:cs="Times New Roman"/>
          <w:color w:val="000000" w:themeColor="text1"/>
          <w:sz w:val="24"/>
          <w:szCs w:val="24"/>
        </w:rPr>
        <w:t xml:space="preserve"> (</w:t>
      </w:r>
      <w:r w:rsidR="005D4470" w:rsidRPr="004D2FF7">
        <w:rPr>
          <w:rFonts w:ascii="Times New Roman" w:hAnsi="Times New Roman" w:cs="Times New Roman"/>
          <w:color w:val="000000" w:themeColor="text1"/>
          <w:sz w:val="24"/>
          <w:szCs w:val="24"/>
        </w:rPr>
        <w:t>30</w:t>
      </w:r>
      <w:r w:rsidR="00C607FC">
        <w:rPr>
          <w:rFonts w:ascii="Times New Roman" w:hAnsi="Times New Roman" w:cs="Times New Roman"/>
          <w:color w:val="000000" w:themeColor="text1"/>
          <w:sz w:val="24"/>
          <w:szCs w:val="24"/>
        </w:rPr>
        <w:t>.</w:t>
      </w:r>
      <w:r w:rsidR="005D4470" w:rsidRPr="004D2FF7">
        <w:rPr>
          <w:rFonts w:ascii="Times New Roman" w:hAnsi="Times New Roman" w:cs="Times New Roman"/>
          <w:color w:val="000000" w:themeColor="text1"/>
          <w:sz w:val="24"/>
          <w:szCs w:val="24"/>
        </w:rPr>
        <w:t>419,5</w:t>
      </w:r>
      <w:r w:rsidR="00656DB1" w:rsidRPr="004D2FF7">
        <w:rPr>
          <w:rFonts w:ascii="Times New Roman" w:hAnsi="Times New Roman" w:cs="Times New Roman"/>
          <w:color w:val="000000" w:themeColor="text1"/>
          <w:sz w:val="24"/>
          <w:szCs w:val="24"/>
        </w:rPr>
        <w:t xml:space="preserve"> mii lei)</w:t>
      </w:r>
      <w:r w:rsidR="00B26C0A" w:rsidRPr="004D2FF7">
        <w:rPr>
          <w:rFonts w:ascii="Times New Roman" w:hAnsi="Times New Roman" w:cs="Times New Roman"/>
          <w:color w:val="000000" w:themeColor="text1"/>
          <w:sz w:val="24"/>
          <w:szCs w:val="24"/>
        </w:rPr>
        <w:t xml:space="preserve"> și </w:t>
      </w:r>
      <w:r w:rsidR="00C607FC">
        <w:rPr>
          <w:rFonts w:ascii="Times New Roman" w:hAnsi="Times New Roman" w:cs="Times New Roman"/>
          <w:color w:val="000000" w:themeColor="text1"/>
          <w:sz w:val="24"/>
          <w:szCs w:val="24"/>
        </w:rPr>
        <w:t xml:space="preserve">a </w:t>
      </w:r>
      <w:r w:rsidR="002C14F9" w:rsidRPr="004D2FF7">
        <w:rPr>
          <w:rFonts w:ascii="Times New Roman" w:hAnsi="Times New Roman" w:cs="Times New Roman"/>
          <w:color w:val="000000" w:themeColor="text1"/>
          <w:sz w:val="24"/>
          <w:szCs w:val="24"/>
        </w:rPr>
        <w:t>p</w:t>
      </w:r>
      <w:r w:rsidR="006049D5" w:rsidRPr="004D2FF7">
        <w:rPr>
          <w:rFonts w:ascii="Times New Roman" w:hAnsi="Times New Roman" w:cs="Times New Roman"/>
          <w:color w:val="000000" w:themeColor="text1"/>
          <w:sz w:val="24"/>
          <w:szCs w:val="24"/>
        </w:rPr>
        <w:t>restațiilor sociale</w:t>
      </w:r>
      <w:r w:rsidR="00656DB1" w:rsidRPr="004D2FF7">
        <w:rPr>
          <w:rFonts w:ascii="Times New Roman" w:hAnsi="Times New Roman" w:cs="Times New Roman"/>
          <w:color w:val="000000" w:themeColor="text1"/>
          <w:sz w:val="24"/>
          <w:szCs w:val="24"/>
        </w:rPr>
        <w:t xml:space="preserve"> (</w:t>
      </w:r>
      <w:r w:rsidR="00B26C0A" w:rsidRPr="004D2FF7">
        <w:rPr>
          <w:rFonts w:ascii="Times New Roman" w:hAnsi="Times New Roman" w:cs="Times New Roman"/>
          <w:color w:val="000000" w:themeColor="text1"/>
          <w:sz w:val="24"/>
          <w:szCs w:val="24"/>
        </w:rPr>
        <w:t>290,6</w:t>
      </w:r>
      <w:r w:rsidR="00656DB1" w:rsidRPr="004D2FF7">
        <w:rPr>
          <w:rFonts w:ascii="Times New Roman" w:hAnsi="Times New Roman" w:cs="Times New Roman"/>
          <w:color w:val="000000" w:themeColor="text1"/>
          <w:sz w:val="24"/>
          <w:szCs w:val="24"/>
        </w:rPr>
        <w:t xml:space="preserve"> mii lei)</w:t>
      </w:r>
      <w:r w:rsidR="006049D5" w:rsidRPr="004D2FF7">
        <w:rPr>
          <w:rFonts w:ascii="Times New Roman" w:hAnsi="Times New Roman" w:cs="Times New Roman"/>
          <w:color w:val="000000" w:themeColor="text1"/>
          <w:sz w:val="24"/>
          <w:szCs w:val="24"/>
        </w:rPr>
        <w:t xml:space="preserve">, care în totalul cheltuielilor executate dețin ponderea de circa </w:t>
      </w:r>
      <w:r w:rsidR="005D4470" w:rsidRPr="004D2FF7">
        <w:rPr>
          <w:rFonts w:ascii="Times New Roman" w:hAnsi="Times New Roman" w:cs="Times New Roman"/>
          <w:color w:val="000000" w:themeColor="text1"/>
          <w:sz w:val="24"/>
          <w:szCs w:val="24"/>
        </w:rPr>
        <w:t>85,9</w:t>
      </w:r>
      <w:r w:rsidR="006049D5" w:rsidRPr="004D2FF7">
        <w:rPr>
          <w:rFonts w:ascii="Times New Roman" w:hAnsi="Times New Roman" w:cs="Times New Roman"/>
          <w:color w:val="000000" w:themeColor="text1"/>
          <w:sz w:val="24"/>
          <w:szCs w:val="24"/>
        </w:rPr>
        <w:t>% și, respectiv</w:t>
      </w:r>
      <w:r w:rsidR="002C14F9" w:rsidRPr="004D2FF7">
        <w:rPr>
          <w:rFonts w:ascii="Times New Roman" w:hAnsi="Times New Roman" w:cs="Times New Roman"/>
          <w:color w:val="000000" w:themeColor="text1"/>
          <w:sz w:val="24"/>
          <w:szCs w:val="24"/>
        </w:rPr>
        <w:t>,</w:t>
      </w:r>
      <w:r w:rsidR="006049D5" w:rsidRPr="004D2FF7">
        <w:rPr>
          <w:rFonts w:ascii="Times New Roman" w:hAnsi="Times New Roman" w:cs="Times New Roman"/>
          <w:color w:val="000000" w:themeColor="text1"/>
          <w:sz w:val="24"/>
          <w:szCs w:val="24"/>
        </w:rPr>
        <w:t xml:space="preserve"> de </w:t>
      </w:r>
      <w:r w:rsidR="00B26C0A" w:rsidRPr="004D2FF7">
        <w:rPr>
          <w:rFonts w:ascii="Times New Roman" w:hAnsi="Times New Roman" w:cs="Times New Roman"/>
          <w:color w:val="000000" w:themeColor="text1"/>
          <w:sz w:val="24"/>
          <w:szCs w:val="24"/>
        </w:rPr>
        <w:t>0,8</w:t>
      </w:r>
      <w:r w:rsidR="006049D5" w:rsidRPr="004D2FF7">
        <w:rPr>
          <w:rFonts w:ascii="Times New Roman" w:hAnsi="Times New Roman" w:cs="Times New Roman"/>
          <w:color w:val="000000" w:themeColor="text1"/>
          <w:sz w:val="24"/>
          <w:szCs w:val="24"/>
        </w:rPr>
        <w:t xml:space="preserve">%.  </w:t>
      </w:r>
    </w:p>
    <w:p w14:paraId="06F6BC84" w14:textId="21F82C47" w:rsidR="00656DB1" w:rsidRPr="004D2FF7" w:rsidRDefault="00A86584" w:rsidP="00372EAF">
      <w:pPr>
        <w:spacing w:after="120" w:line="276" w:lineRule="auto"/>
        <w:jc w:val="both"/>
        <w:rPr>
          <w:rFonts w:ascii="Times New Roman" w:hAnsi="Times New Roman" w:cs="Times New Roman"/>
          <w:color w:val="000000" w:themeColor="text1"/>
          <w:sz w:val="24"/>
          <w:szCs w:val="24"/>
        </w:rPr>
      </w:pPr>
      <w:r w:rsidRPr="004D2FF7">
        <w:rPr>
          <w:rFonts w:ascii="Times New Roman" w:hAnsi="Times New Roman" w:cs="Times New Roman"/>
          <w:color w:val="000000" w:themeColor="text1"/>
          <w:sz w:val="24"/>
          <w:szCs w:val="24"/>
        </w:rPr>
        <w:t>Pentru</w:t>
      </w:r>
      <w:r w:rsidR="00391B86" w:rsidRPr="004D2FF7">
        <w:rPr>
          <w:rFonts w:ascii="Times New Roman" w:hAnsi="Times New Roman" w:cs="Times New Roman"/>
          <w:color w:val="000000" w:themeColor="text1"/>
          <w:sz w:val="24"/>
          <w:szCs w:val="24"/>
        </w:rPr>
        <w:t xml:space="preserve"> </w:t>
      </w:r>
      <w:r w:rsidR="0053444C" w:rsidRPr="004D2FF7">
        <w:rPr>
          <w:rFonts w:ascii="Times New Roman" w:hAnsi="Times New Roman" w:cs="Times New Roman"/>
          <w:color w:val="000000" w:themeColor="text1"/>
          <w:sz w:val="24"/>
          <w:szCs w:val="24"/>
        </w:rPr>
        <w:t>achiziția</w:t>
      </w:r>
      <w:r w:rsidR="00391B86" w:rsidRPr="004D2FF7">
        <w:rPr>
          <w:rFonts w:ascii="Times New Roman" w:hAnsi="Times New Roman" w:cs="Times New Roman"/>
          <w:color w:val="000000" w:themeColor="text1"/>
          <w:sz w:val="24"/>
          <w:szCs w:val="24"/>
        </w:rPr>
        <w:t xml:space="preserve"> unor servicii</w:t>
      </w:r>
      <w:r w:rsidR="00C607FC">
        <w:rPr>
          <w:rFonts w:ascii="Times New Roman" w:hAnsi="Times New Roman" w:cs="Times New Roman"/>
          <w:color w:val="000000" w:themeColor="text1"/>
          <w:sz w:val="24"/>
          <w:szCs w:val="24"/>
        </w:rPr>
        <w:t>,</w:t>
      </w:r>
      <w:r w:rsidR="00391B86" w:rsidRPr="004D2FF7">
        <w:rPr>
          <w:rFonts w:ascii="Times New Roman" w:hAnsi="Times New Roman" w:cs="Times New Roman"/>
          <w:color w:val="000000" w:themeColor="text1"/>
          <w:sz w:val="24"/>
          <w:szCs w:val="24"/>
        </w:rPr>
        <w:t xml:space="preserve"> CNPDCP a cheltuit 4</w:t>
      </w:r>
      <w:r w:rsidR="00C607FC">
        <w:rPr>
          <w:rFonts w:ascii="Times New Roman" w:hAnsi="Times New Roman" w:cs="Times New Roman"/>
          <w:color w:val="000000" w:themeColor="text1"/>
          <w:sz w:val="24"/>
          <w:szCs w:val="24"/>
        </w:rPr>
        <w:t>.</w:t>
      </w:r>
      <w:r w:rsidR="00391B86" w:rsidRPr="004D2FF7">
        <w:rPr>
          <w:rFonts w:ascii="Times New Roman" w:hAnsi="Times New Roman" w:cs="Times New Roman"/>
          <w:color w:val="000000" w:themeColor="text1"/>
          <w:sz w:val="24"/>
          <w:szCs w:val="24"/>
        </w:rPr>
        <w:t xml:space="preserve">476,5 mii lei, </w:t>
      </w:r>
      <w:r w:rsidR="00C607FC">
        <w:rPr>
          <w:rFonts w:ascii="Times New Roman" w:hAnsi="Times New Roman" w:cs="Times New Roman"/>
          <w:color w:val="000000" w:themeColor="text1"/>
          <w:sz w:val="24"/>
          <w:szCs w:val="24"/>
        </w:rPr>
        <w:t xml:space="preserve">ceea </w:t>
      </w:r>
      <w:r w:rsidR="00391B86" w:rsidRPr="004D2FF7">
        <w:rPr>
          <w:rFonts w:ascii="Times New Roman" w:hAnsi="Times New Roman" w:cs="Times New Roman"/>
          <w:color w:val="000000" w:themeColor="text1"/>
          <w:sz w:val="24"/>
          <w:szCs w:val="24"/>
        </w:rPr>
        <w:t>ce re</w:t>
      </w:r>
      <w:r w:rsidR="007F37A1">
        <w:rPr>
          <w:rFonts w:ascii="Times New Roman" w:hAnsi="Times New Roman" w:cs="Times New Roman"/>
          <w:color w:val="000000" w:themeColor="text1"/>
          <w:sz w:val="24"/>
          <w:szCs w:val="24"/>
        </w:rPr>
        <w:t>prezintă</w:t>
      </w:r>
      <w:r w:rsidR="00391B86" w:rsidRPr="004D2FF7">
        <w:rPr>
          <w:rFonts w:ascii="Times New Roman" w:hAnsi="Times New Roman" w:cs="Times New Roman"/>
          <w:color w:val="000000" w:themeColor="text1"/>
          <w:sz w:val="24"/>
          <w:szCs w:val="24"/>
        </w:rPr>
        <w:t xml:space="preserve"> o pondere de 11%</w:t>
      </w:r>
      <w:r w:rsidR="007F37A1">
        <w:rPr>
          <w:rFonts w:ascii="Times New Roman" w:hAnsi="Times New Roman" w:cs="Times New Roman"/>
          <w:color w:val="000000" w:themeColor="text1"/>
          <w:sz w:val="24"/>
          <w:szCs w:val="24"/>
        </w:rPr>
        <w:t xml:space="preserve"> din</w:t>
      </w:r>
      <w:r w:rsidR="00391B86" w:rsidRPr="004D2FF7">
        <w:rPr>
          <w:rFonts w:ascii="Times New Roman" w:hAnsi="Times New Roman" w:cs="Times New Roman"/>
          <w:color w:val="000000" w:themeColor="text1"/>
          <w:sz w:val="24"/>
          <w:szCs w:val="24"/>
        </w:rPr>
        <w:t xml:space="preserve"> totalul cheltuielilor, inclusiv 1</w:t>
      </w:r>
      <w:r w:rsidR="00C607FC">
        <w:rPr>
          <w:rFonts w:ascii="Times New Roman" w:hAnsi="Times New Roman" w:cs="Times New Roman"/>
          <w:color w:val="000000" w:themeColor="text1"/>
          <w:sz w:val="24"/>
          <w:szCs w:val="24"/>
        </w:rPr>
        <w:t>.</w:t>
      </w:r>
      <w:r w:rsidR="00391B86" w:rsidRPr="004D2FF7">
        <w:rPr>
          <w:rFonts w:ascii="Times New Roman" w:hAnsi="Times New Roman" w:cs="Times New Roman"/>
          <w:color w:val="000000" w:themeColor="text1"/>
          <w:sz w:val="24"/>
          <w:szCs w:val="24"/>
        </w:rPr>
        <w:t>244,2 mii lei – servicii informaționale</w:t>
      </w:r>
      <w:r w:rsidR="00B26C0A" w:rsidRPr="004D2FF7">
        <w:rPr>
          <w:rFonts w:ascii="Times New Roman" w:hAnsi="Times New Roman" w:cs="Times New Roman"/>
          <w:color w:val="000000" w:themeColor="text1"/>
          <w:sz w:val="24"/>
          <w:szCs w:val="24"/>
        </w:rPr>
        <w:t>;</w:t>
      </w:r>
      <w:r w:rsidR="00391B86" w:rsidRPr="004D2FF7">
        <w:rPr>
          <w:rFonts w:ascii="Times New Roman" w:hAnsi="Times New Roman" w:cs="Times New Roman"/>
          <w:color w:val="000000" w:themeColor="text1"/>
          <w:sz w:val="24"/>
          <w:szCs w:val="24"/>
        </w:rPr>
        <w:t xml:space="preserve"> </w:t>
      </w:r>
      <w:r w:rsidR="009B5FB1" w:rsidRPr="004D2FF7">
        <w:rPr>
          <w:rFonts w:ascii="Times New Roman" w:hAnsi="Times New Roman" w:cs="Times New Roman"/>
          <w:color w:val="000000" w:themeColor="text1"/>
          <w:sz w:val="24"/>
          <w:szCs w:val="24"/>
        </w:rPr>
        <w:t>960,4</w:t>
      </w:r>
      <w:r w:rsidR="00391B86" w:rsidRPr="004D2FF7">
        <w:rPr>
          <w:rFonts w:ascii="Times New Roman" w:hAnsi="Times New Roman" w:cs="Times New Roman"/>
          <w:color w:val="000000" w:themeColor="text1"/>
          <w:sz w:val="24"/>
          <w:szCs w:val="24"/>
        </w:rPr>
        <w:t xml:space="preserve"> mii lei – servicii de locațiune</w:t>
      </w:r>
      <w:r w:rsidR="00B26C0A" w:rsidRPr="004D2FF7">
        <w:rPr>
          <w:rFonts w:ascii="Times New Roman" w:hAnsi="Times New Roman" w:cs="Times New Roman"/>
          <w:color w:val="000000" w:themeColor="text1"/>
          <w:sz w:val="24"/>
          <w:szCs w:val="24"/>
        </w:rPr>
        <w:t>;</w:t>
      </w:r>
      <w:r w:rsidR="00391B86" w:rsidRPr="004D2FF7">
        <w:rPr>
          <w:rFonts w:ascii="Times New Roman" w:hAnsi="Times New Roman" w:cs="Times New Roman"/>
          <w:color w:val="000000" w:themeColor="text1"/>
          <w:sz w:val="24"/>
          <w:szCs w:val="24"/>
        </w:rPr>
        <w:t xml:space="preserve"> 1034,</w:t>
      </w:r>
      <w:r w:rsidR="009B5FB1" w:rsidRPr="004D2FF7">
        <w:rPr>
          <w:rFonts w:ascii="Times New Roman" w:hAnsi="Times New Roman" w:cs="Times New Roman"/>
          <w:color w:val="000000" w:themeColor="text1"/>
          <w:sz w:val="24"/>
          <w:szCs w:val="24"/>
        </w:rPr>
        <w:t>9</w:t>
      </w:r>
      <w:r w:rsidR="00391B86" w:rsidRPr="004D2FF7">
        <w:rPr>
          <w:rFonts w:ascii="Times New Roman" w:hAnsi="Times New Roman" w:cs="Times New Roman"/>
          <w:color w:val="000000" w:themeColor="text1"/>
          <w:sz w:val="24"/>
          <w:szCs w:val="24"/>
        </w:rPr>
        <w:t xml:space="preserve"> mii lei </w:t>
      </w:r>
      <w:r w:rsidR="00C607FC">
        <w:rPr>
          <w:rFonts w:ascii="Times New Roman" w:hAnsi="Times New Roman" w:cs="Times New Roman"/>
          <w:color w:val="000000" w:themeColor="text1"/>
          <w:sz w:val="24"/>
          <w:szCs w:val="24"/>
        </w:rPr>
        <w:t>–</w:t>
      </w:r>
      <w:r w:rsidR="00391B86" w:rsidRPr="004D2FF7">
        <w:rPr>
          <w:rFonts w:ascii="Times New Roman" w:hAnsi="Times New Roman" w:cs="Times New Roman"/>
          <w:color w:val="000000" w:themeColor="text1"/>
          <w:sz w:val="24"/>
          <w:szCs w:val="24"/>
        </w:rPr>
        <w:t xml:space="preserve"> pentru deplasări de serviciu peste hotare</w:t>
      </w:r>
      <w:r w:rsidR="00B26C0A" w:rsidRPr="004D2FF7">
        <w:rPr>
          <w:rFonts w:ascii="Times New Roman" w:hAnsi="Times New Roman" w:cs="Times New Roman"/>
          <w:color w:val="000000" w:themeColor="text1"/>
          <w:sz w:val="24"/>
          <w:szCs w:val="24"/>
        </w:rPr>
        <w:t xml:space="preserve">; </w:t>
      </w:r>
      <w:r w:rsidR="00C01CF3" w:rsidRPr="004D2FF7">
        <w:rPr>
          <w:rFonts w:ascii="Times New Roman" w:hAnsi="Times New Roman" w:cs="Times New Roman"/>
          <w:color w:val="000000" w:themeColor="text1"/>
          <w:sz w:val="24"/>
          <w:szCs w:val="24"/>
        </w:rPr>
        <w:t>287,7 mii lei – servicii de transport</w:t>
      </w:r>
      <w:r w:rsidR="00C607FC">
        <w:rPr>
          <w:rFonts w:ascii="Times New Roman" w:hAnsi="Times New Roman" w:cs="Times New Roman"/>
          <w:color w:val="000000" w:themeColor="text1"/>
          <w:sz w:val="24"/>
          <w:szCs w:val="24"/>
        </w:rPr>
        <w:t>,</w:t>
      </w:r>
      <w:r w:rsidR="00B26C0A" w:rsidRPr="004D2FF7">
        <w:rPr>
          <w:rFonts w:ascii="Times New Roman" w:hAnsi="Times New Roman" w:cs="Times New Roman"/>
          <w:color w:val="000000" w:themeColor="text1"/>
          <w:sz w:val="24"/>
          <w:szCs w:val="24"/>
        </w:rPr>
        <w:t xml:space="preserve"> și 260,8 mii lei </w:t>
      </w:r>
      <w:r w:rsidR="00C607FC">
        <w:rPr>
          <w:rFonts w:ascii="Times New Roman" w:hAnsi="Times New Roman" w:cs="Times New Roman"/>
          <w:color w:val="000000" w:themeColor="text1"/>
          <w:sz w:val="24"/>
          <w:szCs w:val="24"/>
        </w:rPr>
        <w:t>–</w:t>
      </w:r>
      <w:r w:rsidR="00B26C0A" w:rsidRPr="004D2FF7">
        <w:rPr>
          <w:rFonts w:ascii="Times New Roman" w:hAnsi="Times New Roman" w:cs="Times New Roman"/>
          <w:color w:val="000000" w:themeColor="text1"/>
          <w:sz w:val="24"/>
          <w:szCs w:val="24"/>
        </w:rPr>
        <w:t xml:space="preserve"> servicii de reparații curente</w:t>
      </w:r>
      <w:r w:rsidR="00391B86" w:rsidRPr="004D2FF7">
        <w:rPr>
          <w:rFonts w:ascii="Times New Roman" w:hAnsi="Times New Roman" w:cs="Times New Roman"/>
          <w:color w:val="000000" w:themeColor="text1"/>
          <w:sz w:val="24"/>
          <w:szCs w:val="24"/>
        </w:rPr>
        <w:t>.</w:t>
      </w:r>
      <w:r w:rsidR="00C01CF3" w:rsidRPr="004D2FF7">
        <w:rPr>
          <w:rFonts w:ascii="Times New Roman" w:hAnsi="Times New Roman" w:cs="Times New Roman"/>
          <w:color w:val="000000" w:themeColor="text1"/>
          <w:sz w:val="24"/>
          <w:szCs w:val="24"/>
        </w:rPr>
        <w:t xml:space="preserve"> </w:t>
      </w:r>
      <w:r w:rsidR="006049D5" w:rsidRPr="004D2FF7">
        <w:rPr>
          <w:rFonts w:ascii="Times New Roman" w:hAnsi="Times New Roman" w:cs="Times New Roman"/>
          <w:color w:val="000000" w:themeColor="text1"/>
          <w:sz w:val="24"/>
          <w:szCs w:val="24"/>
        </w:rPr>
        <w:t>Concomitent, pondere</w:t>
      </w:r>
      <w:r w:rsidR="002C14F9" w:rsidRPr="004D2FF7">
        <w:rPr>
          <w:rFonts w:ascii="Times New Roman" w:hAnsi="Times New Roman" w:cs="Times New Roman"/>
          <w:color w:val="000000" w:themeColor="text1"/>
          <w:sz w:val="24"/>
          <w:szCs w:val="24"/>
        </w:rPr>
        <w:t>a</w:t>
      </w:r>
      <w:r w:rsidR="006049D5" w:rsidRPr="004D2FF7">
        <w:rPr>
          <w:rFonts w:ascii="Times New Roman" w:hAnsi="Times New Roman" w:cs="Times New Roman"/>
          <w:color w:val="000000" w:themeColor="text1"/>
          <w:sz w:val="24"/>
          <w:szCs w:val="24"/>
        </w:rPr>
        <w:t xml:space="preserve"> de </w:t>
      </w:r>
      <w:r w:rsidR="00C01CF3" w:rsidRPr="004D2FF7">
        <w:rPr>
          <w:rFonts w:ascii="Times New Roman" w:hAnsi="Times New Roman" w:cs="Times New Roman"/>
          <w:color w:val="000000" w:themeColor="text1"/>
          <w:sz w:val="24"/>
          <w:szCs w:val="24"/>
        </w:rPr>
        <w:t>7,4</w:t>
      </w:r>
      <w:r w:rsidR="006049D5" w:rsidRPr="004D2FF7">
        <w:rPr>
          <w:rFonts w:ascii="Times New Roman" w:hAnsi="Times New Roman" w:cs="Times New Roman"/>
          <w:color w:val="000000" w:themeColor="text1"/>
          <w:sz w:val="24"/>
          <w:szCs w:val="24"/>
        </w:rPr>
        <w:t xml:space="preserve">% </w:t>
      </w:r>
      <w:r w:rsidR="002C14F9" w:rsidRPr="004D2FF7">
        <w:rPr>
          <w:rFonts w:ascii="Times New Roman" w:hAnsi="Times New Roman" w:cs="Times New Roman"/>
          <w:color w:val="000000" w:themeColor="text1"/>
          <w:sz w:val="24"/>
          <w:szCs w:val="24"/>
        </w:rPr>
        <w:t>î</w:t>
      </w:r>
      <w:r w:rsidR="006049D5" w:rsidRPr="004D2FF7">
        <w:rPr>
          <w:rFonts w:ascii="Times New Roman" w:hAnsi="Times New Roman" w:cs="Times New Roman"/>
          <w:color w:val="000000" w:themeColor="text1"/>
          <w:sz w:val="24"/>
          <w:szCs w:val="24"/>
        </w:rPr>
        <w:t>n totalul cheltuielilor</w:t>
      </w:r>
      <w:r w:rsidR="00810642" w:rsidRPr="004D2FF7">
        <w:rPr>
          <w:rFonts w:ascii="Times New Roman" w:hAnsi="Times New Roman" w:cs="Times New Roman"/>
          <w:color w:val="000000" w:themeColor="text1"/>
          <w:sz w:val="24"/>
          <w:szCs w:val="24"/>
        </w:rPr>
        <w:t xml:space="preserve"> </w:t>
      </w:r>
      <w:r w:rsidR="006049D5" w:rsidRPr="004D2FF7">
        <w:rPr>
          <w:rFonts w:ascii="Times New Roman" w:hAnsi="Times New Roman" w:cs="Times New Roman"/>
          <w:color w:val="000000" w:themeColor="text1"/>
          <w:sz w:val="24"/>
          <w:szCs w:val="24"/>
        </w:rPr>
        <w:t>revine c</w:t>
      </w:r>
      <w:r w:rsidR="002C14F9" w:rsidRPr="004D2FF7">
        <w:rPr>
          <w:rFonts w:ascii="Times New Roman" w:hAnsi="Times New Roman" w:cs="Times New Roman"/>
          <w:color w:val="000000" w:themeColor="text1"/>
          <w:sz w:val="24"/>
          <w:szCs w:val="24"/>
        </w:rPr>
        <w:t>heltuieli</w:t>
      </w:r>
      <w:r w:rsidR="006049D5" w:rsidRPr="004D2FF7">
        <w:rPr>
          <w:rFonts w:ascii="Times New Roman" w:hAnsi="Times New Roman" w:cs="Times New Roman"/>
          <w:color w:val="000000" w:themeColor="text1"/>
          <w:sz w:val="24"/>
          <w:szCs w:val="24"/>
        </w:rPr>
        <w:t>lor pentru achiziția activelor nefinanciare</w:t>
      </w:r>
      <w:r w:rsidR="00810642" w:rsidRPr="004D2FF7">
        <w:rPr>
          <w:rFonts w:ascii="Times New Roman" w:hAnsi="Times New Roman" w:cs="Times New Roman"/>
          <w:color w:val="000000" w:themeColor="text1"/>
          <w:sz w:val="24"/>
          <w:szCs w:val="24"/>
        </w:rPr>
        <w:t xml:space="preserve"> (2</w:t>
      </w:r>
      <w:r w:rsidR="00C607FC">
        <w:rPr>
          <w:rFonts w:ascii="Times New Roman" w:hAnsi="Times New Roman" w:cs="Times New Roman"/>
          <w:color w:val="000000" w:themeColor="text1"/>
          <w:sz w:val="24"/>
          <w:szCs w:val="24"/>
        </w:rPr>
        <w:t>.</w:t>
      </w:r>
      <w:r w:rsidR="00810642" w:rsidRPr="004D2FF7">
        <w:rPr>
          <w:rFonts w:ascii="Times New Roman" w:hAnsi="Times New Roman" w:cs="Times New Roman"/>
          <w:color w:val="000000" w:themeColor="text1"/>
          <w:sz w:val="24"/>
          <w:szCs w:val="24"/>
        </w:rPr>
        <w:t>813,6 mii lei)</w:t>
      </w:r>
      <w:r w:rsidR="006049D5" w:rsidRPr="004D2FF7">
        <w:rPr>
          <w:rFonts w:ascii="Times New Roman" w:hAnsi="Times New Roman" w:cs="Times New Roman"/>
          <w:color w:val="000000" w:themeColor="text1"/>
          <w:sz w:val="24"/>
          <w:szCs w:val="24"/>
        </w:rPr>
        <w:t>, dintre care</w:t>
      </w:r>
      <w:r w:rsidR="00C607FC">
        <w:rPr>
          <w:rFonts w:ascii="Times New Roman" w:hAnsi="Times New Roman" w:cs="Times New Roman"/>
          <w:color w:val="000000" w:themeColor="text1"/>
          <w:sz w:val="24"/>
          <w:szCs w:val="24"/>
        </w:rPr>
        <w:t>:</w:t>
      </w:r>
      <w:r w:rsidR="006049D5" w:rsidRPr="004D2FF7">
        <w:rPr>
          <w:rFonts w:ascii="Times New Roman" w:hAnsi="Times New Roman" w:cs="Times New Roman"/>
          <w:color w:val="000000" w:themeColor="text1"/>
          <w:sz w:val="24"/>
          <w:szCs w:val="24"/>
        </w:rPr>
        <w:t xml:space="preserve"> pentru </w:t>
      </w:r>
      <w:r w:rsidR="00C01CF3" w:rsidRPr="004D2FF7">
        <w:rPr>
          <w:rFonts w:ascii="Times New Roman" w:hAnsi="Times New Roman" w:cs="Times New Roman"/>
          <w:color w:val="000000" w:themeColor="text1"/>
          <w:sz w:val="24"/>
          <w:szCs w:val="24"/>
        </w:rPr>
        <w:t>procurarea mașinilor și utilajelor</w:t>
      </w:r>
      <w:r w:rsidR="006049D5" w:rsidRPr="004D2FF7">
        <w:rPr>
          <w:rFonts w:ascii="Times New Roman" w:hAnsi="Times New Roman" w:cs="Times New Roman"/>
          <w:color w:val="000000" w:themeColor="text1"/>
          <w:sz w:val="24"/>
          <w:szCs w:val="24"/>
        </w:rPr>
        <w:t xml:space="preserve"> </w:t>
      </w:r>
      <w:r w:rsidR="00C607FC">
        <w:rPr>
          <w:rFonts w:ascii="Times New Roman" w:hAnsi="Times New Roman" w:cs="Times New Roman"/>
          <w:color w:val="000000" w:themeColor="text1"/>
          <w:sz w:val="24"/>
          <w:szCs w:val="24"/>
        </w:rPr>
        <w:t>–</w:t>
      </w:r>
      <w:r w:rsidR="002C14F9" w:rsidRPr="004D2FF7">
        <w:rPr>
          <w:rFonts w:ascii="Times New Roman" w:hAnsi="Times New Roman" w:cs="Times New Roman"/>
          <w:color w:val="000000" w:themeColor="text1"/>
          <w:sz w:val="24"/>
          <w:szCs w:val="24"/>
        </w:rPr>
        <w:t xml:space="preserve"> </w:t>
      </w:r>
      <w:r w:rsidR="00C01CF3" w:rsidRPr="004D2FF7">
        <w:rPr>
          <w:rFonts w:ascii="Times New Roman" w:hAnsi="Times New Roman" w:cs="Times New Roman"/>
          <w:color w:val="000000" w:themeColor="text1"/>
          <w:sz w:val="24"/>
          <w:szCs w:val="24"/>
        </w:rPr>
        <w:t>976,3</w:t>
      </w:r>
      <w:r w:rsidR="006049D5" w:rsidRPr="004D2FF7">
        <w:rPr>
          <w:rFonts w:ascii="Times New Roman" w:hAnsi="Times New Roman" w:cs="Times New Roman"/>
          <w:color w:val="000000" w:themeColor="text1"/>
          <w:sz w:val="24"/>
          <w:szCs w:val="24"/>
        </w:rPr>
        <w:t xml:space="preserve"> mii lei</w:t>
      </w:r>
      <w:r w:rsidR="00C01CF3" w:rsidRPr="004D2FF7">
        <w:rPr>
          <w:rFonts w:ascii="Times New Roman" w:hAnsi="Times New Roman" w:cs="Times New Roman"/>
          <w:color w:val="000000" w:themeColor="text1"/>
          <w:sz w:val="24"/>
          <w:szCs w:val="24"/>
        </w:rPr>
        <w:t>, rechizite de birou – 685,7 mii lei, unelte, scule și inventar gospodăresc – 508,0 mii lei</w:t>
      </w:r>
      <w:r w:rsidR="00C607FC">
        <w:rPr>
          <w:rFonts w:ascii="Times New Roman" w:hAnsi="Times New Roman" w:cs="Times New Roman"/>
          <w:color w:val="000000" w:themeColor="text1"/>
          <w:sz w:val="24"/>
          <w:szCs w:val="24"/>
        </w:rPr>
        <w:t>,</w:t>
      </w:r>
      <w:r w:rsidR="00C01CF3" w:rsidRPr="004D2FF7">
        <w:rPr>
          <w:rFonts w:ascii="Times New Roman" w:hAnsi="Times New Roman" w:cs="Times New Roman"/>
          <w:color w:val="000000" w:themeColor="text1"/>
          <w:sz w:val="24"/>
          <w:szCs w:val="24"/>
        </w:rPr>
        <w:t xml:space="preserve"> </w:t>
      </w:r>
      <w:r w:rsidR="00F81701">
        <w:rPr>
          <w:rFonts w:ascii="Times New Roman" w:hAnsi="Times New Roman" w:cs="Times New Roman"/>
          <w:color w:val="000000" w:themeColor="text1"/>
          <w:sz w:val="24"/>
          <w:szCs w:val="24"/>
        </w:rPr>
        <w:t>carburanți</w:t>
      </w:r>
      <w:r w:rsidR="00372EAF">
        <w:rPr>
          <w:rFonts w:ascii="Times New Roman" w:hAnsi="Times New Roman" w:cs="Times New Roman"/>
          <w:color w:val="000000" w:themeColor="text1"/>
          <w:sz w:val="24"/>
          <w:szCs w:val="24"/>
        </w:rPr>
        <w:t>,</w:t>
      </w:r>
      <w:r w:rsidR="00C01CF3" w:rsidRPr="004D2FF7">
        <w:rPr>
          <w:rFonts w:ascii="Times New Roman" w:hAnsi="Times New Roman" w:cs="Times New Roman"/>
          <w:color w:val="000000" w:themeColor="text1"/>
          <w:sz w:val="24"/>
          <w:szCs w:val="24"/>
        </w:rPr>
        <w:t xml:space="preserve"> carburanți și lubrifianți</w:t>
      </w:r>
      <w:r w:rsidR="009B5FB1" w:rsidRPr="004D2FF7">
        <w:rPr>
          <w:rFonts w:ascii="Times New Roman" w:hAnsi="Times New Roman" w:cs="Times New Roman"/>
          <w:color w:val="000000" w:themeColor="text1"/>
          <w:sz w:val="24"/>
          <w:szCs w:val="24"/>
        </w:rPr>
        <w:t xml:space="preserve"> – 242,1 mii lei</w:t>
      </w:r>
      <w:r w:rsidR="00C607FC">
        <w:rPr>
          <w:rFonts w:ascii="Times New Roman" w:hAnsi="Times New Roman" w:cs="Times New Roman"/>
          <w:color w:val="000000" w:themeColor="text1"/>
          <w:sz w:val="24"/>
          <w:szCs w:val="24"/>
        </w:rPr>
        <w:t>,</w:t>
      </w:r>
      <w:r w:rsidR="009B5FB1" w:rsidRPr="004D2FF7">
        <w:rPr>
          <w:rFonts w:ascii="Times New Roman" w:hAnsi="Times New Roman" w:cs="Times New Roman"/>
          <w:color w:val="000000" w:themeColor="text1"/>
          <w:sz w:val="24"/>
          <w:szCs w:val="24"/>
        </w:rPr>
        <w:t xml:space="preserve"> și active nemateriale </w:t>
      </w:r>
      <w:r w:rsidR="00C607FC">
        <w:rPr>
          <w:rFonts w:ascii="Times New Roman" w:hAnsi="Times New Roman" w:cs="Times New Roman"/>
          <w:color w:val="000000" w:themeColor="text1"/>
          <w:sz w:val="24"/>
          <w:szCs w:val="24"/>
        </w:rPr>
        <w:t xml:space="preserve">– </w:t>
      </w:r>
      <w:r w:rsidR="009B5FB1" w:rsidRPr="004D2FF7">
        <w:rPr>
          <w:rFonts w:ascii="Times New Roman" w:hAnsi="Times New Roman" w:cs="Times New Roman"/>
          <w:color w:val="000000" w:themeColor="text1"/>
          <w:sz w:val="24"/>
          <w:szCs w:val="24"/>
        </w:rPr>
        <w:t>201,3 mii lei</w:t>
      </w:r>
      <w:r w:rsidR="00810642" w:rsidRPr="004D2FF7">
        <w:rPr>
          <w:rFonts w:ascii="Times New Roman" w:hAnsi="Times New Roman" w:cs="Times New Roman"/>
          <w:color w:val="000000" w:themeColor="text1"/>
          <w:sz w:val="24"/>
          <w:szCs w:val="24"/>
        </w:rPr>
        <w:t xml:space="preserve"> etc</w:t>
      </w:r>
      <w:r w:rsidR="006049D5" w:rsidRPr="004D2FF7">
        <w:rPr>
          <w:rFonts w:ascii="Times New Roman" w:hAnsi="Times New Roman" w:cs="Times New Roman"/>
          <w:color w:val="000000" w:themeColor="text1"/>
          <w:sz w:val="24"/>
          <w:szCs w:val="24"/>
        </w:rPr>
        <w:t xml:space="preserve">. </w:t>
      </w:r>
    </w:p>
    <w:p w14:paraId="42AACA34" w14:textId="5AAA42F4" w:rsidR="006049D5" w:rsidRPr="004D2FF7" w:rsidRDefault="006049D5" w:rsidP="009A561E">
      <w:pPr>
        <w:spacing w:after="120" w:line="276" w:lineRule="auto"/>
        <w:jc w:val="both"/>
        <w:rPr>
          <w:rFonts w:ascii="Times New Roman" w:hAnsi="Times New Roman" w:cs="Times New Roman"/>
          <w:color w:val="000000" w:themeColor="text1"/>
          <w:sz w:val="24"/>
          <w:szCs w:val="24"/>
        </w:rPr>
      </w:pPr>
      <w:r w:rsidRPr="004D2FF7">
        <w:rPr>
          <w:rFonts w:ascii="Times New Roman" w:hAnsi="Times New Roman" w:cs="Times New Roman"/>
          <w:color w:val="000000" w:themeColor="text1"/>
          <w:sz w:val="24"/>
          <w:szCs w:val="24"/>
        </w:rPr>
        <w:t xml:space="preserve">La 31.12.2022, </w:t>
      </w:r>
      <w:r w:rsidR="00810642" w:rsidRPr="004D2FF7">
        <w:rPr>
          <w:rFonts w:ascii="Times New Roman" w:hAnsi="Times New Roman" w:cs="Times New Roman"/>
          <w:color w:val="000000" w:themeColor="text1"/>
          <w:sz w:val="24"/>
          <w:szCs w:val="24"/>
        </w:rPr>
        <w:t>CNPDCP</w:t>
      </w:r>
      <w:r w:rsidRPr="004D2FF7">
        <w:rPr>
          <w:rFonts w:ascii="Times New Roman" w:hAnsi="Times New Roman" w:cs="Times New Roman"/>
          <w:color w:val="000000" w:themeColor="text1"/>
          <w:sz w:val="24"/>
          <w:szCs w:val="24"/>
        </w:rPr>
        <w:t xml:space="preserve"> înregistra datorii în </w:t>
      </w:r>
      <w:r w:rsidR="007F37A1">
        <w:rPr>
          <w:rFonts w:ascii="Times New Roman" w:hAnsi="Times New Roman" w:cs="Times New Roman"/>
          <w:color w:val="000000" w:themeColor="text1"/>
          <w:sz w:val="24"/>
          <w:szCs w:val="24"/>
        </w:rPr>
        <w:t>sumă</w:t>
      </w:r>
      <w:r w:rsidRPr="004D2FF7">
        <w:rPr>
          <w:rFonts w:ascii="Times New Roman" w:hAnsi="Times New Roman" w:cs="Times New Roman"/>
          <w:color w:val="000000" w:themeColor="text1"/>
          <w:sz w:val="24"/>
          <w:szCs w:val="24"/>
        </w:rPr>
        <w:t xml:space="preserve"> totală de</w:t>
      </w:r>
      <w:r w:rsidR="00810642" w:rsidRPr="004D2FF7">
        <w:rPr>
          <w:rFonts w:ascii="Times New Roman" w:hAnsi="Times New Roman" w:cs="Times New Roman"/>
          <w:color w:val="000000" w:themeColor="text1"/>
          <w:sz w:val="24"/>
          <w:szCs w:val="24"/>
        </w:rPr>
        <w:t xml:space="preserve"> 712,2</w:t>
      </w:r>
      <w:r w:rsidRPr="004D2FF7">
        <w:rPr>
          <w:rFonts w:ascii="Times New Roman" w:hAnsi="Times New Roman" w:cs="Times New Roman"/>
          <w:color w:val="000000" w:themeColor="text1"/>
          <w:sz w:val="24"/>
          <w:szCs w:val="24"/>
        </w:rPr>
        <w:t xml:space="preserve"> mii lei, dintre care datoriile ce țin de retribuirea </w:t>
      </w:r>
      <w:r w:rsidR="00D3732E" w:rsidRPr="004D2FF7">
        <w:rPr>
          <w:rFonts w:ascii="Times New Roman" w:hAnsi="Times New Roman" w:cs="Times New Roman"/>
          <w:color w:val="000000" w:themeColor="text1"/>
          <w:sz w:val="24"/>
          <w:szCs w:val="24"/>
        </w:rPr>
        <w:t xml:space="preserve">muncii </w:t>
      </w:r>
      <w:r w:rsidRPr="004D2FF7">
        <w:rPr>
          <w:rFonts w:ascii="Times New Roman" w:hAnsi="Times New Roman" w:cs="Times New Roman"/>
          <w:color w:val="000000" w:themeColor="text1"/>
          <w:sz w:val="24"/>
          <w:szCs w:val="24"/>
        </w:rPr>
        <w:t>angajaților pentru luna decembrie și plățil</w:t>
      </w:r>
      <w:r w:rsidR="00D3732E" w:rsidRPr="004D2FF7">
        <w:rPr>
          <w:rFonts w:ascii="Times New Roman" w:hAnsi="Times New Roman" w:cs="Times New Roman"/>
          <w:color w:val="000000" w:themeColor="text1"/>
          <w:sz w:val="24"/>
          <w:szCs w:val="24"/>
        </w:rPr>
        <w:t>e</w:t>
      </w:r>
      <w:r w:rsidRPr="004D2FF7">
        <w:rPr>
          <w:rFonts w:ascii="Times New Roman" w:hAnsi="Times New Roman" w:cs="Times New Roman"/>
          <w:color w:val="000000" w:themeColor="text1"/>
          <w:sz w:val="24"/>
          <w:szCs w:val="24"/>
        </w:rPr>
        <w:t xml:space="preserve"> aferente reprezintă </w:t>
      </w:r>
      <w:r w:rsidR="00810642" w:rsidRPr="004D2FF7">
        <w:rPr>
          <w:rFonts w:ascii="Times New Roman" w:hAnsi="Times New Roman" w:cs="Times New Roman"/>
          <w:color w:val="000000" w:themeColor="text1"/>
          <w:sz w:val="24"/>
          <w:szCs w:val="24"/>
        </w:rPr>
        <w:t>88,1</w:t>
      </w:r>
      <w:r w:rsidRPr="004D2FF7">
        <w:rPr>
          <w:rFonts w:ascii="Times New Roman" w:hAnsi="Times New Roman" w:cs="Times New Roman"/>
          <w:color w:val="000000" w:themeColor="text1"/>
          <w:sz w:val="24"/>
          <w:szCs w:val="24"/>
        </w:rPr>
        <w:t xml:space="preserve">%, sau în </w:t>
      </w:r>
      <w:r w:rsidR="007F37A1">
        <w:rPr>
          <w:rFonts w:ascii="Times New Roman" w:hAnsi="Times New Roman" w:cs="Times New Roman"/>
          <w:color w:val="000000" w:themeColor="text1"/>
          <w:sz w:val="24"/>
          <w:szCs w:val="24"/>
        </w:rPr>
        <w:lastRenderedPageBreak/>
        <w:t xml:space="preserve">sumă </w:t>
      </w:r>
      <w:r w:rsidRPr="004D2FF7">
        <w:rPr>
          <w:rFonts w:ascii="Times New Roman" w:hAnsi="Times New Roman" w:cs="Times New Roman"/>
          <w:color w:val="000000" w:themeColor="text1"/>
          <w:sz w:val="24"/>
          <w:szCs w:val="24"/>
        </w:rPr>
        <w:t xml:space="preserve">absolută </w:t>
      </w:r>
      <w:r w:rsidR="00AA256B">
        <w:rPr>
          <w:rFonts w:ascii="Times New Roman" w:hAnsi="Times New Roman" w:cs="Times New Roman"/>
          <w:color w:val="000000" w:themeColor="text1"/>
          <w:sz w:val="24"/>
          <w:szCs w:val="24"/>
        </w:rPr>
        <w:t>de</w:t>
      </w:r>
      <w:r w:rsidRPr="004D2FF7">
        <w:rPr>
          <w:rFonts w:ascii="Times New Roman" w:hAnsi="Times New Roman" w:cs="Times New Roman"/>
          <w:color w:val="000000" w:themeColor="text1"/>
          <w:sz w:val="24"/>
          <w:szCs w:val="24"/>
        </w:rPr>
        <w:t xml:space="preserve"> </w:t>
      </w:r>
      <w:r w:rsidR="00810642" w:rsidRPr="004D2FF7">
        <w:rPr>
          <w:rFonts w:ascii="Times New Roman" w:hAnsi="Times New Roman" w:cs="Times New Roman"/>
          <w:color w:val="000000" w:themeColor="text1"/>
          <w:sz w:val="24"/>
          <w:szCs w:val="24"/>
        </w:rPr>
        <w:t>627,8</w:t>
      </w:r>
      <w:r w:rsidRPr="004D2FF7">
        <w:rPr>
          <w:rFonts w:ascii="Times New Roman" w:hAnsi="Times New Roman" w:cs="Times New Roman"/>
          <w:color w:val="000000" w:themeColor="text1"/>
          <w:sz w:val="24"/>
          <w:szCs w:val="24"/>
        </w:rPr>
        <w:t xml:space="preserve"> mii lei.</w:t>
      </w:r>
      <w:r w:rsidRPr="004D2FF7">
        <w:rPr>
          <w:rFonts w:ascii="Times New Roman" w:hAnsi="Times New Roman" w:cs="Times New Roman"/>
          <w:sz w:val="24"/>
          <w:szCs w:val="24"/>
        </w:rPr>
        <w:t xml:space="preserve"> Descifrarea detaliată a </w:t>
      </w:r>
      <w:r w:rsidR="00AA256B">
        <w:rPr>
          <w:rFonts w:ascii="Times New Roman" w:hAnsi="Times New Roman" w:cs="Times New Roman"/>
          <w:sz w:val="24"/>
          <w:szCs w:val="24"/>
        </w:rPr>
        <w:t>re</w:t>
      </w:r>
      <w:r w:rsidRPr="004D2FF7">
        <w:rPr>
          <w:rFonts w:ascii="Times New Roman" w:hAnsi="Times New Roman" w:cs="Times New Roman"/>
          <w:sz w:val="24"/>
          <w:szCs w:val="24"/>
        </w:rPr>
        <w:t xml:space="preserve">surselor de finanțare a </w:t>
      </w:r>
      <w:r w:rsidR="00810642" w:rsidRPr="004D2FF7">
        <w:rPr>
          <w:rFonts w:ascii="Times New Roman" w:hAnsi="Times New Roman" w:cs="Times New Roman"/>
          <w:sz w:val="24"/>
          <w:szCs w:val="24"/>
        </w:rPr>
        <w:t xml:space="preserve">CNPDCP </w:t>
      </w:r>
      <w:r w:rsidRPr="004D2FF7">
        <w:rPr>
          <w:rFonts w:ascii="Times New Roman" w:hAnsi="Times New Roman" w:cs="Times New Roman"/>
          <w:sz w:val="24"/>
          <w:szCs w:val="24"/>
        </w:rPr>
        <w:t>și execuția  cheltuielil</w:t>
      </w:r>
      <w:r w:rsidR="00C42E4D" w:rsidRPr="004D2FF7">
        <w:rPr>
          <w:rFonts w:ascii="Times New Roman" w:hAnsi="Times New Roman" w:cs="Times New Roman"/>
          <w:sz w:val="24"/>
          <w:szCs w:val="24"/>
        </w:rPr>
        <w:t xml:space="preserve">or de casă și </w:t>
      </w:r>
      <w:r w:rsidR="00D3732E" w:rsidRPr="004D2FF7">
        <w:rPr>
          <w:rFonts w:ascii="Times New Roman" w:hAnsi="Times New Roman" w:cs="Times New Roman"/>
          <w:sz w:val="24"/>
          <w:szCs w:val="24"/>
        </w:rPr>
        <w:t xml:space="preserve">a </w:t>
      </w:r>
      <w:r w:rsidR="00C42E4D" w:rsidRPr="004D2FF7">
        <w:rPr>
          <w:rFonts w:ascii="Times New Roman" w:hAnsi="Times New Roman" w:cs="Times New Roman"/>
          <w:sz w:val="24"/>
          <w:szCs w:val="24"/>
        </w:rPr>
        <w:t>celor efective</w:t>
      </w:r>
      <w:r w:rsidR="00D3732E" w:rsidRPr="004D2FF7">
        <w:rPr>
          <w:rFonts w:ascii="Times New Roman" w:hAnsi="Times New Roman" w:cs="Times New Roman"/>
          <w:sz w:val="24"/>
          <w:szCs w:val="24"/>
        </w:rPr>
        <w:t>, î</w:t>
      </w:r>
      <w:r w:rsidRPr="004D2FF7">
        <w:rPr>
          <w:rFonts w:ascii="Times New Roman" w:hAnsi="Times New Roman" w:cs="Times New Roman"/>
          <w:sz w:val="24"/>
          <w:szCs w:val="24"/>
        </w:rPr>
        <w:t>n mod agregat pentru perioada verificată</w:t>
      </w:r>
      <w:r w:rsidR="00D3732E" w:rsidRPr="004D2FF7">
        <w:rPr>
          <w:rFonts w:ascii="Times New Roman" w:hAnsi="Times New Roman" w:cs="Times New Roman"/>
          <w:sz w:val="24"/>
          <w:szCs w:val="24"/>
        </w:rPr>
        <w:t>,</w:t>
      </w:r>
      <w:r w:rsidRPr="004D2FF7">
        <w:rPr>
          <w:rFonts w:ascii="Times New Roman" w:hAnsi="Times New Roman" w:cs="Times New Roman"/>
          <w:sz w:val="24"/>
          <w:szCs w:val="24"/>
        </w:rPr>
        <w:t xml:space="preserve"> sunt expuse în</w:t>
      </w:r>
      <w:r w:rsidRPr="004D2FF7">
        <w:rPr>
          <w:rFonts w:ascii="Times New Roman" w:hAnsi="Times New Roman" w:cs="Times New Roman"/>
          <w:i/>
          <w:sz w:val="24"/>
          <w:szCs w:val="24"/>
        </w:rPr>
        <w:t xml:space="preserve"> Anexa nr.</w:t>
      </w:r>
      <w:r w:rsidR="008C3A61" w:rsidRPr="004D2FF7">
        <w:rPr>
          <w:rFonts w:ascii="Times New Roman" w:hAnsi="Times New Roman" w:cs="Times New Roman"/>
          <w:i/>
          <w:sz w:val="24"/>
          <w:szCs w:val="24"/>
        </w:rPr>
        <w:t>3</w:t>
      </w:r>
      <w:r w:rsidRPr="004D2FF7">
        <w:rPr>
          <w:rFonts w:ascii="Times New Roman" w:hAnsi="Times New Roman" w:cs="Times New Roman"/>
          <w:sz w:val="24"/>
          <w:szCs w:val="24"/>
        </w:rPr>
        <w:t xml:space="preserve"> </w:t>
      </w:r>
      <w:r w:rsidRPr="0077171B">
        <w:rPr>
          <w:rFonts w:ascii="Times New Roman" w:hAnsi="Times New Roman" w:cs="Times New Roman"/>
          <w:i/>
          <w:sz w:val="24"/>
          <w:szCs w:val="24"/>
        </w:rPr>
        <w:t xml:space="preserve">la </w:t>
      </w:r>
      <w:r w:rsidR="00D3732E" w:rsidRPr="0077171B">
        <w:rPr>
          <w:rFonts w:ascii="Times New Roman" w:hAnsi="Times New Roman" w:cs="Times New Roman"/>
          <w:i/>
          <w:sz w:val="24"/>
          <w:szCs w:val="24"/>
        </w:rPr>
        <w:t>p</w:t>
      </w:r>
      <w:r w:rsidRPr="0077171B">
        <w:rPr>
          <w:rFonts w:ascii="Times New Roman" w:hAnsi="Times New Roman" w:cs="Times New Roman"/>
          <w:i/>
          <w:sz w:val="24"/>
          <w:szCs w:val="24"/>
        </w:rPr>
        <w:t>rezentul Raport</w:t>
      </w:r>
      <w:r w:rsidR="00C80DDA" w:rsidRPr="0077171B">
        <w:rPr>
          <w:rFonts w:ascii="Times New Roman" w:hAnsi="Times New Roman" w:cs="Times New Roman"/>
          <w:i/>
          <w:sz w:val="24"/>
          <w:szCs w:val="24"/>
        </w:rPr>
        <w:t xml:space="preserve"> de audit</w:t>
      </w:r>
      <w:r w:rsidRPr="0077171B">
        <w:rPr>
          <w:rFonts w:ascii="Times New Roman" w:hAnsi="Times New Roman" w:cs="Times New Roman"/>
          <w:i/>
          <w:sz w:val="24"/>
          <w:szCs w:val="24"/>
        </w:rPr>
        <w:t>.</w:t>
      </w:r>
    </w:p>
    <w:p w14:paraId="2D1BF3D9" w14:textId="77777777" w:rsidR="00D3732E" w:rsidRPr="004D2FF7" w:rsidRDefault="006049D5" w:rsidP="008C1B8F">
      <w:pPr>
        <w:spacing w:line="276" w:lineRule="auto"/>
        <w:jc w:val="both"/>
        <w:rPr>
          <w:rFonts w:ascii="Times New Roman" w:hAnsi="Times New Roman" w:cs="Times New Roman"/>
          <w:color w:val="000000" w:themeColor="text1"/>
          <w:sz w:val="24"/>
          <w:szCs w:val="24"/>
        </w:rPr>
      </w:pPr>
      <w:r w:rsidRPr="004D2FF7">
        <w:rPr>
          <w:rFonts w:ascii="Times New Roman" w:hAnsi="Times New Roman" w:cs="Times New Roman"/>
          <w:sz w:val="24"/>
          <w:szCs w:val="24"/>
        </w:rPr>
        <w:t xml:space="preserve">Patrimoniul constituie suportul material al </w:t>
      </w:r>
      <w:r w:rsidR="00F063CE" w:rsidRPr="004D2FF7">
        <w:rPr>
          <w:rFonts w:ascii="Times New Roman" w:hAnsi="Times New Roman" w:cs="Times New Roman"/>
          <w:sz w:val="24"/>
          <w:szCs w:val="24"/>
        </w:rPr>
        <w:t>CNPDCP</w:t>
      </w:r>
      <w:r w:rsidRPr="004D2FF7">
        <w:rPr>
          <w:rFonts w:ascii="Times New Roman" w:hAnsi="Times New Roman" w:cs="Times New Roman"/>
          <w:sz w:val="24"/>
          <w:szCs w:val="24"/>
        </w:rPr>
        <w:t>, care îi permite să funcționeze în vederea realizării misiunii sale.</w:t>
      </w:r>
      <w:r w:rsidRPr="004D2FF7">
        <w:rPr>
          <w:rFonts w:ascii="Times New Roman" w:hAnsi="Times New Roman" w:cs="Times New Roman"/>
          <w:color w:val="000000" w:themeColor="text1"/>
          <w:sz w:val="24"/>
          <w:szCs w:val="24"/>
        </w:rPr>
        <w:t xml:space="preserve"> Datele </w:t>
      </w:r>
      <w:r w:rsidR="00D02B5C">
        <w:rPr>
          <w:rFonts w:ascii="Times New Roman" w:hAnsi="Times New Roman" w:cs="Times New Roman"/>
          <w:color w:val="000000" w:themeColor="text1"/>
          <w:sz w:val="24"/>
          <w:szCs w:val="24"/>
        </w:rPr>
        <w:t>privind</w:t>
      </w:r>
      <w:r w:rsidRPr="004D2FF7">
        <w:rPr>
          <w:rFonts w:ascii="Times New Roman" w:hAnsi="Times New Roman" w:cs="Times New Roman"/>
          <w:color w:val="000000" w:themeColor="text1"/>
          <w:sz w:val="24"/>
          <w:szCs w:val="24"/>
        </w:rPr>
        <w:t xml:space="preserve"> situația patrimonială a </w:t>
      </w:r>
      <w:r w:rsidR="00F063CE" w:rsidRPr="004D2FF7">
        <w:rPr>
          <w:rFonts w:ascii="Times New Roman" w:hAnsi="Times New Roman" w:cs="Times New Roman"/>
          <w:color w:val="000000" w:themeColor="text1"/>
          <w:sz w:val="24"/>
          <w:szCs w:val="24"/>
        </w:rPr>
        <w:t>CNPDCP</w:t>
      </w:r>
      <w:r w:rsidRPr="004D2FF7">
        <w:rPr>
          <w:rFonts w:ascii="Times New Roman" w:hAnsi="Times New Roman" w:cs="Times New Roman"/>
          <w:color w:val="000000" w:themeColor="text1"/>
          <w:sz w:val="24"/>
          <w:szCs w:val="24"/>
        </w:rPr>
        <w:t xml:space="preserve"> sunt expuse în </w:t>
      </w:r>
      <w:r w:rsidR="00D3732E" w:rsidRPr="004D2FF7">
        <w:rPr>
          <w:rFonts w:ascii="Times New Roman" w:hAnsi="Times New Roman" w:cs="Times New Roman"/>
          <w:color w:val="000000" w:themeColor="text1"/>
          <w:sz w:val="24"/>
          <w:szCs w:val="24"/>
        </w:rPr>
        <w:t>T</w:t>
      </w:r>
      <w:r w:rsidRPr="004D2FF7">
        <w:rPr>
          <w:rFonts w:ascii="Times New Roman" w:hAnsi="Times New Roman" w:cs="Times New Roman"/>
          <w:color w:val="000000" w:themeColor="text1"/>
          <w:sz w:val="24"/>
          <w:szCs w:val="24"/>
        </w:rPr>
        <w:t>abelul nr.1.</w:t>
      </w:r>
    </w:p>
    <w:p w14:paraId="2466A633" w14:textId="338EA004" w:rsidR="00F657AB" w:rsidRDefault="006049D5" w:rsidP="00174BD1">
      <w:pPr>
        <w:tabs>
          <w:tab w:val="left" w:pos="270"/>
        </w:tabs>
        <w:spacing w:after="0" w:line="276" w:lineRule="auto"/>
        <w:contextualSpacing/>
        <w:jc w:val="center"/>
        <w:rPr>
          <w:rFonts w:ascii="Times New Roman" w:hAnsi="Times New Roman" w:cs="Times New Roman"/>
          <w:b/>
          <w:color w:val="000000" w:themeColor="text1"/>
          <w:sz w:val="24"/>
          <w:szCs w:val="24"/>
        </w:rPr>
      </w:pPr>
      <w:r w:rsidRPr="004D2FF7">
        <w:rPr>
          <w:rFonts w:ascii="Times New Roman" w:hAnsi="Times New Roman" w:cs="Times New Roman"/>
          <w:b/>
          <w:color w:val="000000" w:themeColor="text1"/>
          <w:sz w:val="24"/>
          <w:szCs w:val="24"/>
        </w:rPr>
        <w:t xml:space="preserve">Patrimoniul gestionat de </w:t>
      </w:r>
      <w:r w:rsidR="00F063CE" w:rsidRPr="004D2FF7">
        <w:rPr>
          <w:rFonts w:ascii="Times New Roman" w:hAnsi="Times New Roman" w:cs="Times New Roman"/>
          <w:b/>
          <w:color w:val="000000" w:themeColor="text1"/>
          <w:sz w:val="24"/>
          <w:szCs w:val="24"/>
        </w:rPr>
        <w:t>CNPDCP</w:t>
      </w:r>
      <w:r w:rsidRPr="004D2FF7">
        <w:rPr>
          <w:rFonts w:ascii="Times New Roman" w:hAnsi="Times New Roman" w:cs="Times New Roman"/>
          <w:b/>
          <w:color w:val="000000" w:themeColor="text1"/>
          <w:sz w:val="24"/>
          <w:szCs w:val="24"/>
        </w:rPr>
        <w:t xml:space="preserve"> în perioada 2018-2022</w:t>
      </w:r>
    </w:p>
    <w:p w14:paraId="1102A841" w14:textId="77777777" w:rsidR="00546720" w:rsidRPr="00546720" w:rsidRDefault="00546720" w:rsidP="00546720">
      <w:pPr>
        <w:tabs>
          <w:tab w:val="left" w:pos="270"/>
        </w:tabs>
        <w:spacing w:after="0" w:line="276" w:lineRule="auto"/>
        <w:contextualSpacing/>
        <w:jc w:val="right"/>
        <w:rPr>
          <w:rFonts w:ascii="Times New Roman" w:hAnsi="Times New Roman" w:cs="Times New Roman"/>
          <w:b/>
          <w:color w:val="000000" w:themeColor="text1"/>
        </w:rPr>
      </w:pPr>
      <w:r w:rsidRPr="00546720">
        <w:rPr>
          <w:rFonts w:ascii="Times New Roman" w:hAnsi="Times New Roman" w:cs="Times New Roman"/>
          <w:b/>
          <w:i/>
        </w:rPr>
        <w:t>Tabelul nr.1 (mii lei)</w:t>
      </w:r>
    </w:p>
    <w:tbl>
      <w:tblPr>
        <w:tblStyle w:val="GridTable4-Accent1"/>
        <w:tblW w:w="9634" w:type="dxa"/>
        <w:tblLook w:val="04A0" w:firstRow="1" w:lastRow="0" w:firstColumn="1" w:lastColumn="0" w:noHBand="0" w:noVBand="1"/>
      </w:tblPr>
      <w:tblGrid>
        <w:gridCol w:w="822"/>
        <w:gridCol w:w="3304"/>
        <w:gridCol w:w="1077"/>
        <w:gridCol w:w="1133"/>
        <w:gridCol w:w="1165"/>
        <w:gridCol w:w="1141"/>
        <w:gridCol w:w="1026"/>
      </w:tblGrid>
      <w:tr w:rsidR="00F657AB" w:rsidRPr="004D2FF7" w14:paraId="33C179BC" w14:textId="77777777" w:rsidTr="00265F4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2" w:type="dxa"/>
            <w:vMerge w:val="restart"/>
            <w:shd w:val="clear" w:color="auto" w:fill="0000CC"/>
            <w:noWrap/>
            <w:hideMark/>
          </w:tcPr>
          <w:p w14:paraId="2DFD8228" w14:textId="77777777" w:rsidR="00F657AB" w:rsidRPr="004D2FF7" w:rsidRDefault="00F657AB" w:rsidP="00F657AB">
            <w:pPr>
              <w:jc w:val="both"/>
              <w:rPr>
                <w:rFonts w:ascii="Times New Roman" w:eastAsia="Times New Roman" w:hAnsi="Times New Roman" w:cs="Times New Roman"/>
                <w:sz w:val="18"/>
                <w:szCs w:val="18"/>
              </w:rPr>
            </w:pPr>
            <w:r w:rsidRPr="004D2FF7">
              <w:rPr>
                <w:rFonts w:ascii="Times New Roman" w:eastAsia="Times New Roman" w:hAnsi="Times New Roman" w:cs="Times New Roman"/>
                <w:sz w:val="18"/>
                <w:szCs w:val="18"/>
              </w:rPr>
              <w:t>Cod ECO</w:t>
            </w:r>
          </w:p>
        </w:tc>
        <w:tc>
          <w:tcPr>
            <w:tcW w:w="3304" w:type="dxa"/>
            <w:vMerge w:val="restart"/>
            <w:shd w:val="clear" w:color="auto" w:fill="0000CC"/>
            <w:noWrap/>
            <w:hideMark/>
          </w:tcPr>
          <w:p w14:paraId="71770960" w14:textId="77777777" w:rsidR="00F657AB" w:rsidRPr="004D2FF7" w:rsidRDefault="00F657AB" w:rsidP="00F657A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D2FF7">
              <w:rPr>
                <w:rFonts w:ascii="Times New Roman" w:eastAsia="Times New Roman" w:hAnsi="Times New Roman" w:cs="Times New Roman"/>
                <w:sz w:val="18"/>
                <w:szCs w:val="18"/>
              </w:rPr>
              <w:t>Denumirea indicatorului</w:t>
            </w:r>
          </w:p>
        </w:tc>
        <w:tc>
          <w:tcPr>
            <w:tcW w:w="5508" w:type="dxa"/>
            <w:gridSpan w:val="5"/>
            <w:shd w:val="clear" w:color="auto" w:fill="0000CC"/>
            <w:noWrap/>
            <w:hideMark/>
          </w:tcPr>
          <w:p w14:paraId="7EAFA7B3" w14:textId="77777777" w:rsidR="00F657AB" w:rsidRPr="004D2FF7" w:rsidRDefault="00F657AB" w:rsidP="00F657A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D2FF7">
              <w:rPr>
                <w:rFonts w:ascii="Times New Roman" w:eastAsia="Times New Roman" w:hAnsi="Times New Roman" w:cs="Times New Roman"/>
                <w:sz w:val="18"/>
                <w:szCs w:val="18"/>
              </w:rPr>
              <w:t>Patrimoniul la situația din:</w:t>
            </w:r>
          </w:p>
        </w:tc>
      </w:tr>
      <w:tr w:rsidR="00F657AB" w:rsidRPr="004D2FF7" w14:paraId="5A09C0A8" w14:textId="77777777" w:rsidTr="00265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2" w:type="dxa"/>
            <w:vMerge/>
            <w:shd w:val="clear" w:color="auto" w:fill="0000FF"/>
            <w:hideMark/>
          </w:tcPr>
          <w:p w14:paraId="2067F6F1" w14:textId="77777777" w:rsidR="00F657AB" w:rsidRPr="004D2FF7" w:rsidRDefault="00F657AB" w:rsidP="00F657AB">
            <w:pPr>
              <w:jc w:val="both"/>
              <w:rPr>
                <w:rFonts w:ascii="Times New Roman" w:eastAsia="Times New Roman" w:hAnsi="Times New Roman" w:cs="Times New Roman"/>
                <w:color w:val="000000"/>
                <w:sz w:val="18"/>
                <w:szCs w:val="18"/>
              </w:rPr>
            </w:pPr>
          </w:p>
        </w:tc>
        <w:tc>
          <w:tcPr>
            <w:tcW w:w="3304" w:type="dxa"/>
            <w:vMerge/>
            <w:shd w:val="clear" w:color="auto" w:fill="0000FF"/>
            <w:hideMark/>
          </w:tcPr>
          <w:p w14:paraId="4F7946A1"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rPr>
            </w:pPr>
          </w:p>
        </w:tc>
        <w:tc>
          <w:tcPr>
            <w:tcW w:w="1077" w:type="dxa"/>
            <w:noWrap/>
            <w:hideMark/>
          </w:tcPr>
          <w:p w14:paraId="7A976879"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rPr>
            </w:pPr>
            <w:r w:rsidRPr="004D2FF7">
              <w:rPr>
                <w:rFonts w:ascii="Times New Roman" w:eastAsia="Times New Roman" w:hAnsi="Times New Roman" w:cs="Times New Roman"/>
                <w:b/>
                <w:bCs/>
                <w:color w:val="000000"/>
                <w:sz w:val="18"/>
                <w:szCs w:val="18"/>
              </w:rPr>
              <w:t>31.12.2018</w:t>
            </w:r>
          </w:p>
        </w:tc>
        <w:tc>
          <w:tcPr>
            <w:tcW w:w="1133" w:type="dxa"/>
            <w:noWrap/>
            <w:hideMark/>
          </w:tcPr>
          <w:p w14:paraId="1D8FEFEE"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rPr>
            </w:pPr>
            <w:r w:rsidRPr="004D2FF7">
              <w:rPr>
                <w:rFonts w:ascii="Times New Roman" w:eastAsia="Times New Roman" w:hAnsi="Times New Roman" w:cs="Times New Roman"/>
                <w:b/>
                <w:bCs/>
                <w:color w:val="000000"/>
                <w:sz w:val="18"/>
                <w:szCs w:val="18"/>
              </w:rPr>
              <w:t>31.12.2019</w:t>
            </w:r>
          </w:p>
        </w:tc>
        <w:tc>
          <w:tcPr>
            <w:tcW w:w="1165" w:type="dxa"/>
            <w:noWrap/>
            <w:hideMark/>
          </w:tcPr>
          <w:p w14:paraId="35F44E9C"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rPr>
            </w:pPr>
            <w:r w:rsidRPr="004D2FF7">
              <w:rPr>
                <w:rFonts w:ascii="Times New Roman" w:eastAsia="Times New Roman" w:hAnsi="Times New Roman" w:cs="Times New Roman"/>
                <w:b/>
                <w:bCs/>
                <w:color w:val="000000"/>
                <w:sz w:val="18"/>
                <w:szCs w:val="18"/>
              </w:rPr>
              <w:t>31.12.2020</w:t>
            </w:r>
          </w:p>
        </w:tc>
        <w:tc>
          <w:tcPr>
            <w:tcW w:w="1141" w:type="dxa"/>
            <w:noWrap/>
            <w:hideMark/>
          </w:tcPr>
          <w:p w14:paraId="787885A5"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rPr>
            </w:pPr>
            <w:r w:rsidRPr="004D2FF7">
              <w:rPr>
                <w:rFonts w:ascii="Times New Roman" w:eastAsia="Times New Roman" w:hAnsi="Times New Roman" w:cs="Times New Roman"/>
                <w:b/>
                <w:bCs/>
                <w:color w:val="000000"/>
                <w:sz w:val="18"/>
                <w:szCs w:val="18"/>
              </w:rPr>
              <w:t>31.12.2021</w:t>
            </w:r>
          </w:p>
        </w:tc>
        <w:tc>
          <w:tcPr>
            <w:tcW w:w="992" w:type="dxa"/>
            <w:noWrap/>
            <w:hideMark/>
          </w:tcPr>
          <w:p w14:paraId="42ABF604"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rPr>
            </w:pPr>
            <w:r w:rsidRPr="004D2FF7">
              <w:rPr>
                <w:rFonts w:ascii="Times New Roman" w:eastAsia="Times New Roman" w:hAnsi="Times New Roman" w:cs="Times New Roman"/>
                <w:b/>
                <w:bCs/>
                <w:color w:val="000000"/>
                <w:sz w:val="18"/>
                <w:szCs w:val="18"/>
              </w:rPr>
              <w:t>31.12.2022</w:t>
            </w:r>
          </w:p>
        </w:tc>
      </w:tr>
      <w:tr w:rsidR="00F657AB" w:rsidRPr="004D2FF7" w14:paraId="119EB5AE" w14:textId="77777777" w:rsidTr="00265F4D">
        <w:trPr>
          <w:trHeight w:val="300"/>
        </w:trPr>
        <w:tc>
          <w:tcPr>
            <w:cnfStyle w:val="001000000000" w:firstRow="0" w:lastRow="0" w:firstColumn="1" w:lastColumn="0" w:oddVBand="0" w:evenVBand="0" w:oddHBand="0" w:evenHBand="0" w:firstRowFirstColumn="0" w:firstRowLastColumn="0" w:lastRowFirstColumn="0" w:lastRowLastColumn="0"/>
            <w:tcW w:w="822" w:type="dxa"/>
            <w:noWrap/>
            <w:hideMark/>
          </w:tcPr>
          <w:p w14:paraId="4330D8A1" w14:textId="77777777" w:rsidR="00F657AB" w:rsidRPr="00D02B5C" w:rsidRDefault="00F657AB" w:rsidP="00F657AB">
            <w:pPr>
              <w:jc w:val="both"/>
              <w:rPr>
                <w:rFonts w:ascii="Times New Roman" w:eastAsia="Times New Roman" w:hAnsi="Times New Roman" w:cs="Times New Roman"/>
                <w:iCs/>
                <w:color w:val="000000"/>
                <w:sz w:val="18"/>
                <w:szCs w:val="18"/>
              </w:rPr>
            </w:pPr>
            <w:r w:rsidRPr="00D02B5C">
              <w:rPr>
                <w:rFonts w:ascii="Times New Roman" w:eastAsia="Times New Roman" w:hAnsi="Times New Roman" w:cs="Times New Roman"/>
                <w:iCs/>
                <w:color w:val="000000"/>
                <w:sz w:val="18"/>
                <w:szCs w:val="18"/>
              </w:rPr>
              <w:t>31</w:t>
            </w:r>
          </w:p>
        </w:tc>
        <w:tc>
          <w:tcPr>
            <w:tcW w:w="3304" w:type="dxa"/>
            <w:noWrap/>
            <w:hideMark/>
          </w:tcPr>
          <w:p w14:paraId="43F36C09" w14:textId="77777777" w:rsidR="00F657AB" w:rsidRPr="00D02B5C"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color w:val="000000"/>
                <w:sz w:val="18"/>
                <w:szCs w:val="18"/>
              </w:rPr>
            </w:pPr>
            <w:r w:rsidRPr="00D02B5C">
              <w:rPr>
                <w:rFonts w:ascii="Times New Roman" w:eastAsia="Times New Roman" w:hAnsi="Times New Roman" w:cs="Times New Roman"/>
                <w:b/>
                <w:bCs/>
                <w:iCs/>
                <w:color w:val="000000"/>
                <w:sz w:val="18"/>
                <w:szCs w:val="18"/>
              </w:rPr>
              <w:t>Mijloace fixe</w:t>
            </w:r>
          </w:p>
        </w:tc>
        <w:tc>
          <w:tcPr>
            <w:tcW w:w="1077" w:type="dxa"/>
            <w:noWrap/>
          </w:tcPr>
          <w:p w14:paraId="6C845D0C" w14:textId="77777777" w:rsidR="00F657AB" w:rsidRPr="00D02B5C"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color w:val="000000"/>
                <w:sz w:val="18"/>
                <w:szCs w:val="18"/>
              </w:rPr>
            </w:pPr>
            <w:r w:rsidRPr="00D02B5C">
              <w:rPr>
                <w:rFonts w:ascii="Times New Roman" w:eastAsia="Times New Roman" w:hAnsi="Times New Roman" w:cs="Times New Roman"/>
                <w:b/>
                <w:bCs/>
                <w:iCs/>
                <w:color w:val="000000"/>
                <w:sz w:val="18"/>
                <w:szCs w:val="18"/>
              </w:rPr>
              <w:t>4755,6</w:t>
            </w:r>
          </w:p>
        </w:tc>
        <w:tc>
          <w:tcPr>
            <w:tcW w:w="1133" w:type="dxa"/>
            <w:noWrap/>
          </w:tcPr>
          <w:p w14:paraId="2CF29603" w14:textId="77777777" w:rsidR="00F657AB" w:rsidRPr="00D02B5C"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color w:val="000000"/>
                <w:sz w:val="18"/>
                <w:szCs w:val="18"/>
              </w:rPr>
            </w:pPr>
            <w:r w:rsidRPr="00D02B5C">
              <w:rPr>
                <w:rFonts w:ascii="Times New Roman" w:eastAsia="Times New Roman" w:hAnsi="Times New Roman" w:cs="Times New Roman"/>
                <w:b/>
                <w:bCs/>
                <w:iCs/>
                <w:color w:val="000000"/>
                <w:sz w:val="18"/>
                <w:szCs w:val="18"/>
              </w:rPr>
              <w:t>5102,8</w:t>
            </w:r>
          </w:p>
        </w:tc>
        <w:tc>
          <w:tcPr>
            <w:tcW w:w="1165" w:type="dxa"/>
            <w:noWrap/>
          </w:tcPr>
          <w:p w14:paraId="7171C648" w14:textId="77777777" w:rsidR="00F657AB" w:rsidRPr="00D02B5C"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color w:val="000000"/>
                <w:sz w:val="18"/>
                <w:szCs w:val="18"/>
              </w:rPr>
            </w:pPr>
            <w:r w:rsidRPr="00D02B5C">
              <w:rPr>
                <w:rFonts w:ascii="Times New Roman" w:eastAsia="Times New Roman" w:hAnsi="Times New Roman" w:cs="Times New Roman"/>
                <w:b/>
                <w:bCs/>
                <w:iCs/>
                <w:color w:val="000000"/>
                <w:sz w:val="18"/>
                <w:szCs w:val="18"/>
              </w:rPr>
              <w:t>5508,9</w:t>
            </w:r>
          </w:p>
        </w:tc>
        <w:tc>
          <w:tcPr>
            <w:tcW w:w="1141" w:type="dxa"/>
            <w:noWrap/>
          </w:tcPr>
          <w:p w14:paraId="34D0A627" w14:textId="77777777" w:rsidR="00F657AB" w:rsidRPr="00D02B5C"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color w:val="000000"/>
                <w:sz w:val="18"/>
                <w:szCs w:val="18"/>
              </w:rPr>
            </w:pPr>
            <w:r w:rsidRPr="00D02B5C">
              <w:rPr>
                <w:rFonts w:ascii="Times New Roman" w:eastAsia="Times New Roman" w:hAnsi="Times New Roman" w:cs="Times New Roman"/>
                <w:b/>
                <w:bCs/>
                <w:iCs/>
                <w:color w:val="000000"/>
                <w:sz w:val="18"/>
                <w:szCs w:val="18"/>
              </w:rPr>
              <w:t>5965,4</w:t>
            </w:r>
          </w:p>
        </w:tc>
        <w:tc>
          <w:tcPr>
            <w:tcW w:w="992" w:type="dxa"/>
            <w:noWrap/>
          </w:tcPr>
          <w:p w14:paraId="4382F285" w14:textId="77777777" w:rsidR="00F657AB" w:rsidRPr="00D02B5C"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color w:val="000000"/>
                <w:sz w:val="18"/>
                <w:szCs w:val="18"/>
              </w:rPr>
            </w:pPr>
            <w:r w:rsidRPr="00D02B5C">
              <w:rPr>
                <w:rFonts w:ascii="Times New Roman" w:eastAsia="Times New Roman" w:hAnsi="Times New Roman" w:cs="Times New Roman"/>
                <w:b/>
                <w:bCs/>
                <w:iCs/>
                <w:color w:val="000000"/>
                <w:sz w:val="18"/>
                <w:szCs w:val="18"/>
              </w:rPr>
              <w:t>5155,0</w:t>
            </w:r>
          </w:p>
        </w:tc>
      </w:tr>
      <w:tr w:rsidR="00F657AB" w:rsidRPr="004D2FF7" w14:paraId="30B9607C" w14:textId="77777777" w:rsidTr="00265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2" w:type="dxa"/>
            <w:noWrap/>
            <w:hideMark/>
          </w:tcPr>
          <w:p w14:paraId="10AC9421" w14:textId="77777777" w:rsidR="00F657AB" w:rsidRPr="004D2FF7" w:rsidRDefault="00F657AB" w:rsidP="00F657AB">
            <w:pPr>
              <w:jc w:val="both"/>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314</w:t>
            </w:r>
          </w:p>
        </w:tc>
        <w:tc>
          <w:tcPr>
            <w:tcW w:w="3304" w:type="dxa"/>
            <w:noWrap/>
            <w:hideMark/>
          </w:tcPr>
          <w:p w14:paraId="47BB6724"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Mașini și utilaje</w:t>
            </w:r>
          </w:p>
        </w:tc>
        <w:tc>
          <w:tcPr>
            <w:tcW w:w="1077" w:type="dxa"/>
            <w:noWrap/>
          </w:tcPr>
          <w:p w14:paraId="7B70AFE8"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1172,1</w:t>
            </w:r>
          </w:p>
        </w:tc>
        <w:tc>
          <w:tcPr>
            <w:tcW w:w="1133" w:type="dxa"/>
            <w:noWrap/>
          </w:tcPr>
          <w:p w14:paraId="2D1963B3"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1380,1</w:t>
            </w:r>
          </w:p>
        </w:tc>
        <w:tc>
          <w:tcPr>
            <w:tcW w:w="1165" w:type="dxa"/>
            <w:noWrap/>
          </w:tcPr>
          <w:p w14:paraId="42128CCA"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1829,4</w:t>
            </w:r>
          </w:p>
        </w:tc>
        <w:tc>
          <w:tcPr>
            <w:tcW w:w="1141" w:type="dxa"/>
            <w:noWrap/>
          </w:tcPr>
          <w:p w14:paraId="5CAFF527"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2098,0</w:t>
            </w:r>
          </w:p>
        </w:tc>
        <w:tc>
          <w:tcPr>
            <w:tcW w:w="992" w:type="dxa"/>
            <w:noWrap/>
          </w:tcPr>
          <w:p w14:paraId="655CB5DA"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2170,7</w:t>
            </w:r>
          </w:p>
        </w:tc>
      </w:tr>
      <w:tr w:rsidR="00F657AB" w:rsidRPr="004D2FF7" w14:paraId="6DE146B7" w14:textId="77777777" w:rsidTr="00265F4D">
        <w:trPr>
          <w:trHeight w:val="300"/>
        </w:trPr>
        <w:tc>
          <w:tcPr>
            <w:cnfStyle w:val="001000000000" w:firstRow="0" w:lastRow="0" w:firstColumn="1" w:lastColumn="0" w:oddVBand="0" w:evenVBand="0" w:oddHBand="0" w:evenHBand="0" w:firstRowFirstColumn="0" w:firstRowLastColumn="0" w:lastRowFirstColumn="0" w:lastRowLastColumn="0"/>
            <w:tcW w:w="822" w:type="dxa"/>
            <w:noWrap/>
            <w:hideMark/>
          </w:tcPr>
          <w:p w14:paraId="52B74B4A" w14:textId="77777777" w:rsidR="00F657AB" w:rsidRPr="004D2FF7" w:rsidRDefault="00F657AB" w:rsidP="00F657AB">
            <w:pPr>
              <w:jc w:val="both"/>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315</w:t>
            </w:r>
          </w:p>
        </w:tc>
        <w:tc>
          <w:tcPr>
            <w:tcW w:w="3304" w:type="dxa"/>
            <w:noWrap/>
            <w:hideMark/>
          </w:tcPr>
          <w:p w14:paraId="5CD03258" w14:textId="77777777" w:rsidR="00F657AB" w:rsidRPr="004D2FF7"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Mijloace de transport</w:t>
            </w:r>
          </w:p>
        </w:tc>
        <w:tc>
          <w:tcPr>
            <w:tcW w:w="1077" w:type="dxa"/>
            <w:noWrap/>
          </w:tcPr>
          <w:p w14:paraId="3A28395A" w14:textId="77777777" w:rsidR="00F657AB" w:rsidRPr="004D2FF7"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1237,0</w:t>
            </w:r>
          </w:p>
        </w:tc>
        <w:tc>
          <w:tcPr>
            <w:tcW w:w="1133" w:type="dxa"/>
            <w:noWrap/>
          </w:tcPr>
          <w:p w14:paraId="342D144D" w14:textId="77777777" w:rsidR="00F657AB" w:rsidRPr="004D2FF7"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1237,0</w:t>
            </w:r>
          </w:p>
        </w:tc>
        <w:tc>
          <w:tcPr>
            <w:tcW w:w="1165" w:type="dxa"/>
            <w:noWrap/>
          </w:tcPr>
          <w:p w14:paraId="4070A94F" w14:textId="77777777" w:rsidR="00F657AB" w:rsidRPr="004D2FF7"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1237,0</w:t>
            </w:r>
          </w:p>
        </w:tc>
        <w:tc>
          <w:tcPr>
            <w:tcW w:w="1141" w:type="dxa"/>
            <w:noWrap/>
          </w:tcPr>
          <w:p w14:paraId="3D1C25A6" w14:textId="77777777" w:rsidR="00F657AB" w:rsidRPr="004D2FF7"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1237,0</w:t>
            </w:r>
          </w:p>
        </w:tc>
        <w:tc>
          <w:tcPr>
            <w:tcW w:w="992" w:type="dxa"/>
            <w:noWrap/>
          </w:tcPr>
          <w:p w14:paraId="7BDD24FF" w14:textId="77777777" w:rsidR="00F657AB" w:rsidRPr="004D2FF7"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1237,0</w:t>
            </w:r>
          </w:p>
        </w:tc>
      </w:tr>
      <w:tr w:rsidR="00F657AB" w:rsidRPr="004D2FF7" w14:paraId="3524E1D2" w14:textId="77777777" w:rsidTr="00265F4D">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22" w:type="dxa"/>
            <w:noWrap/>
            <w:hideMark/>
          </w:tcPr>
          <w:p w14:paraId="7662D2E3" w14:textId="77777777" w:rsidR="00F657AB" w:rsidRPr="004D2FF7" w:rsidRDefault="00F657AB" w:rsidP="00F657AB">
            <w:pPr>
              <w:jc w:val="both"/>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316</w:t>
            </w:r>
          </w:p>
        </w:tc>
        <w:tc>
          <w:tcPr>
            <w:tcW w:w="3304" w:type="dxa"/>
            <w:hideMark/>
          </w:tcPr>
          <w:p w14:paraId="48414AC5"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Unelte și scule, inventar de uz gospodăresc</w:t>
            </w:r>
          </w:p>
        </w:tc>
        <w:tc>
          <w:tcPr>
            <w:tcW w:w="1077" w:type="dxa"/>
            <w:noWrap/>
          </w:tcPr>
          <w:p w14:paraId="0BDE4E99"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925,2</w:t>
            </w:r>
          </w:p>
        </w:tc>
        <w:tc>
          <w:tcPr>
            <w:tcW w:w="1133" w:type="dxa"/>
            <w:noWrap/>
          </w:tcPr>
          <w:p w14:paraId="6A79EDB1"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913,3</w:t>
            </w:r>
          </w:p>
        </w:tc>
        <w:tc>
          <w:tcPr>
            <w:tcW w:w="1165" w:type="dxa"/>
            <w:noWrap/>
          </w:tcPr>
          <w:p w14:paraId="62A07C49"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1023,7</w:t>
            </w:r>
          </w:p>
        </w:tc>
        <w:tc>
          <w:tcPr>
            <w:tcW w:w="1141" w:type="dxa"/>
            <w:noWrap/>
          </w:tcPr>
          <w:p w14:paraId="41CCE652"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1061,2</w:t>
            </w:r>
          </w:p>
        </w:tc>
        <w:tc>
          <w:tcPr>
            <w:tcW w:w="992" w:type="dxa"/>
            <w:noWrap/>
          </w:tcPr>
          <w:p w14:paraId="6CAC9D8B"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1272,3</w:t>
            </w:r>
          </w:p>
        </w:tc>
      </w:tr>
      <w:tr w:rsidR="00F657AB" w:rsidRPr="004D2FF7" w14:paraId="0798F2BB" w14:textId="77777777" w:rsidTr="00265F4D">
        <w:trPr>
          <w:trHeight w:val="300"/>
        </w:trPr>
        <w:tc>
          <w:tcPr>
            <w:cnfStyle w:val="001000000000" w:firstRow="0" w:lastRow="0" w:firstColumn="1" w:lastColumn="0" w:oddVBand="0" w:evenVBand="0" w:oddHBand="0" w:evenHBand="0" w:firstRowFirstColumn="0" w:firstRowLastColumn="0" w:lastRowFirstColumn="0" w:lastRowLastColumn="0"/>
            <w:tcW w:w="822" w:type="dxa"/>
            <w:noWrap/>
            <w:hideMark/>
          </w:tcPr>
          <w:p w14:paraId="62F806BC" w14:textId="77777777" w:rsidR="00F657AB" w:rsidRPr="004D2FF7" w:rsidRDefault="00F657AB" w:rsidP="00F657AB">
            <w:pPr>
              <w:jc w:val="both"/>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317</w:t>
            </w:r>
          </w:p>
        </w:tc>
        <w:tc>
          <w:tcPr>
            <w:tcW w:w="3304" w:type="dxa"/>
            <w:noWrap/>
            <w:hideMark/>
          </w:tcPr>
          <w:p w14:paraId="60274525" w14:textId="77777777" w:rsidR="00F657AB" w:rsidRPr="004D2FF7"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Active nemateriale</w:t>
            </w:r>
          </w:p>
        </w:tc>
        <w:tc>
          <w:tcPr>
            <w:tcW w:w="1077" w:type="dxa"/>
            <w:noWrap/>
          </w:tcPr>
          <w:p w14:paraId="5D947707" w14:textId="77777777" w:rsidR="00F657AB" w:rsidRPr="004D2FF7"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1,6</w:t>
            </w:r>
          </w:p>
        </w:tc>
        <w:tc>
          <w:tcPr>
            <w:tcW w:w="1133" w:type="dxa"/>
            <w:noWrap/>
          </w:tcPr>
          <w:p w14:paraId="23A73889" w14:textId="77777777" w:rsidR="00F657AB" w:rsidRPr="004D2FF7"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204,7</w:t>
            </w:r>
          </w:p>
        </w:tc>
        <w:tc>
          <w:tcPr>
            <w:tcW w:w="1165" w:type="dxa"/>
            <w:noWrap/>
          </w:tcPr>
          <w:p w14:paraId="6130B64F" w14:textId="77777777" w:rsidR="00F657AB" w:rsidRPr="004D2FF7"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1401,9</w:t>
            </w:r>
          </w:p>
        </w:tc>
        <w:tc>
          <w:tcPr>
            <w:tcW w:w="1141" w:type="dxa"/>
            <w:noWrap/>
          </w:tcPr>
          <w:p w14:paraId="24CEED09" w14:textId="77777777" w:rsidR="00F657AB" w:rsidRPr="004D2FF7"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1552,3</w:t>
            </w:r>
          </w:p>
        </w:tc>
        <w:tc>
          <w:tcPr>
            <w:tcW w:w="992" w:type="dxa"/>
            <w:noWrap/>
          </w:tcPr>
          <w:p w14:paraId="3168412C" w14:textId="77777777" w:rsidR="00F657AB" w:rsidRPr="004D2FF7"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458,2</w:t>
            </w:r>
          </w:p>
        </w:tc>
      </w:tr>
      <w:tr w:rsidR="00F657AB" w:rsidRPr="004D2FF7" w14:paraId="64B6584E" w14:textId="77777777" w:rsidTr="00265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2" w:type="dxa"/>
            <w:noWrap/>
            <w:hideMark/>
          </w:tcPr>
          <w:p w14:paraId="11A496D3" w14:textId="77777777" w:rsidR="00F657AB" w:rsidRPr="004D2FF7" w:rsidRDefault="00F657AB" w:rsidP="00F657AB">
            <w:pPr>
              <w:jc w:val="both"/>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318</w:t>
            </w:r>
          </w:p>
        </w:tc>
        <w:tc>
          <w:tcPr>
            <w:tcW w:w="3304" w:type="dxa"/>
            <w:noWrap/>
            <w:hideMark/>
          </w:tcPr>
          <w:p w14:paraId="723ADA8A"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Alte mijloace fixe</w:t>
            </w:r>
          </w:p>
        </w:tc>
        <w:tc>
          <w:tcPr>
            <w:tcW w:w="1077" w:type="dxa"/>
            <w:noWrap/>
          </w:tcPr>
          <w:p w14:paraId="56DEE1AF"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1419,6</w:t>
            </w:r>
          </w:p>
        </w:tc>
        <w:tc>
          <w:tcPr>
            <w:tcW w:w="1133" w:type="dxa"/>
            <w:noWrap/>
          </w:tcPr>
          <w:p w14:paraId="3F84D2A9"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1367,7</w:t>
            </w:r>
          </w:p>
        </w:tc>
        <w:tc>
          <w:tcPr>
            <w:tcW w:w="1165" w:type="dxa"/>
            <w:noWrap/>
          </w:tcPr>
          <w:p w14:paraId="6592804C"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16,8</w:t>
            </w:r>
          </w:p>
        </w:tc>
        <w:tc>
          <w:tcPr>
            <w:tcW w:w="1141" w:type="dxa"/>
            <w:noWrap/>
          </w:tcPr>
          <w:p w14:paraId="4050DAD2"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16,8</w:t>
            </w:r>
          </w:p>
        </w:tc>
        <w:tc>
          <w:tcPr>
            <w:tcW w:w="992" w:type="dxa"/>
            <w:noWrap/>
          </w:tcPr>
          <w:p w14:paraId="78E783C0"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16,8</w:t>
            </w:r>
          </w:p>
        </w:tc>
      </w:tr>
      <w:tr w:rsidR="00F657AB" w:rsidRPr="004D2FF7" w14:paraId="6E7A46E8" w14:textId="77777777" w:rsidTr="00265F4D">
        <w:trPr>
          <w:trHeight w:val="564"/>
        </w:trPr>
        <w:tc>
          <w:tcPr>
            <w:cnfStyle w:val="001000000000" w:firstRow="0" w:lastRow="0" w:firstColumn="1" w:lastColumn="0" w:oddVBand="0" w:evenVBand="0" w:oddHBand="0" w:evenHBand="0" w:firstRowFirstColumn="0" w:firstRowLastColumn="0" w:lastRowFirstColumn="0" w:lastRowLastColumn="0"/>
            <w:tcW w:w="822" w:type="dxa"/>
            <w:noWrap/>
            <w:hideMark/>
          </w:tcPr>
          <w:p w14:paraId="42669668" w14:textId="77777777" w:rsidR="00F657AB" w:rsidRPr="004D2FF7" w:rsidRDefault="00F657AB" w:rsidP="00F657AB">
            <w:pPr>
              <w:jc w:val="both"/>
              <w:rPr>
                <w:rFonts w:ascii="Times New Roman" w:eastAsia="Times New Roman" w:hAnsi="Times New Roman" w:cs="Times New Roman"/>
                <w:i/>
                <w:iCs/>
                <w:color w:val="000000"/>
                <w:sz w:val="18"/>
                <w:szCs w:val="18"/>
              </w:rPr>
            </w:pPr>
            <w:r w:rsidRPr="004D2FF7">
              <w:rPr>
                <w:rFonts w:ascii="Times New Roman" w:eastAsia="Times New Roman" w:hAnsi="Times New Roman" w:cs="Times New Roman"/>
                <w:i/>
                <w:iCs/>
                <w:color w:val="000000"/>
                <w:sz w:val="18"/>
                <w:szCs w:val="18"/>
              </w:rPr>
              <w:t>39</w:t>
            </w:r>
          </w:p>
        </w:tc>
        <w:tc>
          <w:tcPr>
            <w:tcW w:w="3304" w:type="dxa"/>
            <w:hideMark/>
          </w:tcPr>
          <w:p w14:paraId="74A4E719" w14:textId="77777777" w:rsidR="00F657AB" w:rsidRPr="004D2FF7"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iCs/>
                <w:color w:val="000000"/>
                <w:sz w:val="18"/>
                <w:szCs w:val="18"/>
              </w:rPr>
            </w:pPr>
            <w:r w:rsidRPr="004D2FF7">
              <w:rPr>
                <w:rFonts w:ascii="Times New Roman" w:eastAsia="Times New Roman" w:hAnsi="Times New Roman" w:cs="Times New Roman"/>
                <w:b/>
                <w:i/>
                <w:iCs/>
                <w:color w:val="000000"/>
                <w:sz w:val="18"/>
                <w:szCs w:val="18"/>
              </w:rPr>
              <w:t>Uzura mijloacelor fixe și amortizarea activelor nemateriale</w:t>
            </w:r>
          </w:p>
        </w:tc>
        <w:tc>
          <w:tcPr>
            <w:tcW w:w="1077" w:type="dxa"/>
            <w:noWrap/>
          </w:tcPr>
          <w:p w14:paraId="7542A9AF" w14:textId="77777777" w:rsidR="00F657AB" w:rsidRPr="004D2FF7"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iCs/>
                <w:color w:val="000000"/>
                <w:sz w:val="18"/>
                <w:szCs w:val="18"/>
              </w:rPr>
            </w:pPr>
            <w:r w:rsidRPr="004D2FF7">
              <w:rPr>
                <w:rFonts w:ascii="Times New Roman" w:eastAsia="Times New Roman" w:hAnsi="Times New Roman" w:cs="Times New Roman"/>
                <w:b/>
                <w:i/>
                <w:iCs/>
                <w:color w:val="000000"/>
                <w:sz w:val="18"/>
                <w:szCs w:val="18"/>
              </w:rPr>
              <w:t>1262,8</w:t>
            </w:r>
          </w:p>
        </w:tc>
        <w:tc>
          <w:tcPr>
            <w:tcW w:w="1133" w:type="dxa"/>
            <w:noWrap/>
          </w:tcPr>
          <w:p w14:paraId="1974854E" w14:textId="77777777" w:rsidR="00F657AB" w:rsidRPr="004D2FF7"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iCs/>
                <w:color w:val="000000"/>
                <w:sz w:val="18"/>
                <w:szCs w:val="18"/>
              </w:rPr>
            </w:pPr>
            <w:r w:rsidRPr="004D2FF7">
              <w:rPr>
                <w:rFonts w:ascii="Times New Roman" w:eastAsia="Times New Roman" w:hAnsi="Times New Roman" w:cs="Times New Roman"/>
                <w:b/>
                <w:i/>
                <w:iCs/>
                <w:color w:val="000000"/>
                <w:sz w:val="18"/>
                <w:szCs w:val="18"/>
              </w:rPr>
              <w:t>2102,8</w:t>
            </w:r>
          </w:p>
        </w:tc>
        <w:tc>
          <w:tcPr>
            <w:tcW w:w="1165" w:type="dxa"/>
            <w:noWrap/>
          </w:tcPr>
          <w:p w14:paraId="262AB603" w14:textId="77777777" w:rsidR="00F657AB" w:rsidRPr="004D2FF7"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iCs/>
                <w:color w:val="000000"/>
                <w:sz w:val="18"/>
                <w:szCs w:val="18"/>
              </w:rPr>
            </w:pPr>
            <w:r w:rsidRPr="004D2FF7">
              <w:rPr>
                <w:rFonts w:ascii="Times New Roman" w:eastAsia="Times New Roman" w:hAnsi="Times New Roman" w:cs="Times New Roman"/>
                <w:b/>
                <w:i/>
                <w:iCs/>
                <w:color w:val="000000"/>
                <w:sz w:val="18"/>
                <w:szCs w:val="18"/>
              </w:rPr>
              <w:t>3130,6</w:t>
            </w:r>
          </w:p>
        </w:tc>
        <w:tc>
          <w:tcPr>
            <w:tcW w:w="1141" w:type="dxa"/>
            <w:noWrap/>
          </w:tcPr>
          <w:p w14:paraId="4F955F2A" w14:textId="77777777" w:rsidR="00F657AB" w:rsidRPr="004D2FF7"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iCs/>
                <w:color w:val="000000"/>
                <w:sz w:val="18"/>
                <w:szCs w:val="18"/>
              </w:rPr>
            </w:pPr>
            <w:r w:rsidRPr="004D2FF7">
              <w:rPr>
                <w:rFonts w:ascii="Times New Roman" w:eastAsia="Times New Roman" w:hAnsi="Times New Roman" w:cs="Times New Roman"/>
                <w:b/>
                <w:i/>
                <w:iCs/>
                <w:color w:val="000000"/>
                <w:sz w:val="18"/>
                <w:szCs w:val="18"/>
              </w:rPr>
              <w:t>4158,9</w:t>
            </w:r>
          </w:p>
        </w:tc>
        <w:tc>
          <w:tcPr>
            <w:tcW w:w="992" w:type="dxa"/>
            <w:noWrap/>
          </w:tcPr>
          <w:p w14:paraId="3070B270" w14:textId="77777777" w:rsidR="00F657AB" w:rsidRPr="004D2FF7" w:rsidRDefault="00F657AB" w:rsidP="00F657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iCs/>
                <w:color w:val="000000"/>
                <w:sz w:val="18"/>
                <w:szCs w:val="18"/>
              </w:rPr>
            </w:pPr>
            <w:r w:rsidRPr="004D2FF7">
              <w:rPr>
                <w:rFonts w:ascii="Times New Roman" w:eastAsia="Times New Roman" w:hAnsi="Times New Roman" w:cs="Times New Roman"/>
                <w:b/>
                <w:i/>
                <w:iCs/>
                <w:color w:val="000000"/>
                <w:sz w:val="18"/>
                <w:szCs w:val="18"/>
              </w:rPr>
              <w:t>3509,1</w:t>
            </w:r>
          </w:p>
        </w:tc>
      </w:tr>
      <w:tr w:rsidR="00F657AB" w:rsidRPr="004D2FF7" w14:paraId="6A58C6FE" w14:textId="77777777" w:rsidTr="00265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2" w:type="dxa"/>
            <w:noWrap/>
            <w:hideMark/>
          </w:tcPr>
          <w:p w14:paraId="63FF126A" w14:textId="77777777" w:rsidR="00F657AB" w:rsidRPr="004D2FF7" w:rsidRDefault="00F657AB" w:rsidP="00F657AB">
            <w:pPr>
              <w:jc w:val="both"/>
              <w:rPr>
                <w:rFonts w:ascii="Times New Roman" w:eastAsia="Times New Roman" w:hAnsi="Times New Roman" w:cs="Times New Roman"/>
                <w:i/>
                <w:iCs/>
                <w:color w:val="000000"/>
                <w:sz w:val="18"/>
                <w:szCs w:val="18"/>
              </w:rPr>
            </w:pPr>
          </w:p>
        </w:tc>
        <w:tc>
          <w:tcPr>
            <w:tcW w:w="3304" w:type="dxa"/>
            <w:hideMark/>
          </w:tcPr>
          <w:p w14:paraId="4B724825"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sidRPr="004D2FF7">
              <w:rPr>
                <w:rFonts w:ascii="Times New Roman" w:eastAsia="Times New Roman" w:hAnsi="Times New Roman" w:cs="Times New Roman"/>
                <w:b/>
                <w:color w:val="000000"/>
                <w:sz w:val="18"/>
                <w:szCs w:val="18"/>
              </w:rPr>
              <w:t>Valoarea de bilanț a mijloacelor fixe</w:t>
            </w:r>
          </w:p>
        </w:tc>
        <w:tc>
          <w:tcPr>
            <w:tcW w:w="1077" w:type="dxa"/>
            <w:noWrap/>
          </w:tcPr>
          <w:p w14:paraId="7A4692E6"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sidRPr="004D2FF7">
              <w:rPr>
                <w:rFonts w:ascii="Times New Roman" w:eastAsia="Times New Roman" w:hAnsi="Times New Roman" w:cs="Times New Roman"/>
                <w:b/>
                <w:color w:val="000000"/>
                <w:sz w:val="18"/>
                <w:szCs w:val="18"/>
              </w:rPr>
              <w:t>3492,8</w:t>
            </w:r>
          </w:p>
        </w:tc>
        <w:tc>
          <w:tcPr>
            <w:tcW w:w="1133" w:type="dxa"/>
            <w:noWrap/>
          </w:tcPr>
          <w:p w14:paraId="007E6B22"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sidRPr="004D2FF7">
              <w:rPr>
                <w:rFonts w:ascii="Times New Roman" w:eastAsia="Times New Roman" w:hAnsi="Times New Roman" w:cs="Times New Roman"/>
                <w:b/>
                <w:color w:val="000000"/>
                <w:sz w:val="18"/>
                <w:szCs w:val="18"/>
              </w:rPr>
              <w:t>3000,0</w:t>
            </w:r>
          </w:p>
        </w:tc>
        <w:tc>
          <w:tcPr>
            <w:tcW w:w="1165" w:type="dxa"/>
            <w:noWrap/>
          </w:tcPr>
          <w:p w14:paraId="0CE0A848"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sidRPr="004D2FF7">
              <w:rPr>
                <w:rFonts w:ascii="Times New Roman" w:eastAsia="Times New Roman" w:hAnsi="Times New Roman" w:cs="Times New Roman"/>
                <w:b/>
                <w:color w:val="000000"/>
                <w:sz w:val="18"/>
                <w:szCs w:val="18"/>
              </w:rPr>
              <w:t>2378,3</w:t>
            </w:r>
          </w:p>
        </w:tc>
        <w:tc>
          <w:tcPr>
            <w:tcW w:w="1141" w:type="dxa"/>
            <w:noWrap/>
          </w:tcPr>
          <w:p w14:paraId="21A49D17"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sidRPr="004D2FF7">
              <w:rPr>
                <w:rFonts w:ascii="Times New Roman" w:eastAsia="Times New Roman" w:hAnsi="Times New Roman" w:cs="Times New Roman"/>
                <w:b/>
                <w:color w:val="000000"/>
                <w:sz w:val="18"/>
                <w:szCs w:val="18"/>
              </w:rPr>
              <w:t>1806,5</w:t>
            </w:r>
          </w:p>
        </w:tc>
        <w:tc>
          <w:tcPr>
            <w:tcW w:w="992" w:type="dxa"/>
            <w:noWrap/>
            <w:hideMark/>
          </w:tcPr>
          <w:p w14:paraId="432B2C8C" w14:textId="77777777" w:rsidR="00F657AB" w:rsidRPr="004D2FF7" w:rsidRDefault="00F657AB" w:rsidP="00F657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sidRPr="004D2FF7">
              <w:rPr>
                <w:rFonts w:ascii="Times New Roman" w:eastAsia="Times New Roman" w:hAnsi="Times New Roman" w:cs="Times New Roman"/>
                <w:b/>
                <w:color w:val="000000"/>
                <w:sz w:val="18"/>
                <w:szCs w:val="18"/>
              </w:rPr>
              <w:t>1645,9</w:t>
            </w:r>
          </w:p>
        </w:tc>
      </w:tr>
    </w:tbl>
    <w:p w14:paraId="6AD6F568" w14:textId="11B03DE2" w:rsidR="006049D5" w:rsidRPr="004D2FF7" w:rsidRDefault="006049D5" w:rsidP="008C1B8F">
      <w:pPr>
        <w:jc w:val="both"/>
        <w:rPr>
          <w:rFonts w:ascii="Times New Roman" w:hAnsi="Times New Roman" w:cs="Times New Roman"/>
          <w:i/>
          <w:sz w:val="18"/>
          <w:szCs w:val="18"/>
        </w:rPr>
      </w:pPr>
      <w:r w:rsidRPr="004D2FF7">
        <w:rPr>
          <w:rFonts w:ascii="Times New Roman" w:hAnsi="Times New Roman" w:cs="Times New Roman"/>
          <w:b/>
          <w:i/>
          <w:sz w:val="18"/>
          <w:szCs w:val="18"/>
        </w:rPr>
        <w:t>Sursa:</w:t>
      </w:r>
      <w:r w:rsidRPr="004D2FF7">
        <w:rPr>
          <w:rFonts w:ascii="Times New Roman" w:hAnsi="Times New Roman" w:cs="Times New Roman"/>
          <w:i/>
          <w:sz w:val="18"/>
          <w:szCs w:val="18"/>
        </w:rPr>
        <w:t xml:space="preserve"> Informați</w:t>
      </w:r>
      <w:r w:rsidR="000F13D4">
        <w:rPr>
          <w:rFonts w:ascii="Times New Roman" w:hAnsi="Times New Roman" w:cs="Times New Roman"/>
          <w:i/>
          <w:sz w:val="18"/>
          <w:szCs w:val="18"/>
        </w:rPr>
        <w:t>i</w:t>
      </w:r>
      <w:r w:rsidRPr="004D2FF7">
        <w:rPr>
          <w:rFonts w:ascii="Times New Roman" w:hAnsi="Times New Roman" w:cs="Times New Roman"/>
          <w:i/>
          <w:sz w:val="18"/>
          <w:szCs w:val="18"/>
        </w:rPr>
        <w:t xml:space="preserve"> generalizat</w:t>
      </w:r>
      <w:r w:rsidR="000F13D4">
        <w:rPr>
          <w:rFonts w:ascii="Times New Roman" w:hAnsi="Times New Roman" w:cs="Times New Roman"/>
          <w:i/>
          <w:sz w:val="18"/>
          <w:szCs w:val="18"/>
        </w:rPr>
        <w:t>e</w:t>
      </w:r>
      <w:r w:rsidRPr="004D2FF7">
        <w:rPr>
          <w:rFonts w:ascii="Times New Roman" w:hAnsi="Times New Roman" w:cs="Times New Roman"/>
          <w:i/>
          <w:sz w:val="18"/>
          <w:szCs w:val="18"/>
        </w:rPr>
        <w:t xml:space="preserve"> de audit în baza Bilanțurilor contabile (Form</w:t>
      </w:r>
      <w:r w:rsidR="000F13D4">
        <w:rPr>
          <w:rFonts w:ascii="Times New Roman" w:hAnsi="Times New Roman" w:cs="Times New Roman"/>
          <w:i/>
          <w:sz w:val="18"/>
          <w:szCs w:val="18"/>
        </w:rPr>
        <w:t>ul</w:t>
      </w:r>
      <w:r w:rsidRPr="004D2FF7">
        <w:rPr>
          <w:rFonts w:ascii="Times New Roman" w:hAnsi="Times New Roman" w:cs="Times New Roman"/>
          <w:i/>
          <w:sz w:val="18"/>
          <w:szCs w:val="18"/>
        </w:rPr>
        <w:t>a</w:t>
      </w:r>
      <w:r w:rsidR="000F13D4">
        <w:rPr>
          <w:rFonts w:ascii="Times New Roman" w:hAnsi="Times New Roman" w:cs="Times New Roman"/>
          <w:i/>
          <w:sz w:val="18"/>
          <w:szCs w:val="18"/>
        </w:rPr>
        <w:t>rul</w:t>
      </w:r>
      <w:r w:rsidRPr="004D2FF7">
        <w:rPr>
          <w:rFonts w:ascii="Times New Roman" w:hAnsi="Times New Roman" w:cs="Times New Roman"/>
          <w:i/>
          <w:sz w:val="18"/>
          <w:szCs w:val="18"/>
        </w:rPr>
        <w:t xml:space="preserve"> FD-041) pentru anii 2018</w:t>
      </w:r>
      <w:r w:rsidR="005C7AA2">
        <w:rPr>
          <w:rFonts w:ascii="Times New Roman" w:hAnsi="Times New Roman" w:cs="Times New Roman"/>
          <w:i/>
          <w:sz w:val="18"/>
          <w:szCs w:val="18"/>
        </w:rPr>
        <w:t>-</w:t>
      </w:r>
      <w:r w:rsidRPr="004D2FF7">
        <w:rPr>
          <w:rFonts w:ascii="Times New Roman" w:hAnsi="Times New Roman" w:cs="Times New Roman"/>
          <w:i/>
          <w:sz w:val="18"/>
          <w:szCs w:val="18"/>
        </w:rPr>
        <w:t>2022.</w:t>
      </w:r>
    </w:p>
    <w:p w14:paraId="53918FA4" w14:textId="7D2ECFDD" w:rsidR="006049D5" w:rsidRPr="004D2FF7" w:rsidRDefault="006049D5" w:rsidP="008C1B8F">
      <w:pPr>
        <w:spacing w:after="80" w:line="276" w:lineRule="auto"/>
        <w:jc w:val="both"/>
        <w:rPr>
          <w:rFonts w:ascii="Times New Roman" w:hAnsi="Times New Roman" w:cs="Times New Roman"/>
          <w:sz w:val="24"/>
          <w:szCs w:val="24"/>
        </w:rPr>
      </w:pPr>
      <w:r w:rsidRPr="004D2FF7">
        <w:rPr>
          <w:rFonts w:ascii="Times New Roman" w:hAnsi="Times New Roman" w:cs="Times New Roman"/>
          <w:sz w:val="24"/>
          <w:szCs w:val="24"/>
        </w:rPr>
        <w:t>Informați</w:t>
      </w:r>
      <w:r w:rsidR="000F13D4">
        <w:rPr>
          <w:rFonts w:ascii="Times New Roman" w:hAnsi="Times New Roman" w:cs="Times New Roman"/>
          <w:sz w:val="24"/>
          <w:szCs w:val="24"/>
        </w:rPr>
        <w:t>ile</w:t>
      </w:r>
      <w:r w:rsidRPr="004D2FF7">
        <w:rPr>
          <w:rFonts w:ascii="Times New Roman" w:hAnsi="Times New Roman" w:cs="Times New Roman"/>
          <w:sz w:val="24"/>
          <w:szCs w:val="24"/>
        </w:rPr>
        <w:t xml:space="preserve"> expus</w:t>
      </w:r>
      <w:r w:rsidR="000F13D4">
        <w:rPr>
          <w:rFonts w:ascii="Times New Roman" w:hAnsi="Times New Roman" w:cs="Times New Roman"/>
          <w:sz w:val="24"/>
          <w:szCs w:val="24"/>
        </w:rPr>
        <w:t>e</w:t>
      </w:r>
      <w:r w:rsidRPr="004D2FF7">
        <w:rPr>
          <w:rFonts w:ascii="Times New Roman" w:hAnsi="Times New Roman" w:cs="Times New Roman"/>
          <w:sz w:val="24"/>
          <w:szCs w:val="24"/>
        </w:rPr>
        <w:t xml:space="preserve"> în tabel denotă că, la situația din 31.12.2022, </w:t>
      </w:r>
      <w:r w:rsidR="00F657AB" w:rsidRPr="004D2FF7">
        <w:rPr>
          <w:rFonts w:ascii="Times New Roman" w:hAnsi="Times New Roman" w:cs="Times New Roman"/>
          <w:sz w:val="24"/>
          <w:szCs w:val="24"/>
        </w:rPr>
        <w:t>CNPDCP</w:t>
      </w:r>
      <w:r w:rsidRPr="004D2FF7">
        <w:rPr>
          <w:rFonts w:ascii="Times New Roman" w:hAnsi="Times New Roman" w:cs="Times New Roman"/>
          <w:sz w:val="24"/>
          <w:szCs w:val="24"/>
        </w:rPr>
        <w:t xml:space="preserve"> avea în gestiunea sa mijloace fixe cu valoarea de bilanț de </w:t>
      </w:r>
      <w:r w:rsidR="00F657AB" w:rsidRPr="004D2FF7">
        <w:rPr>
          <w:rFonts w:ascii="Times New Roman" w:hAnsi="Times New Roman" w:cs="Times New Roman"/>
          <w:sz w:val="24"/>
          <w:szCs w:val="24"/>
        </w:rPr>
        <w:t>5</w:t>
      </w:r>
      <w:r w:rsidR="000F13D4">
        <w:rPr>
          <w:rFonts w:ascii="Times New Roman" w:hAnsi="Times New Roman" w:cs="Times New Roman"/>
          <w:sz w:val="24"/>
          <w:szCs w:val="24"/>
        </w:rPr>
        <w:t>.</w:t>
      </w:r>
      <w:r w:rsidR="00F657AB" w:rsidRPr="004D2FF7">
        <w:rPr>
          <w:rFonts w:ascii="Times New Roman" w:hAnsi="Times New Roman" w:cs="Times New Roman"/>
          <w:sz w:val="24"/>
          <w:szCs w:val="24"/>
        </w:rPr>
        <w:t>155,0</w:t>
      </w:r>
      <w:r w:rsidRPr="004D2FF7">
        <w:rPr>
          <w:rFonts w:ascii="Times New Roman" w:hAnsi="Times New Roman" w:cs="Times New Roman"/>
          <w:sz w:val="24"/>
          <w:szCs w:val="24"/>
        </w:rPr>
        <w:t xml:space="preserve"> mii lei, nivelul uzur</w:t>
      </w:r>
      <w:r w:rsidR="00035D06" w:rsidRPr="004D2FF7">
        <w:rPr>
          <w:rFonts w:ascii="Times New Roman" w:hAnsi="Times New Roman" w:cs="Times New Roman"/>
          <w:sz w:val="24"/>
          <w:szCs w:val="24"/>
        </w:rPr>
        <w:t>ii</w:t>
      </w:r>
      <w:r w:rsidRPr="004D2FF7">
        <w:rPr>
          <w:rFonts w:ascii="Times New Roman" w:hAnsi="Times New Roman" w:cs="Times New Roman"/>
          <w:sz w:val="24"/>
          <w:szCs w:val="24"/>
        </w:rPr>
        <w:t xml:space="preserve"> constituia</w:t>
      </w:r>
      <w:r w:rsidR="00F657AB" w:rsidRPr="004D2FF7">
        <w:rPr>
          <w:rFonts w:ascii="Times New Roman" w:hAnsi="Times New Roman" w:cs="Times New Roman"/>
          <w:sz w:val="24"/>
          <w:szCs w:val="24"/>
        </w:rPr>
        <w:t xml:space="preserve"> 68,0</w:t>
      </w:r>
      <w:r w:rsidRPr="004D2FF7">
        <w:rPr>
          <w:rFonts w:ascii="Times New Roman" w:hAnsi="Times New Roman" w:cs="Times New Roman"/>
          <w:sz w:val="24"/>
          <w:szCs w:val="24"/>
        </w:rPr>
        <w:t>%</w:t>
      </w:r>
      <w:r w:rsidR="000F13D4">
        <w:rPr>
          <w:rFonts w:ascii="Times New Roman" w:hAnsi="Times New Roman" w:cs="Times New Roman"/>
          <w:sz w:val="24"/>
          <w:szCs w:val="24"/>
        </w:rPr>
        <w:t>,</w:t>
      </w:r>
      <w:r w:rsidR="007C0984" w:rsidRPr="004D2FF7">
        <w:rPr>
          <w:rFonts w:ascii="Times New Roman" w:hAnsi="Times New Roman" w:cs="Times New Roman"/>
          <w:sz w:val="24"/>
          <w:szCs w:val="24"/>
        </w:rPr>
        <w:t xml:space="preserve"> sau </w:t>
      </w:r>
      <w:r w:rsidR="007C0984" w:rsidRPr="004D2FF7">
        <w:rPr>
          <w:rFonts w:ascii="Times New Roman" w:eastAsia="Times New Roman" w:hAnsi="Times New Roman" w:cs="Times New Roman"/>
          <w:iCs/>
          <w:color w:val="000000"/>
          <w:sz w:val="24"/>
          <w:szCs w:val="24"/>
        </w:rPr>
        <w:t>3</w:t>
      </w:r>
      <w:r w:rsidR="000F13D4">
        <w:rPr>
          <w:rFonts w:ascii="Times New Roman" w:eastAsia="Times New Roman" w:hAnsi="Times New Roman" w:cs="Times New Roman"/>
          <w:iCs/>
          <w:color w:val="000000"/>
          <w:sz w:val="24"/>
          <w:szCs w:val="24"/>
        </w:rPr>
        <w:t>.</w:t>
      </w:r>
      <w:r w:rsidR="007C0984" w:rsidRPr="004D2FF7">
        <w:rPr>
          <w:rFonts w:ascii="Times New Roman" w:eastAsia="Times New Roman" w:hAnsi="Times New Roman" w:cs="Times New Roman"/>
          <w:iCs/>
          <w:color w:val="000000"/>
          <w:sz w:val="24"/>
          <w:szCs w:val="24"/>
        </w:rPr>
        <w:t>509,1</w:t>
      </w:r>
      <w:r w:rsidR="007C0984" w:rsidRPr="004D2FF7">
        <w:rPr>
          <w:rFonts w:ascii="Times New Roman" w:hAnsi="Times New Roman" w:cs="Times New Roman"/>
          <w:sz w:val="24"/>
          <w:szCs w:val="24"/>
        </w:rPr>
        <w:t xml:space="preserve"> mii lei</w:t>
      </w:r>
      <w:r w:rsidRPr="004D2FF7">
        <w:rPr>
          <w:rFonts w:ascii="Times New Roman" w:hAnsi="Times New Roman" w:cs="Times New Roman"/>
          <w:sz w:val="24"/>
          <w:szCs w:val="24"/>
        </w:rPr>
        <w:t>. Ponderea</w:t>
      </w:r>
      <w:r w:rsidR="00035D06" w:rsidRPr="004D2FF7">
        <w:rPr>
          <w:rFonts w:ascii="Times New Roman" w:hAnsi="Times New Roman" w:cs="Times New Roman"/>
          <w:sz w:val="24"/>
          <w:szCs w:val="24"/>
        </w:rPr>
        <w:t xml:space="preserve"> de</w:t>
      </w:r>
      <w:r w:rsidRPr="004D2FF7">
        <w:rPr>
          <w:rFonts w:ascii="Times New Roman" w:hAnsi="Times New Roman" w:cs="Times New Roman"/>
          <w:sz w:val="24"/>
          <w:szCs w:val="24"/>
        </w:rPr>
        <w:t xml:space="preserve"> </w:t>
      </w:r>
      <w:r w:rsidR="00F657AB" w:rsidRPr="004D2FF7">
        <w:rPr>
          <w:rFonts w:ascii="Times New Roman" w:hAnsi="Times New Roman" w:cs="Times New Roman"/>
          <w:sz w:val="24"/>
          <w:szCs w:val="24"/>
        </w:rPr>
        <w:t>66,1</w:t>
      </w:r>
      <w:r w:rsidRPr="004D2FF7">
        <w:rPr>
          <w:rFonts w:ascii="Times New Roman" w:hAnsi="Times New Roman" w:cs="Times New Roman"/>
          <w:sz w:val="24"/>
          <w:szCs w:val="24"/>
        </w:rPr>
        <w:t>%</w:t>
      </w:r>
      <w:r w:rsidR="00035D06" w:rsidRPr="004D2FF7">
        <w:rPr>
          <w:rFonts w:ascii="Times New Roman" w:hAnsi="Times New Roman" w:cs="Times New Roman"/>
          <w:sz w:val="24"/>
          <w:szCs w:val="24"/>
        </w:rPr>
        <w:t xml:space="preserve"> î</w:t>
      </w:r>
      <w:r w:rsidRPr="004D2FF7">
        <w:rPr>
          <w:rFonts w:ascii="Times New Roman" w:hAnsi="Times New Roman" w:cs="Times New Roman"/>
          <w:sz w:val="24"/>
          <w:szCs w:val="24"/>
        </w:rPr>
        <w:t>n totalul mijloacel</w:t>
      </w:r>
      <w:r w:rsidR="00035D06" w:rsidRPr="004D2FF7">
        <w:rPr>
          <w:rFonts w:ascii="Times New Roman" w:hAnsi="Times New Roman" w:cs="Times New Roman"/>
          <w:sz w:val="24"/>
          <w:szCs w:val="24"/>
        </w:rPr>
        <w:t>or</w:t>
      </w:r>
      <w:r w:rsidRPr="004D2FF7">
        <w:rPr>
          <w:rFonts w:ascii="Times New Roman" w:hAnsi="Times New Roman" w:cs="Times New Roman"/>
          <w:sz w:val="24"/>
          <w:szCs w:val="24"/>
        </w:rPr>
        <w:t xml:space="preserve"> fixe deținute de </w:t>
      </w:r>
      <w:r w:rsidR="00F657AB" w:rsidRPr="004D2FF7">
        <w:rPr>
          <w:rFonts w:ascii="Times New Roman" w:hAnsi="Times New Roman" w:cs="Times New Roman"/>
          <w:sz w:val="24"/>
          <w:szCs w:val="24"/>
        </w:rPr>
        <w:t>CNPDCP</w:t>
      </w:r>
      <w:r w:rsidRPr="004D2FF7">
        <w:rPr>
          <w:rFonts w:ascii="Times New Roman" w:hAnsi="Times New Roman" w:cs="Times New Roman"/>
          <w:sz w:val="24"/>
          <w:szCs w:val="24"/>
        </w:rPr>
        <w:t xml:space="preserve"> revine </w:t>
      </w:r>
      <w:r w:rsidR="00F657AB" w:rsidRPr="004D2FF7">
        <w:rPr>
          <w:rFonts w:ascii="Times New Roman" w:hAnsi="Times New Roman" w:cs="Times New Roman"/>
          <w:sz w:val="24"/>
          <w:szCs w:val="24"/>
        </w:rPr>
        <w:t>mașinilor</w:t>
      </w:r>
      <w:r w:rsidR="000F13D4">
        <w:rPr>
          <w:rFonts w:ascii="Times New Roman" w:hAnsi="Times New Roman" w:cs="Times New Roman"/>
          <w:sz w:val="24"/>
          <w:szCs w:val="24"/>
        </w:rPr>
        <w:t>,</w:t>
      </w:r>
      <w:r w:rsidR="00ED01AE" w:rsidRPr="004D2FF7">
        <w:rPr>
          <w:rFonts w:ascii="Times New Roman" w:hAnsi="Times New Roman" w:cs="Times New Roman"/>
          <w:sz w:val="24"/>
          <w:szCs w:val="24"/>
        </w:rPr>
        <w:t xml:space="preserve"> </w:t>
      </w:r>
      <w:r w:rsidR="00F657AB" w:rsidRPr="004D2FF7">
        <w:rPr>
          <w:rFonts w:ascii="Times New Roman" w:hAnsi="Times New Roman" w:cs="Times New Roman"/>
          <w:sz w:val="24"/>
          <w:szCs w:val="24"/>
        </w:rPr>
        <w:t>utilajelor și mijloacelor de transport</w:t>
      </w:r>
      <w:r w:rsidRPr="004D2FF7">
        <w:rPr>
          <w:rFonts w:ascii="Times New Roman" w:hAnsi="Times New Roman" w:cs="Times New Roman"/>
          <w:sz w:val="24"/>
          <w:szCs w:val="24"/>
        </w:rPr>
        <w:t xml:space="preserve"> aflate în gestiune.</w:t>
      </w:r>
    </w:p>
    <w:p w14:paraId="12405FF8" w14:textId="77777777" w:rsidR="009B1BEA" w:rsidRDefault="006049D5" w:rsidP="008C1B8F">
      <w:pPr>
        <w:spacing w:after="0" w:line="276" w:lineRule="auto"/>
        <w:jc w:val="both"/>
        <w:rPr>
          <w:rFonts w:ascii="Times New Roman" w:hAnsi="Times New Roman" w:cs="Times New Roman"/>
          <w:sz w:val="24"/>
          <w:szCs w:val="24"/>
        </w:rPr>
      </w:pPr>
      <w:r w:rsidRPr="004D2FF7">
        <w:rPr>
          <w:rFonts w:ascii="Times New Roman" w:hAnsi="Times New Roman" w:cs="Times New Roman"/>
          <w:sz w:val="24"/>
          <w:szCs w:val="24"/>
        </w:rPr>
        <w:t>Concomitent, la finele anului 2022, conform datelor evidenței contabile</w:t>
      </w:r>
      <w:r w:rsidR="00035D06" w:rsidRPr="004D2FF7">
        <w:rPr>
          <w:rFonts w:ascii="Times New Roman" w:hAnsi="Times New Roman" w:cs="Times New Roman"/>
          <w:sz w:val="24"/>
          <w:szCs w:val="24"/>
        </w:rPr>
        <w:t>,</w:t>
      </w:r>
      <w:r w:rsidRPr="004D2FF7">
        <w:rPr>
          <w:rFonts w:ascii="Times New Roman" w:hAnsi="Times New Roman" w:cs="Times New Roman"/>
          <w:sz w:val="24"/>
          <w:szCs w:val="24"/>
        </w:rPr>
        <w:t xml:space="preserve"> </w:t>
      </w:r>
      <w:r w:rsidR="00F657AB" w:rsidRPr="004D2FF7">
        <w:rPr>
          <w:rFonts w:ascii="Times New Roman" w:hAnsi="Times New Roman" w:cs="Times New Roman"/>
          <w:sz w:val="24"/>
          <w:szCs w:val="24"/>
        </w:rPr>
        <w:t>CNPDCP</w:t>
      </w:r>
      <w:r w:rsidRPr="004D2FF7">
        <w:rPr>
          <w:rFonts w:ascii="Times New Roman" w:hAnsi="Times New Roman" w:cs="Times New Roman"/>
          <w:sz w:val="24"/>
          <w:szCs w:val="24"/>
        </w:rPr>
        <w:t xml:space="preserve"> gestiona </w:t>
      </w:r>
      <w:r w:rsidR="00174BD1" w:rsidRPr="004D2FF7">
        <w:rPr>
          <w:rFonts w:ascii="Times New Roman" w:hAnsi="Times New Roman" w:cs="Times New Roman"/>
          <w:sz w:val="24"/>
          <w:szCs w:val="24"/>
        </w:rPr>
        <w:t>materiale</w:t>
      </w:r>
      <w:r w:rsidRPr="004D2FF7">
        <w:rPr>
          <w:rFonts w:ascii="Times New Roman" w:hAnsi="Times New Roman" w:cs="Times New Roman"/>
          <w:sz w:val="24"/>
          <w:szCs w:val="24"/>
        </w:rPr>
        <w:t xml:space="preserve"> circulante în valoare de </w:t>
      </w:r>
      <w:r w:rsidR="00373DB1" w:rsidRPr="004D2FF7">
        <w:rPr>
          <w:rFonts w:ascii="Times New Roman" w:hAnsi="Times New Roman" w:cs="Times New Roman"/>
          <w:sz w:val="24"/>
          <w:szCs w:val="24"/>
        </w:rPr>
        <w:t xml:space="preserve">663,5 </w:t>
      </w:r>
      <w:r w:rsidRPr="004D2FF7">
        <w:rPr>
          <w:rFonts w:ascii="Times New Roman" w:hAnsi="Times New Roman" w:cs="Times New Roman"/>
          <w:sz w:val="24"/>
          <w:szCs w:val="24"/>
        </w:rPr>
        <w:t xml:space="preserve">mii lei, a căror </w:t>
      </w:r>
      <w:r w:rsidR="00035D06" w:rsidRPr="004D2FF7">
        <w:rPr>
          <w:rFonts w:ascii="Times New Roman" w:hAnsi="Times New Roman" w:cs="Times New Roman"/>
          <w:sz w:val="24"/>
          <w:szCs w:val="24"/>
        </w:rPr>
        <w:t xml:space="preserve">descifrare </w:t>
      </w:r>
      <w:r w:rsidRPr="004D2FF7">
        <w:rPr>
          <w:rFonts w:ascii="Times New Roman" w:hAnsi="Times New Roman" w:cs="Times New Roman"/>
          <w:sz w:val="24"/>
          <w:szCs w:val="24"/>
        </w:rPr>
        <w:t xml:space="preserve">este redată în </w:t>
      </w:r>
      <w:r w:rsidR="004C3CBB" w:rsidRPr="004D2FF7">
        <w:rPr>
          <w:rFonts w:ascii="Times New Roman" w:hAnsi="Times New Roman" w:cs="Times New Roman"/>
          <w:sz w:val="24"/>
          <w:szCs w:val="24"/>
        </w:rPr>
        <w:t>T</w:t>
      </w:r>
      <w:r w:rsidRPr="004D2FF7">
        <w:rPr>
          <w:rFonts w:ascii="Times New Roman" w:hAnsi="Times New Roman" w:cs="Times New Roman"/>
          <w:sz w:val="24"/>
          <w:szCs w:val="24"/>
        </w:rPr>
        <w:t>abelul nr.2.</w:t>
      </w:r>
    </w:p>
    <w:p w14:paraId="4AAE7B52" w14:textId="77777777" w:rsidR="00546720" w:rsidRDefault="00546720" w:rsidP="008C1B8F">
      <w:pPr>
        <w:spacing w:after="0" w:line="276" w:lineRule="auto"/>
        <w:jc w:val="both"/>
        <w:rPr>
          <w:rFonts w:ascii="Times New Roman" w:hAnsi="Times New Roman" w:cs="Times New Roman"/>
          <w:i/>
          <w:sz w:val="24"/>
          <w:szCs w:val="24"/>
        </w:rPr>
      </w:pPr>
    </w:p>
    <w:p w14:paraId="22BDC48B" w14:textId="07E943A1" w:rsidR="008C6F48" w:rsidRPr="00546720" w:rsidRDefault="00546720" w:rsidP="00546720">
      <w:pPr>
        <w:spacing w:after="0" w:line="276" w:lineRule="auto"/>
        <w:jc w:val="center"/>
        <w:rPr>
          <w:rFonts w:ascii="Times New Roman" w:hAnsi="Times New Roman" w:cs="Times New Roman"/>
          <w:b/>
          <w:sz w:val="24"/>
          <w:szCs w:val="24"/>
        </w:rPr>
      </w:pPr>
      <w:r w:rsidRPr="00546720">
        <w:rPr>
          <w:rFonts w:ascii="Times New Roman" w:hAnsi="Times New Roman" w:cs="Times New Roman"/>
          <w:b/>
          <w:sz w:val="24"/>
          <w:szCs w:val="24"/>
        </w:rPr>
        <w:t>Stocurile de materiale circulante ale CNPDCP</w:t>
      </w:r>
      <w:r>
        <w:rPr>
          <w:rFonts w:ascii="Times New Roman" w:hAnsi="Times New Roman" w:cs="Times New Roman"/>
          <w:b/>
          <w:sz w:val="24"/>
          <w:szCs w:val="24"/>
        </w:rPr>
        <w:t xml:space="preserve"> raportat</w:t>
      </w:r>
      <w:r w:rsidR="00876C33">
        <w:rPr>
          <w:rFonts w:ascii="Times New Roman" w:hAnsi="Times New Roman" w:cs="Times New Roman"/>
          <w:b/>
          <w:sz w:val="24"/>
          <w:szCs w:val="24"/>
        </w:rPr>
        <w:t>e</w:t>
      </w:r>
      <w:r w:rsidRPr="00546720">
        <w:rPr>
          <w:rFonts w:ascii="Times New Roman" w:hAnsi="Times New Roman" w:cs="Times New Roman"/>
          <w:b/>
          <w:color w:val="000000" w:themeColor="text1"/>
          <w:sz w:val="24"/>
          <w:szCs w:val="24"/>
        </w:rPr>
        <w:t xml:space="preserve"> </w:t>
      </w:r>
      <w:r w:rsidRPr="004D2FF7">
        <w:rPr>
          <w:rFonts w:ascii="Times New Roman" w:hAnsi="Times New Roman" w:cs="Times New Roman"/>
          <w:b/>
          <w:color w:val="000000" w:themeColor="text1"/>
          <w:sz w:val="24"/>
          <w:szCs w:val="24"/>
        </w:rPr>
        <w:t>în perioada 2018-2022</w:t>
      </w:r>
    </w:p>
    <w:p w14:paraId="6529D479" w14:textId="77777777" w:rsidR="00B916B2" w:rsidRPr="00546720" w:rsidRDefault="009B096C" w:rsidP="00546720">
      <w:pPr>
        <w:spacing w:after="0"/>
        <w:jc w:val="right"/>
        <w:rPr>
          <w:rFonts w:ascii="Times New Roman" w:hAnsi="Times New Roman" w:cs="Times New Roman"/>
          <w:b/>
          <w:i/>
        </w:rPr>
      </w:pPr>
      <w:r>
        <w:rPr>
          <w:rFonts w:ascii="Times New Roman" w:hAnsi="Times New Roman" w:cs="Times New Roman"/>
          <w:i/>
          <w:sz w:val="24"/>
          <w:szCs w:val="24"/>
        </w:rPr>
        <w:t xml:space="preserve">                                                                      </w:t>
      </w:r>
      <w:r w:rsidR="006049D5" w:rsidRPr="00546720">
        <w:rPr>
          <w:rFonts w:ascii="Times New Roman" w:hAnsi="Times New Roman" w:cs="Times New Roman"/>
          <w:b/>
          <w:i/>
        </w:rPr>
        <w:t xml:space="preserve">Tabelul nr.2 </w:t>
      </w:r>
      <w:r w:rsidR="00174BD1" w:rsidRPr="00546720">
        <w:rPr>
          <w:rFonts w:ascii="Times New Roman" w:hAnsi="Times New Roman" w:cs="Times New Roman"/>
          <w:b/>
          <w:i/>
        </w:rPr>
        <w:t>(mii lei)</w:t>
      </w:r>
    </w:p>
    <w:tbl>
      <w:tblPr>
        <w:tblStyle w:val="GridTable4-Accent5"/>
        <w:tblW w:w="9678" w:type="dxa"/>
        <w:tblLook w:val="04A0" w:firstRow="1" w:lastRow="0" w:firstColumn="1" w:lastColumn="0" w:noHBand="0" w:noVBand="1"/>
      </w:tblPr>
      <w:tblGrid>
        <w:gridCol w:w="909"/>
        <w:gridCol w:w="3242"/>
        <w:gridCol w:w="1061"/>
        <w:gridCol w:w="1061"/>
        <w:gridCol w:w="1061"/>
        <w:gridCol w:w="1061"/>
        <w:gridCol w:w="1061"/>
        <w:gridCol w:w="222"/>
      </w:tblGrid>
      <w:tr w:rsidR="00546720" w:rsidRPr="004D2FF7" w14:paraId="285024B8" w14:textId="77777777" w:rsidTr="005467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9" w:type="dxa"/>
            <w:shd w:val="clear" w:color="auto" w:fill="0000CC"/>
            <w:noWrap/>
          </w:tcPr>
          <w:p w14:paraId="10C906D8" w14:textId="77777777" w:rsidR="00546720" w:rsidRPr="004D2FF7" w:rsidRDefault="00546720" w:rsidP="00E45E43">
            <w:pPr>
              <w:jc w:val="center"/>
              <w:rPr>
                <w:rFonts w:ascii="Times New Roman" w:eastAsia="Times New Roman" w:hAnsi="Times New Roman" w:cs="Times New Roman"/>
                <w:sz w:val="18"/>
                <w:szCs w:val="18"/>
              </w:rPr>
            </w:pPr>
            <w:r w:rsidRPr="004D2FF7">
              <w:rPr>
                <w:rFonts w:ascii="Times New Roman" w:eastAsia="Times New Roman" w:hAnsi="Times New Roman" w:cs="Times New Roman"/>
                <w:sz w:val="18"/>
                <w:szCs w:val="18"/>
              </w:rPr>
              <w:t>33</w:t>
            </w:r>
          </w:p>
        </w:tc>
        <w:tc>
          <w:tcPr>
            <w:tcW w:w="3242" w:type="dxa"/>
            <w:shd w:val="clear" w:color="auto" w:fill="0000CC"/>
            <w:noWrap/>
          </w:tcPr>
          <w:p w14:paraId="0B183AA1" w14:textId="77777777" w:rsidR="00546720" w:rsidRPr="004D2FF7" w:rsidRDefault="00546720" w:rsidP="00E45E4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D2FF7">
              <w:rPr>
                <w:rFonts w:ascii="Times New Roman" w:eastAsia="Times New Roman" w:hAnsi="Times New Roman" w:cs="Times New Roman"/>
                <w:i/>
                <w:iCs/>
                <w:sz w:val="18"/>
                <w:szCs w:val="18"/>
              </w:rPr>
              <w:t>Stocuri de materiale circulante</w:t>
            </w:r>
          </w:p>
        </w:tc>
        <w:tc>
          <w:tcPr>
            <w:tcW w:w="1061" w:type="dxa"/>
            <w:shd w:val="clear" w:color="auto" w:fill="0000CC"/>
            <w:noWrap/>
          </w:tcPr>
          <w:p w14:paraId="3B8DE1C5" w14:textId="77777777" w:rsidR="00546720" w:rsidRPr="004D2FF7" w:rsidRDefault="00546720" w:rsidP="00E45E43">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r w:rsidRPr="004D2FF7">
              <w:rPr>
                <w:rFonts w:ascii="Times New Roman" w:eastAsia="Times New Roman" w:hAnsi="Times New Roman" w:cs="Times New Roman"/>
                <w:sz w:val="18"/>
                <w:szCs w:val="18"/>
              </w:rPr>
              <w:t>31.12.2018</w:t>
            </w:r>
          </w:p>
        </w:tc>
        <w:tc>
          <w:tcPr>
            <w:tcW w:w="1061" w:type="dxa"/>
            <w:shd w:val="clear" w:color="auto" w:fill="0000CC"/>
            <w:noWrap/>
          </w:tcPr>
          <w:p w14:paraId="4D1B0DA5" w14:textId="77777777" w:rsidR="00546720" w:rsidRPr="004D2FF7" w:rsidRDefault="00546720" w:rsidP="00E45E43">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r w:rsidRPr="004D2FF7">
              <w:rPr>
                <w:rFonts w:ascii="Times New Roman" w:eastAsia="Times New Roman" w:hAnsi="Times New Roman" w:cs="Times New Roman"/>
                <w:sz w:val="18"/>
                <w:szCs w:val="18"/>
              </w:rPr>
              <w:t>31.12.2019</w:t>
            </w:r>
          </w:p>
        </w:tc>
        <w:tc>
          <w:tcPr>
            <w:tcW w:w="1061" w:type="dxa"/>
            <w:shd w:val="clear" w:color="auto" w:fill="0000CC"/>
            <w:noWrap/>
          </w:tcPr>
          <w:p w14:paraId="21E74CEF" w14:textId="77777777" w:rsidR="00546720" w:rsidRPr="004D2FF7" w:rsidRDefault="00546720" w:rsidP="00E45E43">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r w:rsidRPr="004D2FF7">
              <w:rPr>
                <w:rFonts w:ascii="Times New Roman" w:eastAsia="Times New Roman" w:hAnsi="Times New Roman" w:cs="Times New Roman"/>
                <w:sz w:val="18"/>
                <w:szCs w:val="18"/>
              </w:rPr>
              <w:t>31.12.2020</w:t>
            </w:r>
          </w:p>
        </w:tc>
        <w:tc>
          <w:tcPr>
            <w:tcW w:w="1061" w:type="dxa"/>
            <w:shd w:val="clear" w:color="auto" w:fill="0000CC"/>
            <w:noWrap/>
          </w:tcPr>
          <w:p w14:paraId="417F2612" w14:textId="77777777" w:rsidR="00546720" w:rsidRPr="004D2FF7" w:rsidRDefault="00546720" w:rsidP="00E45E43">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r w:rsidRPr="004D2FF7">
              <w:rPr>
                <w:rFonts w:ascii="Times New Roman" w:eastAsia="Times New Roman" w:hAnsi="Times New Roman" w:cs="Times New Roman"/>
                <w:sz w:val="18"/>
                <w:szCs w:val="18"/>
              </w:rPr>
              <w:t>31.12.2021</w:t>
            </w:r>
          </w:p>
        </w:tc>
        <w:tc>
          <w:tcPr>
            <w:tcW w:w="1061" w:type="dxa"/>
            <w:shd w:val="clear" w:color="auto" w:fill="0000CC"/>
            <w:noWrap/>
          </w:tcPr>
          <w:p w14:paraId="45E451B0" w14:textId="77777777" w:rsidR="00546720" w:rsidRPr="004D2FF7" w:rsidRDefault="00546720" w:rsidP="00E45E43">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r w:rsidRPr="004D2FF7">
              <w:rPr>
                <w:rFonts w:ascii="Times New Roman" w:eastAsia="Times New Roman" w:hAnsi="Times New Roman" w:cs="Times New Roman"/>
                <w:sz w:val="18"/>
                <w:szCs w:val="18"/>
              </w:rPr>
              <w:t>31.12.2022</w:t>
            </w:r>
          </w:p>
        </w:tc>
        <w:tc>
          <w:tcPr>
            <w:tcW w:w="222" w:type="dxa"/>
            <w:shd w:val="clear" w:color="auto" w:fill="0000CC"/>
          </w:tcPr>
          <w:p w14:paraId="631E9BE9" w14:textId="77777777" w:rsidR="00546720" w:rsidRPr="004D2FF7" w:rsidRDefault="00546720" w:rsidP="00E45E43">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546720" w:rsidRPr="004D2FF7" w14:paraId="066A1AEA" w14:textId="77777777" w:rsidTr="005467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51" w:type="dxa"/>
            <w:gridSpan w:val="2"/>
            <w:noWrap/>
          </w:tcPr>
          <w:p w14:paraId="259D6FFA" w14:textId="77777777" w:rsidR="00546720" w:rsidRPr="004D2FF7" w:rsidRDefault="00546720" w:rsidP="00E45E43">
            <w:pPr>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Total:</w:t>
            </w:r>
          </w:p>
        </w:tc>
        <w:tc>
          <w:tcPr>
            <w:tcW w:w="1061" w:type="dxa"/>
            <w:noWrap/>
          </w:tcPr>
          <w:p w14:paraId="23DD8816"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sidRPr="004D2FF7">
              <w:rPr>
                <w:rFonts w:ascii="Times New Roman" w:eastAsia="Times New Roman" w:hAnsi="Times New Roman" w:cs="Times New Roman"/>
                <w:b/>
                <w:color w:val="000000"/>
                <w:sz w:val="18"/>
                <w:szCs w:val="18"/>
              </w:rPr>
              <w:t>481,4</w:t>
            </w:r>
          </w:p>
        </w:tc>
        <w:tc>
          <w:tcPr>
            <w:tcW w:w="1061" w:type="dxa"/>
            <w:noWrap/>
          </w:tcPr>
          <w:p w14:paraId="04BA8BAA"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sidRPr="004D2FF7">
              <w:rPr>
                <w:rFonts w:ascii="Times New Roman" w:eastAsia="Times New Roman" w:hAnsi="Times New Roman" w:cs="Times New Roman"/>
                <w:b/>
                <w:color w:val="000000"/>
                <w:sz w:val="18"/>
                <w:szCs w:val="18"/>
              </w:rPr>
              <w:t>652,8</w:t>
            </w:r>
          </w:p>
        </w:tc>
        <w:tc>
          <w:tcPr>
            <w:tcW w:w="1061" w:type="dxa"/>
            <w:noWrap/>
          </w:tcPr>
          <w:p w14:paraId="038C99CE"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sidRPr="004D2FF7">
              <w:rPr>
                <w:rFonts w:ascii="Times New Roman" w:eastAsia="Times New Roman" w:hAnsi="Times New Roman" w:cs="Times New Roman"/>
                <w:b/>
                <w:color w:val="000000"/>
                <w:sz w:val="18"/>
                <w:szCs w:val="18"/>
              </w:rPr>
              <w:t>540,2</w:t>
            </w:r>
          </w:p>
        </w:tc>
        <w:tc>
          <w:tcPr>
            <w:tcW w:w="1061" w:type="dxa"/>
            <w:noWrap/>
          </w:tcPr>
          <w:p w14:paraId="43F52B48"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sidRPr="004D2FF7">
              <w:rPr>
                <w:rFonts w:ascii="Times New Roman" w:eastAsia="Times New Roman" w:hAnsi="Times New Roman" w:cs="Times New Roman"/>
                <w:b/>
                <w:color w:val="000000"/>
                <w:sz w:val="18"/>
                <w:szCs w:val="18"/>
              </w:rPr>
              <w:t>558,0</w:t>
            </w:r>
          </w:p>
        </w:tc>
        <w:tc>
          <w:tcPr>
            <w:tcW w:w="1061" w:type="dxa"/>
            <w:noWrap/>
          </w:tcPr>
          <w:p w14:paraId="2F8A52E2"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sidRPr="004D2FF7">
              <w:rPr>
                <w:rFonts w:ascii="Times New Roman" w:eastAsia="Times New Roman" w:hAnsi="Times New Roman" w:cs="Times New Roman"/>
                <w:b/>
                <w:color w:val="000000"/>
                <w:sz w:val="18"/>
                <w:szCs w:val="18"/>
              </w:rPr>
              <w:t>663,5</w:t>
            </w:r>
          </w:p>
        </w:tc>
        <w:tc>
          <w:tcPr>
            <w:tcW w:w="222" w:type="dxa"/>
          </w:tcPr>
          <w:p w14:paraId="689A66E4"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p>
        </w:tc>
      </w:tr>
      <w:tr w:rsidR="00546720" w:rsidRPr="004D2FF7" w14:paraId="1409D678" w14:textId="77777777" w:rsidTr="00546720">
        <w:trPr>
          <w:trHeight w:val="300"/>
        </w:trPr>
        <w:tc>
          <w:tcPr>
            <w:cnfStyle w:val="001000000000" w:firstRow="0" w:lastRow="0" w:firstColumn="1" w:lastColumn="0" w:oddVBand="0" w:evenVBand="0" w:oddHBand="0" w:evenHBand="0" w:firstRowFirstColumn="0" w:firstRowLastColumn="0" w:lastRowFirstColumn="0" w:lastRowLastColumn="0"/>
            <w:tcW w:w="909" w:type="dxa"/>
            <w:noWrap/>
          </w:tcPr>
          <w:p w14:paraId="2F972D92" w14:textId="77777777" w:rsidR="00546720" w:rsidRPr="004D2FF7" w:rsidRDefault="00546720" w:rsidP="00E45E43">
            <w:pPr>
              <w:jc w:val="center"/>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331</w:t>
            </w:r>
          </w:p>
        </w:tc>
        <w:tc>
          <w:tcPr>
            <w:tcW w:w="3242" w:type="dxa"/>
            <w:noWrap/>
          </w:tcPr>
          <w:p w14:paraId="55BBF41C" w14:textId="22454A91" w:rsidR="00546720" w:rsidRPr="004D2FF7" w:rsidRDefault="00F81701" w:rsidP="00E45E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Carburanți</w:t>
            </w:r>
            <w:r w:rsidR="00546720" w:rsidRPr="004D2FF7">
              <w:rPr>
                <w:rFonts w:ascii="Times New Roman" w:eastAsia="Times New Roman" w:hAnsi="Times New Roman" w:cs="Times New Roman"/>
                <w:color w:val="000000"/>
                <w:sz w:val="18"/>
                <w:szCs w:val="18"/>
              </w:rPr>
              <w:t>, carburanți și lubrifianți</w:t>
            </w:r>
          </w:p>
        </w:tc>
        <w:tc>
          <w:tcPr>
            <w:tcW w:w="1061" w:type="dxa"/>
            <w:noWrap/>
          </w:tcPr>
          <w:p w14:paraId="2690A73F" w14:textId="77777777" w:rsidR="00546720" w:rsidRPr="004D2FF7" w:rsidRDefault="00546720" w:rsidP="00E45E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2,7</w:t>
            </w:r>
          </w:p>
        </w:tc>
        <w:tc>
          <w:tcPr>
            <w:tcW w:w="1061" w:type="dxa"/>
            <w:noWrap/>
          </w:tcPr>
          <w:p w14:paraId="166CE3E5" w14:textId="77777777" w:rsidR="00546720" w:rsidRPr="004D2FF7" w:rsidRDefault="00546720" w:rsidP="00E45E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2,3</w:t>
            </w:r>
          </w:p>
        </w:tc>
        <w:tc>
          <w:tcPr>
            <w:tcW w:w="1061" w:type="dxa"/>
            <w:noWrap/>
          </w:tcPr>
          <w:p w14:paraId="6A6F9105" w14:textId="77777777" w:rsidR="00546720" w:rsidRPr="004D2FF7" w:rsidRDefault="00546720" w:rsidP="00E45E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4,1</w:t>
            </w:r>
          </w:p>
        </w:tc>
        <w:tc>
          <w:tcPr>
            <w:tcW w:w="1061" w:type="dxa"/>
            <w:noWrap/>
          </w:tcPr>
          <w:p w14:paraId="551B5BEF" w14:textId="77777777" w:rsidR="00546720" w:rsidRPr="004D2FF7" w:rsidRDefault="00546720" w:rsidP="00E45E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2,3</w:t>
            </w:r>
          </w:p>
        </w:tc>
        <w:tc>
          <w:tcPr>
            <w:tcW w:w="1061" w:type="dxa"/>
            <w:noWrap/>
          </w:tcPr>
          <w:p w14:paraId="15A2C7FA" w14:textId="77777777" w:rsidR="00546720" w:rsidRPr="004D2FF7" w:rsidRDefault="00546720" w:rsidP="00E45E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5,8</w:t>
            </w:r>
          </w:p>
        </w:tc>
        <w:tc>
          <w:tcPr>
            <w:tcW w:w="222" w:type="dxa"/>
          </w:tcPr>
          <w:p w14:paraId="20DE87BB" w14:textId="77777777" w:rsidR="00546720" w:rsidRPr="004D2FF7" w:rsidRDefault="00546720" w:rsidP="00E45E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546720" w:rsidRPr="004D2FF7" w14:paraId="25B01285" w14:textId="77777777" w:rsidTr="005467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9" w:type="dxa"/>
            <w:noWrap/>
            <w:hideMark/>
          </w:tcPr>
          <w:p w14:paraId="587582A6" w14:textId="77777777" w:rsidR="00546720" w:rsidRPr="004D2FF7" w:rsidRDefault="00546720" w:rsidP="00E45E43">
            <w:pPr>
              <w:jc w:val="center"/>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332</w:t>
            </w:r>
          </w:p>
        </w:tc>
        <w:tc>
          <w:tcPr>
            <w:tcW w:w="3242" w:type="dxa"/>
            <w:noWrap/>
            <w:hideMark/>
          </w:tcPr>
          <w:p w14:paraId="2F21F7F7" w14:textId="77777777" w:rsidR="00546720" w:rsidRPr="004D2FF7" w:rsidRDefault="00546720" w:rsidP="00E45E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Piese de schimb</w:t>
            </w:r>
          </w:p>
        </w:tc>
        <w:tc>
          <w:tcPr>
            <w:tcW w:w="1061" w:type="dxa"/>
            <w:noWrap/>
          </w:tcPr>
          <w:p w14:paraId="45329A85"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68,8</w:t>
            </w:r>
          </w:p>
        </w:tc>
        <w:tc>
          <w:tcPr>
            <w:tcW w:w="1061" w:type="dxa"/>
            <w:noWrap/>
          </w:tcPr>
          <w:p w14:paraId="415EA759"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106,5</w:t>
            </w:r>
          </w:p>
        </w:tc>
        <w:tc>
          <w:tcPr>
            <w:tcW w:w="1061" w:type="dxa"/>
            <w:noWrap/>
          </w:tcPr>
          <w:p w14:paraId="6746E2A9"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118,3</w:t>
            </w:r>
          </w:p>
        </w:tc>
        <w:tc>
          <w:tcPr>
            <w:tcW w:w="1061" w:type="dxa"/>
            <w:noWrap/>
          </w:tcPr>
          <w:p w14:paraId="25726BBA"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105,5</w:t>
            </w:r>
          </w:p>
        </w:tc>
        <w:tc>
          <w:tcPr>
            <w:tcW w:w="1061" w:type="dxa"/>
            <w:noWrap/>
          </w:tcPr>
          <w:p w14:paraId="319B7B7D"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117,6</w:t>
            </w:r>
          </w:p>
        </w:tc>
        <w:tc>
          <w:tcPr>
            <w:tcW w:w="222" w:type="dxa"/>
          </w:tcPr>
          <w:p w14:paraId="34DD37BD"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546720" w:rsidRPr="004D2FF7" w14:paraId="41C2B937" w14:textId="77777777" w:rsidTr="00546720">
        <w:trPr>
          <w:trHeight w:val="564"/>
        </w:trPr>
        <w:tc>
          <w:tcPr>
            <w:cnfStyle w:val="001000000000" w:firstRow="0" w:lastRow="0" w:firstColumn="1" w:lastColumn="0" w:oddVBand="0" w:evenVBand="0" w:oddHBand="0" w:evenHBand="0" w:firstRowFirstColumn="0" w:firstRowLastColumn="0" w:lastRowFirstColumn="0" w:lastRowLastColumn="0"/>
            <w:tcW w:w="909" w:type="dxa"/>
            <w:noWrap/>
            <w:hideMark/>
          </w:tcPr>
          <w:p w14:paraId="6EC34F61" w14:textId="77777777" w:rsidR="00546720" w:rsidRPr="004D2FF7" w:rsidRDefault="00546720" w:rsidP="00E45E43">
            <w:pPr>
              <w:jc w:val="center"/>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336</w:t>
            </w:r>
          </w:p>
        </w:tc>
        <w:tc>
          <w:tcPr>
            <w:tcW w:w="3242" w:type="dxa"/>
            <w:hideMark/>
          </w:tcPr>
          <w:p w14:paraId="55C93EFD" w14:textId="77777777" w:rsidR="00546720" w:rsidRPr="004D2FF7" w:rsidRDefault="00546720" w:rsidP="00E45E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Materiale de uz gospodăresc și rechizite de birou</w:t>
            </w:r>
          </w:p>
        </w:tc>
        <w:tc>
          <w:tcPr>
            <w:tcW w:w="1061" w:type="dxa"/>
            <w:noWrap/>
          </w:tcPr>
          <w:p w14:paraId="24824867" w14:textId="77777777" w:rsidR="00546720" w:rsidRPr="004D2FF7" w:rsidRDefault="00546720" w:rsidP="00E45E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338,5</w:t>
            </w:r>
          </w:p>
        </w:tc>
        <w:tc>
          <w:tcPr>
            <w:tcW w:w="1061" w:type="dxa"/>
            <w:noWrap/>
          </w:tcPr>
          <w:p w14:paraId="35205EC0" w14:textId="77777777" w:rsidR="00546720" w:rsidRPr="004D2FF7" w:rsidRDefault="00546720" w:rsidP="00E45E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452,1</w:t>
            </w:r>
          </w:p>
        </w:tc>
        <w:tc>
          <w:tcPr>
            <w:tcW w:w="1061" w:type="dxa"/>
            <w:noWrap/>
          </w:tcPr>
          <w:p w14:paraId="35DFC298" w14:textId="77777777" w:rsidR="00546720" w:rsidRPr="004D2FF7" w:rsidRDefault="00546720" w:rsidP="00E45E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280,5</w:t>
            </w:r>
          </w:p>
        </w:tc>
        <w:tc>
          <w:tcPr>
            <w:tcW w:w="1061" w:type="dxa"/>
            <w:noWrap/>
          </w:tcPr>
          <w:p w14:paraId="643908B3" w14:textId="77777777" w:rsidR="00546720" w:rsidRPr="004D2FF7" w:rsidRDefault="00546720" w:rsidP="00E45E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289,3</w:t>
            </w:r>
          </w:p>
        </w:tc>
        <w:tc>
          <w:tcPr>
            <w:tcW w:w="1061" w:type="dxa"/>
            <w:noWrap/>
          </w:tcPr>
          <w:p w14:paraId="7B0F9FCD" w14:textId="77777777" w:rsidR="00546720" w:rsidRPr="004D2FF7" w:rsidRDefault="00546720" w:rsidP="00E45E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377,7</w:t>
            </w:r>
          </w:p>
        </w:tc>
        <w:tc>
          <w:tcPr>
            <w:tcW w:w="222" w:type="dxa"/>
          </w:tcPr>
          <w:p w14:paraId="21728771" w14:textId="77777777" w:rsidR="00546720" w:rsidRPr="004D2FF7" w:rsidRDefault="00546720" w:rsidP="00E45E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546720" w:rsidRPr="004D2FF7" w14:paraId="6432DD5F" w14:textId="77777777" w:rsidTr="005467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9" w:type="dxa"/>
            <w:noWrap/>
            <w:hideMark/>
          </w:tcPr>
          <w:p w14:paraId="6648518A" w14:textId="77777777" w:rsidR="00546720" w:rsidRPr="004D2FF7" w:rsidRDefault="00546720" w:rsidP="00E45E43">
            <w:pPr>
              <w:jc w:val="center"/>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337</w:t>
            </w:r>
          </w:p>
        </w:tc>
        <w:tc>
          <w:tcPr>
            <w:tcW w:w="3242" w:type="dxa"/>
            <w:hideMark/>
          </w:tcPr>
          <w:p w14:paraId="7F6CFDCF" w14:textId="77777777" w:rsidR="00546720" w:rsidRPr="004D2FF7" w:rsidRDefault="00546720" w:rsidP="00E45E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Materiale de construcție</w:t>
            </w:r>
          </w:p>
        </w:tc>
        <w:tc>
          <w:tcPr>
            <w:tcW w:w="1061" w:type="dxa"/>
            <w:noWrap/>
          </w:tcPr>
          <w:p w14:paraId="1351F6DF"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3,0</w:t>
            </w:r>
          </w:p>
        </w:tc>
        <w:tc>
          <w:tcPr>
            <w:tcW w:w="1061" w:type="dxa"/>
            <w:noWrap/>
          </w:tcPr>
          <w:p w14:paraId="4A78887A"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3,0</w:t>
            </w:r>
          </w:p>
        </w:tc>
        <w:tc>
          <w:tcPr>
            <w:tcW w:w="1061" w:type="dxa"/>
            <w:noWrap/>
          </w:tcPr>
          <w:p w14:paraId="0D188465"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11,4</w:t>
            </w:r>
          </w:p>
        </w:tc>
        <w:tc>
          <w:tcPr>
            <w:tcW w:w="1061" w:type="dxa"/>
            <w:noWrap/>
          </w:tcPr>
          <w:p w14:paraId="009BC287"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10,7</w:t>
            </w:r>
          </w:p>
        </w:tc>
        <w:tc>
          <w:tcPr>
            <w:tcW w:w="1061" w:type="dxa"/>
            <w:noWrap/>
          </w:tcPr>
          <w:p w14:paraId="7282727B"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11,6</w:t>
            </w:r>
          </w:p>
        </w:tc>
        <w:tc>
          <w:tcPr>
            <w:tcW w:w="222" w:type="dxa"/>
          </w:tcPr>
          <w:p w14:paraId="116ED6CB"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546720" w:rsidRPr="004D2FF7" w14:paraId="3338CA76" w14:textId="77777777" w:rsidTr="00546720">
        <w:trPr>
          <w:trHeight w:val="170"/>
        </w:trPr>
        <w:tc>
          <w:tcPr>
            <w:cnfStyle w:val="001000000000" w:firstRow="0" w:lastRow="0" w:firstColumn="1" w:lastColumn="0" w:oddVBand="0" w:evenVBand="0" w:oddHBand="0" w:evenHBand="0" w:firstRowFirstColumn="0" w:firstRowLastColumn="0" w:lastRowFirstColumn="0" w:lastRowLastColumn="0"/>
            <w:tcW w:w="909" w:type="dxa"/>
            <w:noWrap/>
            <w:hideMark/>
          </w:tcPr>
          <w:p w14:paraId="0E636520" w14:textId="77777777" w:rsidR="00546720" w:rsidRPr="004D2FF7" w:rsidRDefault="00546720" w:rsidP="00E45E43">
            <w:pPr>
              <w:jc w:val="center"/>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338</w:t>
            </w:r>
          </w:p>
        </w:tc>
        <w:tc>
          <w:tcPr>
            <w:tcW w:w="3242" w:type="dxa"/>
            <w:hideMark/>
          </w:tcPr>
          <w:p w14:paraId="162B2769" w14:textId="77777777" w:rsidR="00546720" w:rsidRPr="004D2FF7" w:rsidRDefault="00546720" w:rsidP="00E45E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Accesorii de pat, îmbrăcăminte, încălțăminte</w:t>
            </w:r>
          </w:p>
        </w:tc>
        <w:tc>
          <w:tcPr>
            <w:tcW w:w="1061" w:type="dxa"/>
            <w:noWrap/>
          </w:tcPr>
          <w:p w14:paraId="1093B61F" w14:textId="77777777" w:rsidR="00546720" w:rsidRPr="004D2FF7" w:rsidRDefault="00546720" w:rsidP="00E45E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4,5</w:t>
            </w:r>
          </w:p>
        </w:tc>
        <w:tc>
          <w:tcPr>
            <w:tcW w:w="1061" w:type="dxa"/>
            <w:noWrap/>
          </w:tcPr>
          <w:p w14:paraId="0DBE87F9" w14:textId="77777777" w:rsidR="00546720" w:rsidRPr="004D2FF7" w:rsidRDefault="00546720" w:rsidP="00E45E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18,4</w:t>
            </w:r>
          </w:p>
        </w:tc>
        <w:tc>
          <w:tcPr>
            <w:tcW w:w="1061" w:type="dxa"/>
            <w:noWrap/>
          </w:tcPr>
          <w:p w14:paraId="61732496" w14:textId="77777777" w:rsidR="00546720" w:rsidRPr="004D2FF7" w:rsidRDefault="00546720" w:rsidP="00E45E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18,4</w:t>
            </w:r>
          </w:p>
        </w:tc>
        <w:tc>
          <w:tcPr>
            <w:tcW w:w="1061" w:type="dxa"/>
            <w:noWrap/>
          </w:tcPr>
          <w:p w14:paraId="194F7320" w14:textId="77777777" w:rsidR="00546720" w:rsidRPr="004D2FF7" w:rsidRDefault="00546720" w:rsidP="00E45E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16,85</w:t>
            </w:r>
          </w:p>
        </w:tc>
        <w:tc>
          <w:tcPr>
            <w:tcW w:w="1061" w:type="dxa"/>
            <w:noWrap/>
          </w:tcPr>
          <w:p w14:paraId="180043EE" w14:textId="77777777" w:rsidR="00546720" w:rsidRPr="004D2FF7" w:rsidRDefault="00546720" w:rsidP="00E45E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16,9</w:t>
            </w:r>
          </w:p>
        </w:tc>
        <w:tc>
          <w:tcPr>
            <w:tcW w:w="222" w:type="dxa"/>
          </w:tcPr>
          <w:p w14:paraId="5D3AC8DE" w14:textId="77777777" w:rsidR="00546720" w:rsidRPr="004D2FF7" w:rsidRDefault="00546720" w:rsidP="00E45E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546720" w:rsidRPr="004D2FF7" w14:paraId="109E1D1D" w14:textId="77777777" w:rsidTr="005467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9" w:type="dxa"/>
            <w:noWrap/>
            <w:hideMark/>
          </w:tcPr>
          <w:p w14:paraId="24BBD43B" w14:textId="77777777" w:rsidR="00546720" w:rsidRPr="004D2FF7" w:rsidRDefault="00546720" w:rsidP="00E45E43">
            <w:pPr>
              <w:jc w:val="center"/>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339</w:t>
            </w:r>
          </w:p>
        </w:tc>
        <w:tc>
          <w:tcPr>
            <w:tcW w:w="3242" w:type="dxa"/>
            <w:noWrap/>
            <w:hideMark/>
          </w:tcPr>
          <w:p w14:paraId="54C99A39" w14:textId="77777777" w:rsidR="00546720" w:rsidRPr="004D2FF7" w:rsidRDefault="00546720" w:rsidP="00E45E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Alte materiale</w:t>
            </w:r>
          </w:p>
        </w:tc>
        <w:tc>
          <w:tcPr>
            <w:tcW w:w="1061" w:type="dxa"/>
            <w:noWrap/>
          </w:tcPr>
          <w:p w14:paraId="552E5ECA"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63,8</w:t>
            </w:r>
          </w:p>
        </w:tc>
        <w:tc>
          <w:tcPr>
            <w:tcW w:w="1061" w:type="dxa"/>
            <w:noWrap/>
          </w:tcPr>
          <w:p w14:paraId="6EF73C4E"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70,0</w:t>
            </w:r>
          </w:p>
        </w:tc>
        <w:tc>
          <w:tcPr>
            <w:tcW w:w="1061" w:type="dxa"/>
            <w:noWrap/>
          </w:tcPr>
          <w:p w14:paraId="1DD15CC5"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107,4</w:t>
            </w:r>
          </w:p>
        </w:tc>
        <w:tc>
          <w:tcPr>
            <w:tcW w:w="1061" w:type="dxa"/>
            <w:noWrap/>
          </w:tcPr>
          <w:p w14:paraId="03E0C2B8"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133,5</w:t>
            </w:r>
          </w:p>
        </w:tc>
        <w:tc>
          <w:tcPr>
            <w:tcW w:w="1061" w:type="dxa"/>
            <w:noWrap/>
          </w:tcPr>
          <w:p w14:paraId="609AB574"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D2FF7">
              <w:rPr>
                <w:rFonts w:ascii="Times New Roman" w:eastAsia="Times New Roman" w:hAnsi="Times New Roman" w:cs="Times New Roman"/>
                <w:color w:val="000000"/>
                <w:sz w:val="18"/>
                <w:szCs w:val="18"/>
              </w:rPr>
              <w:t>133,9</w:t>
            </w:r>
          </w:p>
        </w:tc>
        <w:tc>
          <w:tcPr>
            <w:tcW w:w="222" w:type="dxa"/>
          </w:tcPr>
          <w:p w14:paraId="2A300E37" w14:textId="77777777" w:rsidR="00546720" w:rsidRPr="004D2FF7" w:rsidRDefault="00546720" w:rsidP="00E45E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bl>
    <w:p w14:paraId="1CCF9FCE" w14:textId="45D35950" w:rsidR="006049D5" w:rsidRPr="004D2FF7" w:rsidRDefault="006049D5" w:rsidP="008C1B8F">
      <w:pPr>
        <w:jc w:val="both"/>
        <w:rPr>
          <w:rFonts w:ascii="Times New Roman" w:hAnsi="Times New Roman" w:cs="Times New Roman"/>
          <w:i/>
          <w:sz w:val="18"/>
          <w:szCs w:val="18"/>
        </w:rPr>
      </w:pPr>
      <w:r w:rsidRPr="004D2FF7">
        <w:rPr>
          <w:rFonts w:ascii="Times New Roman" w:hAnsi="Times New Roman" w:cs="Times New Roman"/>
          <w:b/>
          <w:i/>
          <w:sz w:val="18"/>
          <w:szCs w:val="18"/>
        </w:rPr>
        <w:t>Sursa</w:t>
      </w:r>
      <w:r w:rsidRPr="004D2FF7">
        <w:rPr>
          <w:rFonts w:ascii="Times New Roman" w:hAnsi="Times New Roman" w:cs="Times New Roman"/>
          <w:i/>
          <w:sz w:val="18"/>
          <w:szCs w:val="18"/>
        </w:rPr>
        <w:t>: Informați</w:t>
      </w:r>
      <w:r w:rsidR="000F13D4">
        <w:rPr>
          <w:rFonts w:ascii="Times New Roman" w:hAnsi="Times New Roman" w:cs="Times New Roman"/>
          <w:i/>
          <w:sz w:val="18"/>
          <w:szCs w:val="18"/>
        </w:rPr>
        <w:t>i</w:t>
      </w:r>
      <w:r w:rsidRPr="004D2FF7">
        <w:rPr>
          <w:rFonts w:ascii="Times New Roman" w:hAnsi="Times New Roman" w:cs="Times New Roman"/>
          <w:i/>
          <w:sz w:val="18"/>
          <w:szCs w:val="18"/>
        </w:rPr>
        <w:t xml:space="preserve"> generalizat</w:t>
      </w:r>
      <w:r w:rsidR="000F13D4">
        <w:rPr>
          <w:rFonts w:ascii="Times New Roman" w:hAnsi="Times New Roman" w:cs="Times New Roman"/>
          <w:i/>
          <w:sz w:val="18"/>
          <w:szCs w:val="18"/>
        </w:rPr>
        <w:t>e</w:t>
      </w:r>
      <w:r w:rsidRPr="004D2FF7">
        <w:rPr>
          <w:rFonts w:ascii="Times New Roman" w:hAnsi="Times New Roman" w:cs="Times New Roman"/>
          <w:i/>
          <w:sz w:val="18"/>
          <w:szCs w:val="18"/>
        </w:rPr>
        <w:t xml:space="preserve"> de</w:t>
      </w:r>
      <w:r w:rsidR="00A07395">
        <w:rPr>
          <w:rFonts w:ascii="Times New Roman" w:hAnsi="Times New Roman" w:cs="Times New Roman"/>
          <w:i/>
          <w:sz w:val="18"/>
          <w:szCs w:val="18"/>
        </w:rPr>
        <w:t xml:space="preserve"> către echipa</w:t>
      </w:r>
      <w:r w:rsidRPr="004D2FF7">
        <w:rPr>
          <w:rFonts w:ascii="Times New Roman" w:hAnsi="Times New Roman" w:cs="Times New Roman"/>
          <w:i/>
          <w:sz w:val="18"/>
          <w:szCs w:val="18"/>
        </w:rPr>
        <w:t xml:space="preserve"> audit în baza Bilanțurilor contabile (Form</w:t>
      </w:r>
      <w:r w:rsidR="000F13D4">
        <w:rPr>
          <w:rFonts w:ascii="Times New Roman" w:hAnsi="Times New Roman" w:cs="Times New Roman"/>
          <w:i/>
          <w:sz w:val="18"/>
          <w:szCs w:val="18"/>
        </w:rPr>
        <w:t>ularul</w:t>
      </w:r>
      <w:r w:rsidRPr="004D2FF7">
        <w:rPr>
          <w:rFonts w:ascii="Times New Roman" w:hAnsi="Times New Roman" w:cs="Times New Roman"/>
          <w:i/>
          <w:sz w:val="18"/>
          <w:szCs w:val="18"/>
        </w:rPr>
        <w:t xml:space="preserve"> FD-041) pentru anii 2018</w:t>
      </w:r>
      <w:r w:rsidR="00D906EF">
        <w:rPr>
          <w:rFonts w:ascii="Times New Roman" w:hAnsi="Times New Roman" w:cs="Times New Roman"/>
          <w:i/>
          <w:sz w:val="18"/>
          <w:szCs w:val="18"/>
        </w:rPr>
        <w:t>-</w:t>
      </w:r>
      <w:r w:rsidRPr="004D2FF7">
        <w:rPr>
          <w:rFonts w:ascii="Times New Roman" w:hAnsi="Times New Roman" w:cs="Times New Roman"/>
          <w:i/>
          <w:sz w:val="18"/>
          <w:szCs w:val="18"/>
        </w:rPr>
        <w:t>2022.</w:t>
      </w:r>
    </w:p>
    <w:p w14:paraId="64325323" w14:textId="638586C6" w:rsidR="00B12CFC" w:rsidRPr="004D2FF7" w:rsidRDefault="00B12CFC" w:rsidP="008C1B8F">
      <w:pPr>
        <w:shd w:val="clear" w:color="auto" w:fill="FFFFFF"/>
        <w:tabs>
          <w:tab w:val="left" w:pos="0"/>
          <w:tab w:val="left" w:pos="450"/>
          <w:tab w:val="left" w:pos="990"/>
        </w:tabs>
        <w:spacing w:after="120" w:line="276" w:lineRule="auto"/>
        <w:ind w:right="14"/>
        <w:jc w:val="both"/>
        <w:rPr>
          <w:rFonts w:ascii="Times New Roman" w:eastAsia="Calibri" w:hAnsi="Times New Roman" w:cs="Times New Roman"/>
          <w:sz w:val="24"/>
          <w:szCs w:val="24"/>
        </w:rPr>
      </w:pPr>
      <w:r w:rsidRPr="004D2FF7">
        <w:rPr>
          <w:rFonts w:ascii="Times New Roman" w:hAnsi="Times New Roman" w:cs="Times New Roman"/>
          <w:sz w:val="24"/>
          <w:szCs w:val="24"/>
        </w:rPr>
        <w:t>Informați</w:t>
      </w:r>
      <w:r w:rsidR="000F13D4">
        <w:rPr>
          <w:rFonts w:ascii="Times New Roman" w:hAnsi="Times New Roman" w:cs="Times New Roman"/>
          <w:sz w:val="24"/>
          <w:szCs w:val="24"/>
        </w:rPr>
        <w:t>ile</w:t>
      </w:r>
      <w:r w:rsidRPr="004D2FF7">
        <w:rPr>
          <w:rFonts w:ascii="Times New Roman" w:hAnsi="Times New Roman" w:cs="Times New Roman"/>
          <w:sz w:val="24"/>
          <w:szCs w:val="24"/>
        </w:rPr>
        <w:t xml:space="preserve"> expus</w:t>
      </w:r>
      <w:r w:rsidR="000F13D4">
        <w:rPr>
          <w:rFonts w:ascii="Times New Roman" w:hAnsi="Times New Roman" w:cs="Times New Roman"/>
          <w:sz w:val="24"/>
          <w:szCs w:val="24"/>
        </w:rPr>
        <w:t>e</w:t>
      </w:r>
      <w:r w:rsidRPr="004D2FF7">
        <w:rPr>
          <w:rFonts w:ascii="Times New Roman" w:hAnsi="Times New Roman" w:cs="Times New Roman"/>
          <w:sz w:val="24"/>
          <w:szCs w:val="24"/>
        </w:rPr>
        <w:t xml:space="preserve"> în tabel denotă că, la situația din 31.12.2022, CNPDCP avea în gestiune stocuri de m</w:t>
      </w:r>
      <w:r w:rsidR="006B26AD" w:rsidRPr="004D2FF7">
        <w:rPr>
          <w:rFonts w:ascii="Times New Roman" w:hAnsi="Times New Roman" w:cs="Times New Roman"/>
          <w:sz w:val="24"/>
          <w:szCs w:val="24"/>
        </w:rPr>
        <w:t>ateriale</w:t>
      </w:r>
      <w:r w:rsidRPr="004D2FF7">
        <w:rPr>
          <w:rFonts w:ascii="Times New Roman" w:hAnsi="Times New Roman" w:cs="Times New Roman"/>
          <w:sz w:val="24"/>
          <w:szCs w:val="24"/>
        </w:rPr>
        <w:t xml:space="preserve"> circulante </w:t>
      </w:r>
      <w:r w:rsidR="000D6FCE" w:rsidRPr="004D2FF7">
        <w:rPr>
          <w:rFonts w:ascii="Times New Roman" w:hAnsi="Times New Roman" w:cs="Times New Roman"/>
          <w:sz w:val="24"/>
          <w:szCs w:val="24"/>
        </w:rPr>
        <w:t>în</w:t>
      </w:r>
      <w:r w:rsidRPr="004D2FF7">
        <w:rPr>
          <w:rFonts w:ascii="Times New Roman" w:hAnsi="Times New Roman" w:cs="Times New Roman"/>
          <w:sz w:val="24"/>
          <w:szCs w:val="24"/>
        </w:rPr>
        <w:t xml:space="preserve"> valoare</w:t>
      </w:r>
      <w:r w:rsidR="000A1C41" w:rsidRPr="004D2FF7">
        <w:rPr>
          <w:rFonts w:ascii="Times New Roman" w:hAnsi="Times New Roman" w:cs="Times New Roman"/>
          <w:sz w:val="24"/>
          <w:szCs w:val="24"/>
        </w:rPr>
        <w:t xml:space="preserve"> totală</w:t>
      </w:r>
      <w:r w:rsidRPr="004D2FF7">
        <w:rPr>
          <w:rFonts w:ascii="Times New Roman" w:hAnsi="Times New Roman" w:cs="Times New Roman"/>
          <w:sz w:val="24"/>
          <w:szCs w:val="24"/>
        </w:rPr>
        <w:t xml:space="preserve"> de 663,5 mii lei</w:t>
      </w:r>
      <w:r w:rsidR="00BC33EE" w:rsidRPr="004D2FF7">
        <w:rPr>
          <w:rFonts w:ascii="Times New Roman" w:hAnsi="Times New Roman" w:cs="Times New Roman"/>
          <w:sz w:val="24"/>
          <w:szCs w:val="24"/>
        </w:rPr>
        <w:t>, care de fapt nu sunt reale</w:t>
      </w:r>
      <w:r w:rsidR="00D031C8" w:rsidRPr="004D2FF7">
        <w:rPr>
          <w:rFonts w:ascii="Times New Roman" w:hAnsi="Times New Roman" w:cs="Times New Roman"/>
          <w:sz w:val="24"/>
          <w:szCs w:val="24"/>
        </w:rPr>
        <w:t>,</w:t>
      </w:r>
      <w:r w:rsidR="00BC33EE" w:rsidRPr="004D2FF7">
        <w:rPr>
          <w:rFonts w:ascii="Times New Roman" w:hAnsi="Times New Roman" w:cs="Times New Roman"/>
          <w:sz w:val="24"/>
          <w:szCs w:val="24"/>
        </w:rPr>
        <w:t xml:space="preserve"> deoarece unele materiale</w:t>
      </w:r>
      <w:r w:rsidR="00BE5A6C" w:rsidRPr="004D2FF7">
        <w:rPr>
          <w:rFonts w:ascii="Times New Roman" w:hAnsi="Times New Roman" w:cs="Times New Roman"/>
          <w:sz w:val="24"/>
          <w:szCs w:val="24"/>
        </w:rPr>
        <w:t xml:space="preserve"> circulante</w:t>
      </w:r>
      <w:r w:rsidR="00BC33EE" w:rsidRPr="004D2FF7">
        <w:rPr>
          <w:rFonts w:ascii="Times New Roman" w:hAnsi="Times New Roman" w:cs="Times New Roman"/>
          <w:sz w:val="24"/>
          <w:szCs w:val="24"/>
        </w:rPr>
        <w:t xml:space="preserve"> au fost transmise gestionari</w:t>
      </w:r>
      <w:r w:rsidR="00672902" w:rsidRPr="004D2FF7">
        <w:rPr>
          <w:rFonts w:ascii="Times New Roman" w:hAnsi="Times New Roman" w:cs="Times New Roman"/>
          <w:sz w:val="24"/>
          <w:szCs w:val="24"/>
        </w:rPr>
        <w:t>lor</w:t>
      </w:r>
      <w:r w:rsidR="00BC33EE" w:rsidRPr="004D2FF7">
        <w:rPr>
          <w:rFonts w:ascii="Times New Roman" w:hAnsi="Times New Roman" w:cs="Times New Roman"/>
          <w:sz w:val="24"/>
          <w:szCs w:val="24"/>
        </w:rPr>
        <w:t xml:space="preserve"> pentru utilizare și reprezintă cheltuieli anticipate</w:t>
      </w:r>
      <w:r w:rsidRPr="004D2FF7">
        <w:rPr>
          <w:rFonts w:ascii="Times New Roman" w:hAnsi="Times New Roman" w:cs="Times New Roman"/>
          <w:sz w:val="24"/>
          <w:szCs w:val="24"/>
        </w:rPr>
        <w:t xml:space="preserve">. </w:t>
      </w:r>
    </w:p>
    <w:p w14:paraId="79AC537B" w14:textId="4483A4EC" w:rsidR="008835A7" w:rsidRPr="004D2FF7" w:rsidRDefault="00163869" w:rsidP="00DE587A">
      <w:pPr>
        <w:shd w:val="clear" w:color="auto" w:fill="FFFFFF"/>
        <w:tabs>
          <w:tab w:val="left" w:pos="0"/>
          <w:tab w:val="left" w:pos="450"/>
          <w:tab w:val="left" w:pos="990"/>
        </w:tabs>
        <w:spacing w:after="120" w:line="276" w:lineRule="auto"/>
        <w:ind w:right="1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C</w:t>
      </w:r>
      <w:r w:rsidR="006049D5" w:rsidRPr="004D2FF7">
        <w:rPr>
          <w:rFonts w:ascii="Times New Roman" w:eastAsia="Calibri" w:hAnsi="Times New Roman" w:cs="Times New Roman"/>
          <w:sz w:val="24"/>
          <w:szCs w:val="24"/>
        </w:rPr>
        <w:t xml:space="preserve">onform datelor prezentate de </w:t>
      </w:r>
      <w:r w:rsidR="00120C19" w:rsidRPr="004D2FF7">
        <w:rPr>
          <w:rFonts w:ascii="Times New Roman" w:eastAsia="Calibri" w:hAnsi="Times New Roman" w:cs="Times New Roman"/>
          <w:sz w:val="24"/>
          <w:szCs w:val="24"/>
        </w:rPr>
        <w:t>CNPDCP</w:t>
      </w:r>
      <w:r w:rsidR="006049D5" w:rsidRPr="004D2FF7">
        <w:rPr>
          <w:rFonts w:ascii="Times New Roman" w:eastAsia="Calibri" w:hAnsi="Times New Roman" w:cs="Times New Roman"/>
          <w:sz w:val="24"/>
          <w:szCs w:val="24"/>
          <w:vertAlign w:val="superscript"/>
        </w:rPr>
        <w:footnoteReference w:id="23"/>
      </w:r>
      <w:r w:rsidR="00655E3B">
        <w:rPr>
          <w:rFonts w:ascii="Times New Roman" w:eastAsia="Calibri" w:hAnsi="Times New Roman" w:cs="Times New Roman"/>
          <w:sz w:val="24"/>
          <w:szCs w:val="24"/>
        </w:rPr>
        <w:t>,</w:t>
      </w:r>
      <w:r w:rsidR="006049D5" w:rsidRPr="004D2FF7">
        <w:rPr>
          <w:rFonts w:ascii="Times New Roman" w:eastAsia="Calibri" w:hAnsi="Times New Roman" w:cs="Times New Roman"/>
          <w:sz w:val="24"/>
          <w:szCs w:val="24"/>
        </w:rPr>
        <w:t xml:space="preserve"> </w:t>
      </w:r>
      <w:r w:rsidR="001639E5">
        <w:rPr>
          <w:rFonts w:ascii="Times New Roman" w:eastAsia="Calibri" w:hAnsi="Times New Roman" w:cs="Times New Roman"/>
          <w:sz w:val="24"/>
          <w:szCs w:val="24"/>
        </w:rPr>
        <w:t xml:space="preserve">în </w:t>
      </w:r>
      <w:r w:rsidRPr="004D2FF7">
        <w:rPr>
          <w:rFonts w:ascii="Times New Roman" w:eastAsia="Calibri" w:hAnsi="Times New Roman" w:cs="Times New Roman"/>
          <w:sz w:val="24"/>
          <w:szCs w:val="24"/>
        </w:rPr>
        <w:t>ani</w:t>
      </w:r>
      <w:r w:rsidR="001639E5">
        <w:rPr>
          <w:rFonts w:ascii="Times New Roman" w:eastAsia="Calibri" w:hAnsi="Times New Roman" w:cs="Times New Roman"/>
          <w:sz w:val="24"/>
          <w:szCs w:val="24"/>
        </w:rPr>
        <w:t>i</w:t>
      </w:r>
      <w:r w:rsidRPr="004D2FF7">
        <w:rPr>
          <w:rFonts w:ascii="Times New Roman" w:eastAsia="Calibri" w:hAnsi="Times New Roman" w:cs="Times New Roman"/>
          <w:sz w:val="24"/>
          <w:szCs w:val="24"/>
        </w:rPr>
        <w:t xml:space="preserve"> 2018-2022</w:t>
      </w:r>
      <w:r>
        <w:rPr>
          <w:rFonts w:ascii="Times New Roman" w:eastAsia="Calibri" w:hAnsi="Times New Roman" w:cs="Times New Roman"/>
          <w:sz w:val="24"/>
          <w:szCs w:val="24"/>
        </w:rPr>
        <w:t xml:space="preserve"> </w:t>
      </w:r>
      <w:r w:rsidR="004A1581">
        <w:rPr>
          <w:rFonts w:ascii="Times New Roman" w:eastAsia="Calibri" w:hAnsi="Times New Roman" w:cs="Times New Roman"/>
          <w:sz w:val="24"/>
          <w:szCs w:val="24"/>
        </w:rPr>
        <w:t xml:space="preserve">au fost </w:t>
      </w:r>
      <w:r w:rsidR="006049D5" w:rsidRPr="004D2FF7">
        <w:rPr>
          <w:rFonts w:ascii="Times New Roman" w:eastAsia="Calibri" w:hAnsi="Times New Roman" w:cs="Times New Roman"/>
          <w:sz w:val="24"/>
          <w:szCs w:val="24"/>
        </w:rPr>
        <w:t>încheiat</w:t>
      </w:r>
      <w:r w:rsidR="004A1581">
        <w:rPr>
          <w:rFonts w:ascii="Times New Roman" w:eastAsia="Calibri" w:hAnsi="Times New Roman" w:cs="Times New Roman"/>
          <w:sz w:val="24"/>
          <w:szCs w:val="24"/>
        </w:rPr>
        <w:t>e</w:t>
      </w:r>
      <w:r w:rsidR="00E204EE" w:rsidRPr="004D2FF7">
        <w:rPr>
          <w:rFonts w:ascii="Times New Roman" w:eastAsia="Calibri" w:hAnsi="Times New Roman" w:cs="Times New Roman"/>
          <w:sz w:val="24"/>
          <w:szCs w:val="24"/>
        </w:rPr>
        <w:t xml:space="preserve"> 200 </w:t>
      </w:r>
      <w:r w:rsidR="00655E3B">
        <w:rPr>
          <w:rFonts w:ascii="Times New Roman" w:eastAsia="Calibri" w:hAnsi="Times New Roman" w:cs="Times New Roman"/>
          <w:sz w:val="24"/>
          <w:szCs w:val="24"/>
        </w:rPr>
        <w:t xml:space="preserve">de </w:t>
      </w:r>
      <w:r w:rsidR="006049D5" w:rsidRPr="004D2FF7">
        <w:rPr>
          <w:rFonts w:ascii="Times New Roman" w:eastAsia="Calibri" w:hAnsi="Times New Roman" w:cs="Times New Roman"/>
          <w:sz w:val="24"/>
          <w:szCs w:val="24"/>
        </w:rPr>
        <w:t xml:space="preserve">contracte de achiziții în sumă totală de </w:t>
      </w:r>
      <w:r w:rsidR="00120C19" w:rsidRPr="004D2FF7">
        <w:rPr>
          <w:rFonts w:ascii="Times New Roman" w:eastAsia="Calibri" w:hAnsi="Times New Roman" w:cs="Times New Roman"/>
          <w:sz w:val="24"/>
          <w:szCs w:val="24"/>
        </w:rPr>
        <w:t>6</w:t>
      </w:r>
      <w:r w:rsidR="00655E3B">
        <w:rPr>
          <w:rFonts w:ascii="Times New Roman" w:eastAsia="Calibri" w:hAnsi="Times New Roman" w:cs="Times New Roman"/>
          <w:sz w:val="24"/>
          <w:szCs w:val="24"/>
        </w:rPr>
        <w:t>.</w:t>
      </w:r>
      <w:r w:rsidR="00120C19" w:rsidRPr="004D2FF7">
        <w:rPr>
          <w:rFonts w:ascii="Times New Roman" w:eastAsia="Calibri" w:hAnsi="Times New Roman" w:cs="Times New Roman"/>
          <w:sz w:val="24"/>
          <w:szCs w:val="24"/>
        </w:rPr>
        <w:t>51</w:t>
      </w:r>
      <w:r w:rsidR="00E204EE" w:rsidRPr="004D2FF7">
        <w:rPr>
          <w:rFonts w:ascii="Times New Roman" w:eastAsia="Calibri" w:hAnsi="Times New Roman" w:cs="Times New Roman"/>
          <w:sz w:val="24"/>
          <w:szCs w:val="24"/>
        </w:rPr>
        <w:t>2</w:t>
      </w:r>
      <w:r w:rsidR="00120C19" w:rsidRPr="004D2FF7">
        <w:rPr>
          <w:rFonts w:ascii="Times New Roman" w:eastAsia="Calibri" w:hAnsi="Times New Roman" w:cs="Times New Roman"/>
          <w:sz w:val="24"/>
          <w:szCs w:val="24"/>
        </w:rPr>
        <w:t>,</w:t>
      </w:r>
      <w:r w:rsidR="00E204EE" w:rsidRPr="004D2FF7">
        <w:rPr>
          <w:rFonts w:ascii="Times New Roman" w:eastAsia="Calibri" w:hAnsi="Times New Roman" w:cs="Times New Roman"/>
          <w:sz w:val="24"/>
          <w:szCs w:val="24"/>
        </w:rPr>
        <w:t>0</w:t>
      </w:r>
      <w:r w:rsidR="006049D5" w:rsidRPr="004D2FF7">
        <w:rPr>
          <w:rFonts w:ascii="Times New Roman" w:hAnsi="Times New Roman" w:cs="Times New Roman"/>
          <w:color w:val="000000"/>
          <w:sz w:val="24"/>
          <w:szCs w:val="24"/>
        </w:rPr>
        <w:t xml:space="preserve"> </w:t>
      </w:r>
      <w:r w:rsidR="006049D5" w:rsidRPr="004D2FF7">
        <w:rPr>
          <w:rFonts w:ascii="Times New Roman" w:eastAsia="Calibri" w:hAnsi="Times New Roman" w:cs="Times New Roman"/>
          <w:sz w:val="24"/>
          <w:szCs w:val="24"/>
        </w:rPr>
        <w:t>mii lei, inclusiv</w:t>
      </w:r>
      <w:r w:rsidR="00092DCF" w:rsidRPr="004D2FF7">
        <w:rPr>
          <w:rFonts w:ascii="Times New Roman" w:eastAsia="Calibri" w:hAnsi="Times New Roman" w:cs="Times New Roman"/>
          <w:sz w:val="24"/>
          <w:szCs w:val="24"/>
        </w:rPr>
        <w:t xml:space="preserve"> </w:t>
      </w:r>
      <w:r w:rsidR="00035C92" w:rsidRPr="004D2FF7">
        <w:rPr>
          <w:rFonts w:ascii="Times New Roman" w:eastAsia="Calibri" w:hAnsi="Times New Roman" w:cs="Times New Roman"/>
          <w:sz w:val="24"/>
          <w:szCs w:val="24"/>
        </w:rPr>
        <w:t>4</w:t>
      </w:r>
      <w:r w:rsidR="00740BD2" w:rsidRPr="004D2FF7">
        <w:rPr>
          <w:rFonts w:ascii="Times New Roman" w:eastAsia="Calibri" w:hAnsi="Times New Roman" w:cs="Times New Roman"/>
          <w:sz w:val="24"/>
          <w:szCs w:val="24"/>
        </w:rPr>
        <w:t xml:space="preserve"> proceduri de negociere fără publicare</w:t>
      </w:r>
      <w:r w:rsidR="00FD36EE" w:rsidRPr="004D2FF7">
        <w:rPr>
          <w:rFonts w:ascii="Times New Roman" w:eastAsia="Calibri" w:hAnsi="Times New Roman" w:cs="Times New Roman"/>
          <w:sz w:val="24"/>
          <w:szCs w:val="24"/>
        </w:rPr>
        <w:t xml:space="preserve"> </w:t>
      </w:r>
      <w:r w:rsidR="00AE268D" w:rsidRPr="004D2FF7">
        <w:rPr>
          <w:rFonts w:ascii="Times New Roman" w:eastAsia="Calibri" w:hAnsi="Times New Roman" w:cs="Times New Roman"/>
          <w:sz w:val="24"/>
          <w:szCs w:val="24"/>
        </w:rPr>
        <w:t>î</w:t>
      </w:r>
      <w:r w:rsidR="00FD36EE" w:rsidRPr="004D2FF7">
        <w:rPr>
          <w:rFonts w:ascii="Times New Roman" w:eastAsia="Calibri" w:hAnsi="Times New Roman" w:cs="Times New Roman"/>
          <w:sz w:val="24"/>
          <w:szCs w:val="24"/>
        </w:rPr>
        <w:t xml:space="preserve">n valoare de </w:t>
      </w:r>
      <w:r w:rsidR="00740BD2" w:rsidRPr="004D2FF7">
        <w:rPr>
          <w:rFonts w:ascii="Times New Roman" w:eastAsia="Calibri" w:hAnsi="Times New Roman" w:cs="Times New Roman"/>
          <w:sz w:val="24"/>
          <w:szCs w:val="24"/>
        </w:rPr>
        <w:t>984,7 mii lei</w:t>
      </w:r>
      <w:r w:rsidR="00F01210" w:rsidRPr="004D2FF7">
        <w:rPr>
          <w:rFonts w:ascii="Times New Roman" w:eastAsia="Calibri" w:hAnsi="Times New Roman" w:cs="Times New Roman"/>
          <w:sz w:val="24"/>
          <w:szCs w:val="24"/>
        </w:rPr>
        <w:t xml:space="preserve"> (15,1%)</w:t>
      </w:r>
      <w:r w:rsidR="00740BD2" w:rsidRPr="004D2FF7">
        <w:rPr>
          <w:rFonts w:ascii="Times New Roman" w:eastAsia="Calibri" w:hAnsi="Times New Roman" w:cs="Times New Roman"/>
          <w:sz w:val="24"/>
          <w:szCs w:val="24"/>
        </w:rPr>
        <w:t xml:space="preserve">; </w:t>
      </w:r>
      <w:r w:rsidR="00092DCF" w:rsidRPr="004D2FF7">
        <w:rPr>
          <w:rFonts w:ascii="Times New Roman" w:eastAsia="Calibri" w:hAnsi="Times New Roman" w:cs="Times New Roman"/>
          <w:sz w:val="24"/>
          <w:szCs w:val="24"/>
        </w:rPr>
        <w:t>o</w:t>
      </w:r>
      <w:r w:rsidR="00092DCF" w:rsidRPr="004D2FF7">
        <w:rPr>
          <w:rFonts w:ascii="Times New Roman" w:eastAsia="Calibri" w:hAnsi="Times New Roman" w:cs="Times New Roman"/>
          <w:color w:val="FF0000"/>
          <w:sz w:val="24"/>
          <w:szCs w:val="24"/>
        </w:rPr>
        <w:t xml:space="preserve"> </w:t>
      </w:r>
      <w:r w:rsidR="00092DCF" w:rsidRPr="004D2FF7">
        <w:rPr>
          <w:rFonts w:ascii="Times New Roman" w:eastAsia="Calibri" w:hAnsi="Times New Roman" w:cs="Times New Roman"/>
          <w:sz w:val="24"/>
          <w:szCs w:val="24"/>
        </w:rPr>
        <w:t>procedură prin cererea ofertelor de prețuri</w:t>
      </w:r>
      <w:r w:rsidR="00FD36EE" w:rsidRPr="004D2FF7">
        <w:rPr>
          <w:rFonts w:ascii="Times New Roman" w:eastAsia="Calibri" w:hAnsi="Times New Roman" w:cs="Times New Roman"/>
          <w:sz w:val="24"/>
          <w:szCs w:val="24"/>
        </w:rPr>
        <w:t xml:space="preserve"> </w:t>
      </w:r>
      <w:r w:rsidR="00655E3B">
        <w:rPr>
          <w:rFonts w:ascii="Times New Roman" w:hAnsi="Times New Roman" w:cs="Times New Roman"/>
          <w:color w:val="000000" w:themeColor="text1"/>
          <w:sz w:val="24"/>
          <w:szCs w:val="24"/>
        </w:rPr>
        <w:t>–</w:t>
      </w:r>
      <w:r w:rsidR="00FD36EE" w:rsidRPr="004D2FF7">
        <w:rPr>
          <w:rFonts w:ascii="Times New Roman" w:eastAsia="Calibri" w:hAnsi="Times New Roman" w:cs="Times New Roman"/>
          <w:sz w:val="24"/>
          <w:szCs w:val="24"/>
        </w:rPr>
        <w:t xml:space="preserve"> de </w:t>
      </w:r>
      <w:r w:rsidR="00E204EE" w:rsidRPr="004D2FF7">
        <w:rPr>
          <w:rFonts w:ascii="Times New Roman" w:eastAsia="Calibri" w:hAnsi="Times New Roman" w:cs="Times New Roman"/>
          <w:sz w:val="24"/>
          <w:szCs w:val="24"/>
        </w:rPr>
        <w:t>45,1 mii lei</w:t>
      </w:r>
      <w:r w:rsidR="00F01210" w:rsidRPr="004D2FF7">
        <w:rPr>
          <w:rFonts w:ascii="Times New Roman" w:eastAsia="Calibri" w:hAnsi="Times New Roman" w:cs="Times New Roman"/>
          <w:sz w:val="24"/>
          <w:szCs w:val="24"/>
        </w:rPr>
        <w:t xml:space="preserve"> (0,7%)</w:t>
      </w:r>
      <w:r w:rsidR="00740BD2" w:rsidRPr="004D2FF7">
        <w:rPr>
          <w:rFonts w:ascii="Times New Roman" w:eastAsia="Calibri" w:hAnsi="Times New Roman" w:cs="Times New Roman"/>
          <w:sz w:val="24"/>
          <w:szCs w:val="24"/>
        </w:rPr>
        <w:t>;</w:t>
      </w:r>
      <w:r w:rsidR="00120C19" w:rsidRPr="004D2FF7">
        <w:rPr>
          <w:rFonts w:ascii="Times New Roman" w:eastAsia="Calibri" w:hAnsi="Times New Roman" w:cs="Times New Roman"/>
          <w:sz w:val="24"/>
          <w:szCs w:val="24"/>
        </w:rPr>
        <w:t xml:space="preserve"> </w:t>
      </w:r>
      <w:r w:rsidR="00092DCF" w:rsidRPr="004D2FF7">
        <w:rPr>
          <w:rFonts w:ascii="Times New Roman" w:eastAsia="Calibri" w:hAnsi="Times New Roman" w:cs="Times New Roman"/>
          <w:sz w:val="24"/>
          <w:szCs w:val="24"/>
        </w:rPr>
        <w:t>o procedură prin acord</w:t>
      </w:r>
      <w:r w:rsidR="00655E3B">
        <w:rPr>
          <w:rFonts w:ascii="Times New Roman" w:eastAsia="Calibri" w:hAnsi="Times New Roman" w:cs="Times New Roman"/>
          <w:sz w:val="24"/>
          <w:szCs w:val="24"/>
        </w:rPr>
        <w:t>-</w:t>
      </w:r>
      <w:r w:rsidR="00092DCF" w:rsidRPr="004D2FF7">
        <w:rPr>
          <w:rFonts w:ascii="Times New Roman" w:eastAsia="Calibri" w:hAnsi="Times New Roman" w:cs="Times New Roman"/>
          <w:sz w:val="24"/>
          <w:szCs w:val="24"/>
        </w:rPr>
        <w:t>cadru</w:t>
      </w:r>
      <w:r w:rsidR="00FD36EE" w:rsidRPr="004D2FF7">
        <w:rPr>
          <w:rFonts w:ascii="Times New Roman" w:eastAsia="Calibri" w:hAnsi="Times New Roman" w:cs="Times New Roman"/>
          <w:sz w:val="24"/>
          <w:szCs w:val="24"/>
        </w:rPr>
        <w:t xml:space="preserve"> </w:t>
      </w:r>
      <w:r w:rsidR="00655E3B">
        <w:rPr>
          <w:rFonts w:ascii="Times New Roman" w:hAnsi="Times New Roman" w:cs="Times New Roman"/>
          <w:color w:val="000000" w:themeColor="text1"/>
          <w:sz w:val="24"/>
          <w:szCs w:val="24"/>
        </w:rPr>
        <w:t>–</w:t>
      </w:r>
      <w:r w:rsidR="004478D6" w:rsidRPr="004D2FF7">
        <w:rPr>
          <w:rFonts w:ascii="Times New Roman" w:eastAsia="Calibri" w:hAnsi="Times New Roman" w:cs="Times New Roman"/>
          <w:sz w:val="24"/>
          <w:szCs w:val="24"/>
        </w:rPr>
        <w:t xml:space="preserve"> </w:t>
      </w:r>
      <w:r w:rsidR="00FD36EE" w:rsidRPr="004D2FF7">
        <w:rPr>
          <w:rFonts w:ascii="Times New Roman" w:eastAsia="Calibri" w:hAnsi="Times New Roman" w:cs="Times New Roman"/>
          <w:sz w:val="24"/>
          <w:szCs w:val="24"/>
        </w:rPr>
        <w:t>de 96,8 mii lei</w:t>
      </w:r>
      <w:r w:rsidR="00F01210" w:rsidRPr="004D2FF7">
        <w:rPr>
          <w:rFonts w:ascii="Times New Roman" w:eastAsia="Calibri" w:hAnsi="Times New Roman" w:cs="Times New Roman"/>
          <w:sz w:val="24"/>
          <w:szCs w:val="24"/>
        </w:rPr>
        <w:t xml:space="preserve"> (1,5%)</w:t>
      </w:r>
      <w:r w:rsidR="00120C19" w:rsidRPr="004D2FF7">
        <w:rPr>
          <w:rFonts w:ascii="Times New Roman" w:eastAsia="Calibri" w:hAnsi="Times New Roman" w:cs="Times New Roman"/>
          <w:sz w:val="24"/>
          <w:szCs w:val="24"/>
        </w:rPr>
        <w:t xml:space="preserve"> </w:t>
      </w:r>
      <w:r w:rsidR="00092DCF" w:rsidRPr="004D2FF7">
        <w:rPr>
          <w:rFonts w:ascii="Times New Roman" w:eastAsia="Calibri" w:hAnsi="Times New Roman" w:cs="Times New Roman"/>
          <w:sz w:val="24"/>
          <w:szCs w:val="24"/>
        </w:rPr>
        <w:t>și</w:t>
      </w:r>
      <w:r w:rsidR="006049D5" w:rsidRPr="004D2FF7">
        <w:rPr>
          <w:rFonts w:ascii="Times New Roman" w:eastAsia="Calibri" w:hAnsi="Times New Roman" w:cs="Times New Roman"/>
          <w:sz w:val="24"/>
          <w:szCs w:val="24"/>
        </w:rPr>
        <w:t xml:space="preserve"> </w:t>
      </w:r>
      <w:r w:rsidR="00E204EE" w:rsidRPr="004D2FF7">
        <w:rPr>
          <w:rFonts w:ascii="Times New Roman" w:eastAsia="Calibri" w:hAnsi="Times New Roman" w:cs="Times New Roman"/>
          <w:sz w:val="24"/>
          <w:szCs w:val="24"/>
        </w:rPr>
        <w:t>19</w:t>
      </w:r>
      <w:r w:rsidR="00035C92" w:rsidRPr="004D2FF7">
        <w:rPr>
          <w:rFonts w:ascii="Times New Roman" w:eastAsia="Calibri" w:hAnsi="Times New Roman" w:cs="Times New Roman"/>
          <w:sz w:val="24"/>
          <w:szCs w:val="24"/>
        </w:rPr>
        <w:t>4</w:t>
      </w:r>
      <w:r w:rsidR="006049D5" w:rsidRPr="004D2FF7">
        <w:rPr>
          <w:rFonts w:ascii="Times New Roman" w:eastAsia="Calibri" w:hAnsi="Times New Roman" w:cs="Times New Roman"/>
          <w:sz w:val="24"/>
          <w:szCs w:val="24"/>
        </w:rPr>
        <w:t xml:space="preserve"> de proceduri-achiziții de valoare mică</w:t>
      </w:r>
      <w:r w:rsidR="00E204EE" w:rsidRPr="004D2FF7">
        <w:rPr>
          <w:rFonts w:ascii="Times New Roman" w:eastAsia="Calibri" w:hAnsi="Times New Roman" w:cs="Times New Roman"/>
          <w:sz w:val="24"/>
          <w:szCs w:val="24"/>
        </w:rPr>
        <w:t xml:space="preserve"> în </w:t>
      </w:r>
      <w:r w:rsidR="00B12CFC" w:rsidRPr="004D2FF7">
        <w:rPr>
          <w:rFonts w:ascii="Times New Roman" w:eastAsia="Calibri" w:hAnsi="Times New Roman" w:cs="Times New Roman"/>
          <w:sz w:val="24"/>
          <w:szCs w:val="24"/>
        </w:rPr>
        <w:t>sumă totală</w:t>
      </w:r>
      <w:r w:rsidR="00E204EE" w:rsidRPr="004D2FF7">
        <w:rPr>
          <w:rFonts w:ascii="Times New Roman" w:eastAsia="Calibri" w:hAnsi="Times New Roman" w:cs="Times New Roman"/>
          <w:sz w:val="24"/>
          <w:szCs w:val="24"/>
        </w:rPr>
        <w:t xml:space="preserve"> de 5</w:t>
      </w:r>
      <w:r w:rsidR="00655E3B">
        <w:rPr>
          <w:rFonts w:ascii="Times New Roman" w:eastAsia="Calibri" w:hAnsi="Times New Roman" w:cs="Times New Roman"/>
          <w:sz w:val="24"/>
          <w:szCs w:val="24"/>
        </w:rPr>
        <w:t>.</w:t>
      </w:r>
      <w:r w:rsidR="00E204EE" w:rsidRPr="004D2FF7">
        <w:rPr>
          <w:rFonts w:ascii="Times New Roman" w:eastAsia="Calibri" w:hAnsi="Times New Roman" w:cs="Times New Roman"/>
          <w:sz w:val="24"/>
          <w:szCs w:val="24"/>
        </w:rPr>
        <w:t>385,4 mii lei</w:t>
      </w:r>
      <w:r w:rsidR="00F01210" w:rsidRPr="004D2FF7">
        <w:rPr>
          <w:rFonts w:ascii="Times New Roman" w:eastAsia="Calibri" w:hAnsi="Times New Roman" w:cs="Times New Roman"/>
          <w:sz w:val="24"/>
          <w:szCs w:val="24"/>
        </w:rPr>
        <w:t xml:space="preserve"> (82,7%)</w:t>
      </w:r>
      <w:r w:rsidR="006049D5" w:rsidRPr="004D2FF7">
        <w:rPr>
          <w:rFonts w:ascii="Times New Roman" w:eastAsia="Calibri" w:hAnsi="Times New Roman" w:cs="Times New Roman"/>
          <w:sz w:val="24"/>
          <w:szCs w:val="24"/>
        </w:rPr>
        <w:t xml:space="preserve">. </w:t>
      </w:r>
      <w:r w:rsidR="00C33753" w:rsidRPr="004D2FF7">
        <w:rPr>
          <w:rFonts w:ascii="Times New Roman" w:eastAsia="Calibri" w:hAnsi="Times New Roman" w:cs="Times New Roman"/>
          <w:sz w:val="24"/>
          <w:szCs w:val="24"/>
        </w:rPr>
        <w:t>P</w:t>
      </w:r>
      <w:r w:rsidR="006049D5" w:rsidRPr="004D2FF7">
        <w:rPr>
          <w:rFonts w:ascii="Times New Roman" w:eastAsia="Calibri" w:hAnsi="Times New Roman" w:cs="Times New Roman"/>
          <w:sz w:val="24"/>
          <w:szCs w:val="24"/>
        </w:rPr>
        <w:t xml:space="preserve">onderea valorii procedurilor de achiziții publice de mărfuri și servicii desfășurate de </w:t>
      </w:r>
      <w:r w:rsidR="00120C19" w:rsidRPr="004D2FF7">
        <w:rPr>
          <w:rFonts w:ascii="Times New Roman" w:eastAsia="Calibri" w:hAnsi="Times New Roman" w:cs="Times New Roman"/>
          <w:sz w:val="24"/>
          <w:szCs w:val="24"/>
        </w:rPr>
        <w:t>CNPDCP</w:t>
      </w:r>
      <w:r w:rsidR="006049D5" w:rsidRPr="004D2FF7">
        <w:rPr>
          <w:rFonts w:ascii="Times New Roman" w:eastAsia="Calibri" w:hAnsi="Times New Roman" w:cs="Times New Roman"/>
          <w:sz w:val="24"/>
          <w:szCs w:val="24"/>
        </w:rPr>
        <w:t xml:space="preserve"> în anii 2018-2022 </w:t>
      </w:r>
      <w:r w:rsidR="00655E3B">
        <w:rPr>
          <w:rFonts w:ascii="Times New Roman" w:eastAsia="Calibri" w:hAnsi="Times New Roman" w:cs="Times New Roman"/>
          <w:sz w:val="24"/>
          <w:szCs w:val="24"/>
        </w:rPr>
        <w:t>este</w:t>
      </w:r>
      <w:r w:rsidR="006049D5" w:rsidRPr="004D2FF7">
        <w:rPr>
          <w:rFonts w:ascii="Times New Roman" w:eastAsia="Calibri" w:hAnsi="Times New Roman" w:cs="Times New Roman"/>
          <w:sz w:val="24"/>
          <w:szCs w:val="24"/>
        </w:rPr>
        <w:t xml:space="preserve"> expus</w:t>
      </w:r>
      <w:r w:rsidR="00655E3B">
        <w:rPr>
          <w:rFonts w:ascii="Times New Roman" w:eastAsia="Calibri" w:hAnsi="Times New Roman" w:cs="Times New Roman"/>
          <w:sz w:val="24"/>
          <w:szCs w:val="24"/>
        </w:rPr>
        <w:t>ă</w:t>
      </w:r>
      <w:r w:rsidR="006049D5" w:rsidRPr="004D2FF7">
        <w:rPr>
          <w:rFonts w:ascii="Times New Roman" w:eastAsia="Calibri" w:hAnsi="Times New Roman" w:cs="Times New Roman"/>
          <w:sz w:val="24"/>
          <w:szCs w:val="24"/>
        </w:rPr>
        <w:t xml:space="preserve"> </w:t>
      </w:r>
      <w:r w:rsidR="00B36EC9" w:rsidRPr="004D2FF7">
        <w:rPr>
          <w:rFonts w:ascii="Times New Roman" w:eastAsia="Calibri" w:hAnsi="Times New Roman" w:cs="Times New Roman"/>
          <w:sz w:val="24"/>
          <w:szCs w:val="24"/>
        </w:rPr>
        <w:t>în</w:t>
      </w:r>
      <w:r w:rsidR="006049D5" w:rsidRPr="004D2FF7">
        <w:rPr>
          <w:rFonts w:ascii="Times New Roman" w:eastAsia="Calibri" w:hAnsi="Times New Roman" w:cs="Times New Roman"/>
          <w:sz w:val="24"/>
          <w:szCs w:val="24"/>
        </w:rPr>
        <w:t xml:space="preserve"> </w:t>
      </w:r>
      <w:r w:rsidR="00645374">
        <w:rPr>
          <w:rFonts w:ascii="Times New Roman" w:eastAsia="Calibri" w:hAnsi="Times New Roman" w:cs="Times New Roman"/>
          <w:sz w:val="24"/>
          <w:szCs w:val="24"/>
        </w:rPr>
        <w:t xml:space="preserve">Figura </w:t>
      </w:r>
      <w:r w:rsidR="00B36EC9" w:rsidRPr="004D2FF7">
        <w:rPr>
          <w:rFonts w:ascii="Times New Roman" w:eastAsia="Calibri" w:hAnsi="Times New Roman" w:cs="Times New Roman"/>
          <w:sz w:val="24"/>
          <w:szCs w:val="24"/>
        </w:rPr>
        <w:t>nr.2</w:t>
      </w:r>
      <w:r w:rsidR="006049D5" w:rsidRPr="004D2FF7">
        <w:rPr>
          <w:rFonts w:ascii="Times New Roman" w:eastAsia="Calibri" w:hAnsi="Times New Roman" w:cs="Times New Roman"/>
          <w:sz w:val="24"/>
          <w:szCs w:val="24"/>
        </w:rPr>
        <w:t xml:space="preserve">. </w:t>
      </w:r>
      <w:r w:rsidR="00B36EC9" w:rsidRPr="004D2FF7">
        <w:rPr>
          <w:rFonts w:ascii="Times New Roman" w:eastAsia="Calibri" w:hAnsi="Times New Roman" w:cs="Times New Roman"/>
          <w:sz w:val="24"/>
          <w:szCs w:val="24"/>
        </w:rPr>
        <w:t xml:space="preserve">                                                                                                                                     </w:t>
      </w:r>
      <w:r w:rsidR="008835A7" w:rsidRPr="004D2FF7">
        <w:rPr>
          <w:rFonts w:ascii="Times New Roman" w:eastAsia="Calibri" w:hAnsi="Times New Roman" w:cs="Times New Roman"/>
          <w:sz w:val="24"/>
          <w:szCs w:val="24"/>
        </w:rPr>
        <w:t xml:space="preserve"> </w:t>
      </w:r>
    </w:p>
    <w:p w14:paraId="630B99DB" w14:textId="77777777" w:rsidR="00B866E6" w:rsidRPr="00E30132" w:rsidRDefault="008835A7" w:rsidP="00DE587A">
      <w:pPr>
        <w:shd w:val="clear" w:color="auto" w:fill="FFFFFF"/>
        <w:tabs>
          <w:tab w:val="left" w:pos="0"/>
          <w:tab w:val="left" w:pos="450"/>
          <w:tab w:val="left" w:pos="990"/>
        </w:tabs>
        <w:spacing w:after="120" w:line="276" w:lineRule="auto"/>
        <w:ind w:right="14"/>
        <w:jc w:val="center"/>
        <w:rPr>
          <w:rFonts w:asciiTheme="majorHAnsi" w:eastAsia="Calibri" w:hAnsiTheme="majorHAnsi" w:cstheme="majorHAnsi"/>
          <w:b/>
          <w:sz w:val="24"/>
          <w:szCs w:val="24"/>
        </w:rPr>
      </w:pPr>
      <w:r w:rsidRPr="00645374">
        <w:rPr>
          <w:rFonts w:ascii="Times New Roman" w:eastAsia="Calibri" w:hAnsi="Times New Roman" w:cs="Times New Roman"/>
          <w:b/>
        </w:rPr>
        <w:t xml:space="preserve">                     </w:t>
      </w:r>
      <w:r w:rsidR="00B36EC9" w:rsidRPr="00645374">
        <w:rPr>
          <w:rFonts w:ascii="Times New Roman" w:eastAsia="Calibri" w:hAnsi="Times New Roman" w:cs="Times New Roman"/>
          <w:b/>
        </w:rPr>
        <w:t xml:space="preserve"> </w:t>
      </w:r>
      <w:r w:rsidR="001330B5" w:rsidRPr="00645374">
        <w:rPr>
          <w:rFonts w:ascii="Times New Roman" w:eastAsia="Calibri" w:hAnsi="Times New Roman" w:cs="Times New Roman"/>
          <w:b/>
        </w:rPr>
        <w:t xml:space="preserve">                                                                                     </w:t>
      </w:r>
      <w:r w:rsidR="004D2FF7" w:rsidRPr="00645374">
        <w:rPr>
          <w:rFonts w:ascii="Times New Roman" w:eastAsia="Calibri" w:hAnsi="Times New Roman" w:cs="Times New Roman"/>
          <w:b/>
        </w:rPr>
        <w:t xml:space="preserve">                  </w:t>
      </w:r>
      <w:r w:rsidR="00645374">
        <w:rPr>
          <w:rFonts w:ascii="Times New Roman" w:eastAsia="Calibri" w:hAnsi="Times New Roman" w:cs="Times New Roman"/>
          <w:b/>
        </w:rPr>
        <w:t xml:space="preserve">          </w:t>
      </w:r>
      <w:r w:rsidR="004D2FF7" w:rsidRPr="00645374">
        <w:rPr>
          <w:rFonts w:ascii="Times New Roman" w:eastAsia="Calibri" w:hAnsi="Times New Roman" w:cs="Times New Roman"/>
          <w:b/>
        </w:rPr>
        <w:t xml:space="preserve"> </w:t>
      </w:r>
      <w:r w:rsidR="00645374" w:rsidRPr="00645374">
        <w:rPr>
          <w:rFonts w:ascii="Times New Roman" w:eastAsia="Calibri" w:hAnsi="Times New Roman" w:cs="Times New Roman"/>
          <w:b/>
          <w:i/>
        </w:rPr>
        <w:t>Figura</w:t>
      </w:r>
      <w:r w:rsidR="00B36EC9" w:rsidRPr="00645374">
        <w:rPr>
          <w:rFonts w:ascii="Times New Roman" w:eastAsia="Calibri" w:hAnsi="Times New Roman" w:cs="Times New Roman"/>
          <w:b/>
          <w:i/>
        </w:rPr>
        <w:t xml:space="preserve"> nr.2</w:t>
      </w:r>
      <w:r w:rsidR="00CA0C5D" w:rsidRPr="00E30132">
        <w:rPr>
          <w:rFonts w:asciiTheme="majorHAnsi" w:hAnsiTheme="majorHAnsi" w:cstheme="majorHAnsi"/>
          <w:noProof/>
          <w:sz w:val="24"/>
          <w:szCs w:val="24"/>
          <w:lang w:val="en-US"/>
        </w:rPr>
        <w:drawing>
          <wp:inline distT="0" distB="0" distL="0" distR="0" wp14:anchorId="28A7E831" wp14:editId="4C8376B8">
            <wp:extent cx="5749290" cy="2560320"/>
            <wp:effectExtent l="0" t="0" r="3810" b="1143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1A5048" w14:textId="797A6C81" w:rsidR="006049D5" w:rsidRPr="004D2FF7" w:rsidRDefault="00CA0C5D" w:rsidP="008C1B8F">
      <w:pPr>
        <w:shd w:val="clear" w:color="auto" w:fill="FFFFFF"/>
        <w:tabs>
          <w:tab w:val="left" w:pos="0"/>
          <w:tab w:val="left" w:pos="450"/>
          <w:tab w:val="left" w:pos="990"/>
        </w:tabs>
        <w:spacing w:after="0" w:line="276" w:lineRule="auto"/>
        <w:ind w:right="11"/>
        <w:jc w:val="both"/>
        <w:rPr>
          <w:rFonts w:ascii="Times New Roman" w:eastAsia="Calibri" w:hAnsi="Times New Roman" w:cs="Times New Roman"/>
          <w:i/>
          <w:sz w:val="18"/>
          <w:szCs w:val="18"/>
        </w:rPr>
      </w:pPr>
      <w:r w:rsidRPr="00AC7A99">
        <w:rPr>
          <w:rFonts w:asciiTheme="majorHAnsi" w:eastAsia="Calibri" w:hAnsiTheme="majorHAnsi" w:cstheme="majorHAnsi"/>
          <w:b/>
          <w:i/>
          <w:sz w:val="18"/>
          <w:szCs w:val="18"/>
        </w:rPr>
        <w:t xml:space="preserve">     </w:t>
      </w:r>
      <w:r w:rsidR="00AC7A99">
        <w:rPr>
          <w:rFonts w:asciiTheme="majorHAnsi" w:eastAsia="Calibri" w:hAnsiTheme="majorHAnsi" w:cstheme="majorHAnsi"/>
          <w:b/>
          <w:i/>
          <w:sz w:val="18"/>
          <w:szCs w:val="18"/>
        </w:rPr>
        <w:t xml:space="preserve"> </w:t>
      </w:r>
      <w:r w:rsidRPr="00AC7A99">
        <w:rPr>
          <w:rFonts w:asciiTheme="majorHAnsi" w:eastAsia="Calibri" w:hAnsiTheme="majorHAnsi" w:cstheme="majorHAnsi"/>
          <w:b/>
          <w:i/>
          <w:sz w:val="18"/>
          <w:szCs w:val="18"/>
        </w:rPr>
        <w:t xml:space="preserve">  </w:t>
      </w:r>
      <w:r w:rsidR="004C3CBB" w:rsidRPr="004D2FF7">
        <w:rPr>
          <w:rFonts w:ascii="Times New Roman" w:eastAsia="Calibri" w:hAnsi="Times New Roman" w:cs="Times New Roman"/>
          <w:b/>
          <w:i/>
          <w:sz w:val="18"/>
          <w:szCs w:val="18"/>
        </w:rPr>
        <w:t xml:space="preserve">Sursa: </w:t>
      </w:r>
      <w:r w:rsidR="006049D5" w:rsidRPr="004D2FF7">
        <w:rPr>
          <w:rFonts w:ascii="Times New Roman" w:eastAsia="Calibri" w:hAnsi="Times New Roman" w:cs="Times New Roman"/>
          <w:b/>
          <w:i/>
          <w:sz w:val="18"/>
          <w:szCs w:val="18"/>
        </w:rPr>
        <w:t xml:space="preserve"> </w:t>
      </w:r>
      <w:r w:rsidR="003E2F47" w:rsidRPr="004D2FF7">
        <w:rPr>
          <w:rFonts w:ascii="Times New Roman" w:eastAsia="Calibri" w:hAnsi="Times New Roman" w:cs="Times New Roman"/>
          <w:i/>
          <w:sz w:val="18"/>
          <w:szCs w:val="18"/>
        </w:rPr>
        <w:t>Informați</w:t>
      </w:r>
      <w:r w:rsidR="00655E3B">
        <w:rPr>
          <w:rFonts w:ascii="Times New Roman" w:eastAsia="Calibri" w:hAnsi="Times New Roman" w:cs="Times New Roman"/>
          <w:i/>
          <w:sz w:val="18"/>
          <w:szCs w:val="18"/>
        </w:rPr>
        <w:t>i</w:t>
      </w:r>
      <w:r w:rsidR="003E2F47" w:rsidRPr="004D2FF7">
        <w:rPr>
          <w:rFonts w:ascii="Times New Roman" w:eastAsia="Calibri" w:hAnsi="Times New Roman" w:cs="Times New Roman"/>
          <w:i/>
          <w:sz w:val="18"/>
          <w:szCs w:val="18"/>
        </w:rPr>
        <w:t xml:space="preserve"> generalizat</w:t>
      </w:r>
      <w:r w:rsidR="00655E3B">
        <w:rPr>
          <w:rFonts w:ascii="Times New Roman" w:eastAsia="Calibri" w:hAnsi="Times New Roman" w:cs="Times New Roman"/>
          <w:i/>
          <w:sz w:val="18"/>
          <w:szCs w:val="18"/>
        </w:rPr>
        <w:t>e</w:t>
      </w:r>
      <w:r w:rsidR="003E2F47" w:rsidRPr="004D2FF7">
        <w:rPr>
          <w:rFonts w:ascii="Times New Roman" w:eastAsia="Calibri" w:hAnsi="Times New Roman" w:cs="Times New Roman"/>
          <w:i/>
          <w:sz w:val="18"/>
          <w:szCs w:val="18"/>
        </w:rPr>
        <w:t xml:space="preserve"> de echipa de audit</w:t>
      </w:r>
      <w:r w:rsidR="001E15B6" w:rsidRPr="004D2FF7">
        <w:rPr>
          <w:rFonts w:ascii="Times New Roman" w:eastAsia="Calibri" w:hAnsi="Times New Roman" w:cs="Times New Roman"/>
          <w:i/>
          <w:sz w:val="18"/>
          <w:szCs w:val="18"/>
        </w:rPr>
        <w:t>.</w:t>
      </w:r>
      <w:r w:rsidR="003E2F47" w:rsidRPr="004D2FF7">
        <w:rPr>
          <w:rFonts w:ascii="Times New Roman" w:eastAsia="Calibri" w:hAnsi="Times New Roman" w:cs="Times New Roman"/>
          <w:i/>
          <w:sz w:val="18"/>
          <w:szCs w:val="18"/>
        </w:rPr>
        <w:t xml:space="preserve"> </w:t>
      </w:r>
    </w:p>
    <w:p w14:paraId="3F86BF4F" w14:textId="77777777" w:rsidR="00340FF1" w:rsidRPr="004D2FF7" w:rsidRDefault="00340FF1" w:rsidP="008C1B8F">
      <w:pPr>
        <w:shd w:val="clear" w:color="auto" w:fill="FFFFFF"/>
        <w:tabs>
          <w:tab w:val="left" w:pos="0"/>
          <w:tab w:val="left" w:pos="450"/>
          <w:tab w:val="left" w:pos="990"/>
        </w:tabs>
        <w:spacing w:after="240" w:line="276" w:lineRule="auto"/>
        <w:ind w:right="11"/>
        <w:jc w:val="both"/>
        <w:rPr>
          <w:rFonts w:ascii="Times New Roman" w:eastAsia="Calibri" w:hAnsi="Times New Roman" w:cs="Times New Roman"/>
          <w:sz w:val="18"/>
          <w:szCs w:val="18"/>
        </w:rPr>
      </w:pPr>
    </w:p>
    <w:p w14:paraId="2F661BC8" w14:textId="23FD7EC5" w:rsidR="006049D5" w:rsidRDefault="006049D5" w:rsidP="008C1B8F">
      <w:pPr>
        <w:shd w:val="clear" w:color="auto" w:fill="FFFFFF"/>
        <w:tabs>
          <w:tab w:val="left" w:pos="0"/>
          <w:tab w:val="left" w:pos="450"/>
          <w:tab w:val="left" w:pos="990"/>
        </w:tabs>
        <w:spacing w:after="240" w:line="276" w:lineRule="auto"/>
        <w:ind w:right="11"/>
        <w:jc w:val="both"/>
        <w:rPr>
          <w:rFonts w:ascii="Times New Roman" w:eastAsiaTheme="majorEastAsia" w:hAnsi="Times New Roman" w:cs="Times New Roman"/>
          <w:sz w:val="24"/>
          <w:szCs w:val="24"/>
        </w:rPr>
      </w:pPr>
      <w:r w:rsidRPr="004D2FF7">
        <w:rPr>
          <w:rFonts w:ascii="Times New Roman" w:eastAsia="Calibri" w:hAnsi="Times New Roman" w:cs="Times New Roman"/>
          <w:sz w:val="24"/>
          <w:szCs w:val="24"/>
        </w:rPr>
        <w:t xml:space="preserve">Datele expuse în </w:t>
      </w:r>
      <w:r w:rsidR="00672449">
        <w:rPr>
          <w:rFonts w:ascii="Times New Roman" w:eastAsia="Calibri" w:hAnsi="Times New Roman" w:cs="Times New Roman"/>
          <w:sz w:val="24"/>
          <w:szCs w:val="24"/>
        </w:rPr>
        <w:t>Figura nr.2</w:t>
      </w:r>
      <w:r w:rsidRPr="004D2FF7">
        <w:rPr>
          <w:rFonts w:ascii="Times New Roman" w:eastAsia="Calibri" w:hAnsi="Times New Roman" w:cs="Times New Roman"/>
          <w:sz w:val="24"/>
          <w:szCs w:val="24"/>
        </w:rPr>
        <w:t xml:space="preserve"> relevă că partea preponderentă a bunurilor materiale și serviciilor a</w:t>
      </w:r>
      <w:r w:rsidR="001E15B6" w:rsidRPr="004D2FF7">
        <w:rPr>
          <w:rFonts w:ascii="Times New Roman" w:eastAsia="Calibri" w:hAnsi="Times New Roman" w:cs="Times New Roman"/>
          <w:sz w:val="24"/>
          <w:szCs w:val="24"/>
        </w:rPr>
        <w:t xml:space="preserve"> </w:t>
      </w:r>
      <w:r w:rsidRPr="004D2FF7">
        <w:rPr>
          <w:rFonts w:ascii="Times New Roman" w:eastAsia="Calibri" w:hAnsi="Times New Roman" w:cs="Times New Roman"/>
          <w:sz w:val="24"/>
          <w:szCs w:val="24"/>
        </w:rPr>
        <w:t>fost achiziționat</w:t>
      </w:r>
      <w:r w:rsidR="001E15B6" w:rsidRPr="004D2FF7">
        <w:rPr>
          <w:rFonts w:ascii="Times New Roman" w:eastAsia="Calibri" w:hAnsi="Times New Roman" w:cs="Times New Roman"/>
          <w:sz w:val="24"/>
          <w:szCs w:val="24"/>
        </w:rPr>
        <w:t>ă</w:t>
      </w:r>
      <w:r w:rsidRPr="004D2FF7">
        <w:rPr>
          <w:rFonts w:ascii="Times New Roman" w:eastAsia="Calibri" w:hAnsi="Times New Roman" w:cs="Times New Roman"/>
          <w:sz w:val="24"/>
          <w:szCs w:val="24"/>
        </w:rPr>
        <w:t xml:space="preserve"> prin intermediul </w:t>
      </w:r>
      <w:r w:rsidR="00340FF1" w:rsidRPr="004D2FF7">
        <w:rPr>
          <w:rFonts w:ascii="Times New Roman" w:eastAsia="Calibri" w:hAnsi="Times New Roman" w:cs="Times New Roman"/>
          <w:sz w:val="24"/>
          <w:szCs w:val="24"/>
        </w:rPr>
        <w:t>contractelor de achiziții de valoare mică</w:t>
      </w:r>
      <w:r w:rsidRPr="004D2FF7">
        <w:rPr>
          <w:rFonts w:ascii="Times New Roman" w:eastAsia="Calibri" w:hAnsi="Times New Roman" w:cs="Times New Roman"/>
          <w:sz w:val="24"/>
          <w:szCs w:val="24"/>
        </w:rPr>
        <w:t xml:space="preserve">, sau în proporție de </w:t>
      </w:r>
      <w:r w:rsidR="00340FF1" w:rsidRPr="004D2FF7">
        <w:rPr>
          <w:rFonts w:ascii="Times New Roman" w:eastAsia="Calibri" w:hAnsi="Times New Roman" w:cs="Times New Roman"/>
          <w:sz w:val="24"/>
          <w:szCs w:val="24"/>
        </w:rPr>
        <w:t>82,7</w:t>
      </w:r>
      <w:r w:rsidRPr="004D2FF7">
        <w:rPr>
          <w:rFonts w:ascii="Times New Roman" w:eastAsia="Calibri" w:hAnsi="Times New Roman" w:cs="Times New Roman"/>
          <w:sz w:val="24"/>
          <w:szCs w:val="24"/>
        </w:rPr>
        <w:t xml:space="preserve">%, valoarea totală a contractelor încheiate în baza acestei proceduri fiind de </w:t>
      </w:r>
      <w:r w:rsidR="00340FF1" w:rsidRPr="004D2FF7">
        <w:rPr>
          <w:rFonts w:ascii="Times New Roman" w:eastAsia="Calibri" w:hAnsi="Times New Roman" w:cs="Times New Roman"/>
          <w:sz w:val="24"/>
          <w:szCs w:val="24"/>
        </w:rPr>
        <w:t>5</w:t>
      </w:r>
      <w:r w:rsidR="00655E3B">
        <w:rPr>
          <w:rFonts w:ascii="Times New Roman" w:eastAsia="Calibri" w:hAnsi="Times New Roman" w:cs="Times New Roman"/>
          <w:sz w:val="24"/>
          <w:szCs w:val="24"/>
        </w:rPr>
        <w:t>.</w:t>
      </w:r>
      <w:r w:rsidR="00340FF1" w:rsidRPr="004D2FF7">
        <w:rPr>
          <w:rFonts w:ascii="Times New Roman" w:eastAsia="Calibri" w:hAnsi="Times New Roman" w:cs="Times New Roman"/>
          <w:sz w:val="24"/>
          <w:szCs w:val="24"/>
        </w:rPr>
        <w:t>385,4</w:t>
      </w:r>
      <w:r w:rsidRPr="004D2FF7">
        <w:rPr>
          <w:rFonts w:ascii="Times New Roman" w:eastAsia="Calibri" w:hAnsi="Times New Roman" w:cs="Times New Roman"/>
          <w:sz w:val="24"/>
          <w:szCs w:val="24"/>
        </w:rPr>
        <w:t xml:space="preserve"> mii lei. </w:t>
      </w:r>
      <w:r w:rsidR="001E15B6" w:rsidRPr="004D2FF7">
        <w:rPr>
          <w:rFonts w:ascii="Times New Roman" w:eastAsia="Calibri" w:hAnsi="Times New Roman" w:cs="Times New Roman"/>
          <w:sz w:val="24"/>
          <w:szCs w:val="24"/>
        </w:rPr>
        <w:t>P</w:t>
      </w:r>
      <w:r w:rsidRPr="004D2FF7">
        <w:rPr>
          <w:rFonts w:ascii="Times New Roman" w:eastAsia="Calibri" w:hAnsi="Times New Roman" w:cs="Times New Roman"/>
          <w:sz w:val="24"/>
          <w:szCs w:val="24"/>
        </w:rPr>
        <w:t>ondere</w:t>
      </w:r>
      <w:r w:rsidR="001E15B6" w:rsidRPr="004D2FF7">
        <w:rPr>
          <w:rFonts w:ascii="Times New Roman" w:eastAsia="Calibri" w:hAnsi="Times New Roman" w:cs="Times New Roman"/>
          <w:sz w:val="24"/>
          <w:szCs w:val="24"/>
        </w:rPr>
        <w:t>a</w:t>
      </w:r>
      <w:r w:rsidRPr="004D2FF7">
        <w:rPr>
          <w:rFonts w:ascii="Times New Roman" w:eastAsia="Calibri" w:hAnsi="Times New Roman" w:cs="Times New Roman"/>
          <w:sz w:val="24"/>
          <w:szCs w:val="24"/>
        </w:rPr>
        <w:t xml:space="preserve">  de 15% </w:t>
      </w:r>
      <w:r w:rsidR="001E15B6" w:rsidRPr="004D2FF7">
        <w:rPr>
          <w:rFonts w:ascii="Times New Roman" w:eastAsia="Calibri" w:hAnsi="Times New Roman" w:cs="Times New Roman"/>
          <w:sz w:val="24"/>
          <w:szCs w:val="24"/>
        </w:rPr>
        <w:t xml:space="preserve"> </w:t>
      </w:r>
      <w:r w:rsidRPr="004D2FF7">
        <w:rPr>
          <w:rFonts w:ascii="Times New Roman" w:eastAsia="Calibri" w:hAnsi="Times New Roman" w:cs="Times New Roman"/>
          <w:sz w:val="24"/>
          <w:szCs w:val="24"/>
        </w:rPr>
        <w:t xml:space="preserve">și </w:t>
      </w:r>
      <w:r w:rsidR="001E15B6" w:rsidRPr="004D2FF7">
        <w:rPr>
          <w:rFonts w:ascii="Times New Roman" w:eastAsia="Calibri" w:hAnsi="Times New Roman" w:cs="Times New Roman"/>
          <w:sz w:val="24"/>
          <w:szCs w:val="24"/>
        </w:rPr>
        <w:t xml:space="preserve">cea de </w:t>
      </w:r>
      <w:r w:rsidR="00340FF1" w:rsidRPr="004D2FF7">
        <w:rPr>
          <w:rFonts w:ascii="Times New Roman" w:eastAsia="Calibri" w:hAnsi="Times New Roman" w:cs="Times New Roman"/>
          <w:sz w:val="24"/>
          <w:szCs w:val="24"/>
        </w:rPr>
        <w:t>1,2</w:t>
      </w:r>
      <w:r w:rsidRPr="004D2FF7">
        <w:rPr>
          <w:rFonts w:ascii="Times New Roman" w:eastAsia="Calibri" w:hAnsi="Times New Roman" w:cs="Times New Roman"/>
          <w:sz w:val="24"/>
          <w:szCs w:val="24"/>
        </w:rPr>
        <w:t xml:space="preserve">% revin contractelor </w:t>
      </w:r>
      <w:r w:rsidR="00340FF1" w:rsidRPr="004D2FF7">
        <w:rPr>
          <w:rFonts w:ascii="Times New Roman" w:eastAsia="Calibri" w:hAnsi="Times New Roman" w:cs="Times New Roman"/>
          <w:sz w:val="24"/>
          <w:szCs w:val="24"/>
        </w:rPr>
        <w:t>de negociere fără publicare</w:t>
      </w:r>
      <w:r w:rsidRPr="004D2FF7">
        <w:rPr>
          <w:rFonts w:ascii="Times New Roman" w:eastAsia="Calibri" w:hAnsi="Times New Roman" w:cs="Times New Roman"/>
          <w:sz w:val="24"/>
          <w:szCs w:val="24"/>
        </w:rPr>
        <w:t xml:space="preserve"> și, respectiv, </w:t>
      </w:r>
      <w:r w:rsidR="00340FF1" w:rsidRPr="004D2FF7">
        <w:rPr>
          <w:rFonts w:ascii="Times New Roman" w:eastAsia="Calibri" w:hAnsi="Times New Roman" w:cs="Times New Roman"/>
          <w:sz w:val="24"/>
          <w:szCs w:val="24"/>
        </w:rPr>
        <w:t>acord</w:t>
      </w:r>
      <w:r w:rsidR="00F01F01" w:rsidRPr="004D2FF7">
        <w:rPr>
          <w:rFonts w:ascii="Times New Roman" w:eastAsia="Calibri" w:hAnsi="Times New Roman" w:cs="Times New Roman"/>
          <w:sz w:val="24"/>
          <w:szCs w:val="24"/>
        </w:rPr>
        <w:t>-</w:t>
      </w:r>
      <w:r w:rsidR="00340FF1" w:rsidRPr="004D2FF7">
        <w:rPr>
          <w:rFonts w:ascii="Times New Roman" w:eastAsia="Calibri" w:hAnsi="Times New Roman" w:cs="Times New Roman"/>
          <w:sz w:val="24"/>
          <w:szCs w:val="24"/>
        </w:rPr>
        <w:t>cadru</w:t>
      </w:r>
      <w:r w:rsidRPr="004D2FF7">
        <w:rPr>
          <w:rFonts w:ascii="Times New Roman" w:eastAsia="Calibri" w:hAnsi="Times New Roman" w:cs="Times New Roman"/>
          <w:sz w:val="24"/>
          <w:szCs w:val="24"/>
        </w:rPr>
        <w:t xml:space="preserve">. Datele  privind numărul și valoarea procedurilor de achiziții publice desfășurate de </w:t>
      </w:r>
      <w:r w:rsidR="00340FF1" w:rsidRPr="004D2FF7">
        <w:rPr>
          <w:rFonts w:ascii="Times New Roman" w:eastAsia="Calibri" w:hAnsi="Times New Roman" w:cs="Times New Roman"/>
          <w:sz w:val="24"/>
          <w:szCs w:val="24"/>
        </w:rPr>
        <w:t>CNPDCP</w:t>
      </w:r>
      <w:r w:rsidRPr="004D2FF7">
        <w:rPr>
          <w:rFonts w:ascii="Times New Roman" w:eastAsia="Calibri" w:hAnsi="Times New Roman" w:cs="Times New Roman"/>
          <w:sz w:val="24"/>
          <w:szCs w:val="24"/>
        </w:rPr>
        <w:t xml:space="preserve"> în anii 2018-2022 sunt expuse în </w:t>
      </w:r>
      <w:r w:rsidRPr="004D2FF7">
        <w:rPr>
          <w:rFonts w:ascii="Times New Roman" w:eastAsia="Calibri" w:hAnsi="Times New Roman" w:cs="Times New Roman"/>
          <w:i/>
          <w:sz w:val="24"/>
          <w:szCs w:val="24"/>
        </w:rPr>
        <w:t>Anexa nr.</w:t>
      </w:r>
      <w:r w:rsidR="008C3A61" w:rsidRPr="004D2FF7">
        <w:rPr>
          <w:rFonts w:ascii="Times New Roman" w:eastAsia="Calibri" w:hAnsi="Times New Roman" w:cs="Times New Roman"/>
          <w:i/>
          <w:sz w:val="24"/>
          <w:szCs w:val="24"/>
        </w:rPr>
        <w:t>4</w:t>
      </w:r>
      <w:r w:rsidR="00C80DDA" w:rsidRPr="004D2FF7">
        <w:rPr>
          <w:rFonts w:ascii="Times New Roman" w:eastAsia="Calibri" w:hAnsi="Times New Roman" w:cs="Times New Roman"/>
          <w:i/>
          <w:sz w:val="24"/>
          <w:szCs w:val="24"/>
        </w:rPr>
        <w:t xml:space="preserve"> </w:t>
      </w:r>
      <w:r w:rsidR="00C80DDA" w:rsidRPr="0077171B">
        <w:rPr>
          <w:rFonts w:ascii="Times New Roman" w:eastAsia="Calibri" w:hAnsi="Times New Roman" w:cs="Times New Roman"/>
          <w:i/>
          <w:sz w:val="24"/>
          <w:szCs w:val="24"/>
        </w:rPr>
        <w:t>la p</w:t>
      </w:r>
      <w:r w:rsidR="00C80DDA" w:rsidRPr="0077171B">
        <w:rPr>
          <w:rFonts w:ascii="Times New Roman" w:eastAsiaTheme="majorEastAsia" w:hAnsi="Times New Roman" w:cs="Times New Roman"/>
          <w:i/>
          <w:sz w:val="24"/>
          <w:szCs w:val="24"/>
        </w:rPr>
        <w:t>rezentul Raport de audit</w:t>
      </w:r>
      <w:r w:rsidR="00C80DDA" w:rsidRPr="004D2FF7">
        <w:rPr>
          <w:rFonts w:ascii="Times New Roman" w:eastAsiaTheme="majorEastAsia" w:hAnsi="Times New Roman" w:cs="Times New Roman"/>
          <w:sz w:val="24"/>
          <w:szCs w:val="24"/>
        </w:rPr>
        <w:t>.</w:t>
      </w:r>
    </w:p>
    <w:p w14:paraId="7B449893" w14:textId="77777777" w:rsidR="006049D5" w:rsidRPr="004D2FF7" w:rsidRDefault="00043E17" w:rsidP="00ED5A00">
      <w:pPr>
        <w:pStyle w:val="Heading1"/>
        <w:numPr>
          <w:ilvl w:val="0"/>
          <w:numId w:val="11"/>
        </w:numPr>
        <w:tabs>
          <w:tab w:val="left" w:pos="284"/>
        </w:tabs>
        <w:spacing w:before="0" w:after="120" w:line="276" w:lineRule="auto"/>
        <w:ind w:left="0" w:firstLine="284"/>
        <w:rPr>
          <w:rFonts w:ascii="Times New Roman" w:hAnsi="Times New Roman" w:cs="Times New Roman"/>
          <w:b/>
          <w:color w:val="auto"/>
          <w:sz w:val="24"/>
          <w:szCs w:val="24"/>
        </w:rPr>
      </w:pPr>
      <w:bookmarkStart w:id="15" w:name="_Toc48732717"/>
      <w:bookmarkStart w:id="16" w:name="_Toc76371129"/>
      <w:bookmarkStart w:id="17" w:name="_Toc127171492"/>
      <w:r>
        <w:rPr>
          <w:rFonts w:ascii="Times New Roman" w:hAnsi="Times New Roman" w:cs="Times New Roman"/>
          <w:b/>
          <w:color w:val="auto"/>
          <w:sz w:val="24"/>
          <w:szCs w:val="24"/>
        </w:rPr>
        <w:t xml:space="preserve"> </w:t>
      </w:r>
      <w:bookmarkStart w:id="18" w:name="_Toc157776084"/>
      <w:r w:rsidR="006049D5" w:rsidRPr="004D2FF7">
        <w:rPr>
          <w:rFonts w:ascii="Times New Roman" w:hAnsi="Times New Roman" w:cs="Times New Roman"/>
          <w:b/>
          <w:color w:val="auto"/>
          <w:sz w:val="24"/>
          <w:szCs w:val="24"/>
        </w:rPr>
        <w:t>SFERA ȘI ABORDAREA AUDITULUI</w:t>
      </w:r>
      <w:bookmarkEnd w:id="15"/>
      <w:bookmarkEnd w:id="16"/>
      <w:bookmarkEnd w:id="17"/>
      <w:bookmarkEnd w:id="18"/>
    </w:p>
    <w:p w14:paraId="119E4634" w14:textId="77777777" w:rsidR="006049D5" w:rsidRPr="004D2FF7" w:rsidRDefault="006049D5" w:rsidP="00ED5A00">
      <w:pPr>
        <w:pStyle w:val="Heading3"/>
        <w:numPr>
          <w:ilvl w:val="1"/>
          <w:numId w:val="11"/>
        </w:numPr>
        <w:tabs>
          <w:tab w:val="left" w:pos="426"/>
        </w:tabs>
        <w:spacing w:after="80"/>
        <w:ind w:left="0" w:firstLine="0"/>
        <w:rPr>
          <w:rFonts w:ascii="Times New Roman" w:hAnsi="Times New Roman" w:cs="Times New Roman"/>
          <w:b/>
          <w:i/>
          <w:color w:val="2E74B5" w:themeColor="accent1" w:themeShade="BF"/>
          <w:shd w:val="clear" w:color="auto" w:fill="FFFFFF"/>
        </w:rPr>
      </w:pPr>
      <w:bookmarkStart w:id="19" w:name="_Toc127171493"/>
      <w:bookmarkStart w:id="20" w:name="_Toc157776085"/>
      <w:r w:rsidRPr="004D2FF7">
        <w:rPr>
          <w:rFonts w:ascii="Times New Roman" w:hAnsi="Times New Roman" w:cs="Times New Roman"/>
          <w:b/>
          <w:i/>
          <w:color w:val="2E74B5" w:themeColor="accent1" w:themeShade="BF"/>
          <w:shd w:val="clear" w:color="auto" w:fill="FFFFFF"/>
        </w:rPr>
        <w:t>Mandatul legal și scopul auditului</w:t>
      </w:r>
      <w:bookmarkEnd w:id="19"/>
      <w:bookmarkEnd w:id="20"/>
      <w:r w:rsidRPr="004D2FF7">
        <w:rPr>
          <w:rFonts w:ascii="Times New Roman" w:hAnsi="Times New Roman" w:cs="Times New Roman"/>
          <w:b/>
          <w:i/>
          <w:color w:val="2E74B5" w:themeColor="accent1" w:themeShade="BF"/>
          <w:shd w:val="clear" w:color="auto" w:fill="FFFFFF"/>
        </w:rPr>
        <w:t xml:space="preserve"> </w:t>
      </w:r>
    </w:p>
    <w:p w14:paraId="7FF7E3AC" w14:textId="4EF51166" w:rsidR="006049D5" w:rsidRPr="004D2FF7" w:rsidRDefault="006049D5" w:rsidP="008C1B8F">
      <w:pPr>
        <w:spacing w:line="276" w:lineRule="auto"/>
        <w:jc w:val="both"/>
        <w:rPr>
          <w:rFonts w:ascii="Times New Roman" w:hAnsi="Times New Roman" w:cs="Times New Roman"/>
          <w:color w:val="000000"/>
          <w:sz w:val="24"/>
          <w:szCs w:val="24"/>
          <w:shd w:val="clear" w:color="auto" w:fill="FFFFFF"/>
        </w:rPr>
      </w:pPr>
      <w:r w:rsidRPr="004D2FF7">
        <w:rPr>
          <w:rFonts w:ascii="Times New Roman" w:hAnsi="Times New Roman" w:cs="Times New Roman"/>
          <w:sz w:val="24"/>
          <w:szCs w:val="24"/>
          <w:shd w:val="clear" w:color="auto" w:fill="FFFFFF"/>
        </w:rPr>
        <w:t xml:space="preserve">Misiunea de audit public extern s-a desfășurat în temeiul art.5, art.31 și art.32 din Legea privind organizarea și funcționarea Curții de Conturi a Republicii Moldova nr.260 din 07.12.2017, </w:t>
      </w:r>
      <w:r w:rsidR="009953A5" w:rsidRPr="004D2FF7">
        <w:rPr>
          <w:rFonts w:ascii="Times New Roman" w:hAnsi="Times New Roman" w:cs="Times New Roman"/>
          <w:sz w:val="24"/>
          <w:szCs w:val="24"/>
          <w:shd w:val="clear" w:color="auto" w:fill="FFFFFF"/>
        </w:rPr>
        <w:t xml:space="preserve">având drept scop </w:t>
      </w:r>
      <w:r w:rsidR="009953A5" w:rsidRPr="0077171B">
        <w:rPr>
          <w:rFonts w:ascii="Times New Roman" w:hAnsi="Times New Roman" w:cs="Times New Roman"/>
          <w:i/>
          <w:sz w:val="24"/>
          <w:szCs w:val="24"/>
          <w:shd w:val="clear" w:color="auto" w:fill="FFFFFF"/>
        </w:rPr>
        <w:t xml:space="preserve">evaluarea conformității </w:t>
      </w:r>
      <w:r w:rsidR="00EC0D78" w:rsidRPr="0077171B">
        <w:rPr>
          <w:rFonts w:ascii="Times New Roman" w:hAnsi="Times New Roman" w:cs="Times New Roman"/>
          <w:i/>
          <w:sz w:val="24"/>
          <w:szCs w:val="24"/>
          <w:shd w:val="clear" w:color="auto" w:fill="FFFFFF"/>
        </w:rPr>
        <w:t xml:space="preserve">asupra modului de formare, administrare și întrebuințare a resurselor financiare publice și </w:t>
      </w:r>
      <w:r w:rsidR="00C80DDA" w:rsidRPr="0077171B">
        <w:rPr>
          <w:rFonts w:ascii="Times New Roman" w:hAnsi="Times New Roman" w:cs="Times New Roman"/>
          <w:i/>
          <w:sz w:val="24"/>
          <w:szCs w:val="24"/>
          <w:shd w:val="clear" w:color="auto" w:fill="FFFFFF"/>
        </w:rPr>
        <w:t xml:space="preserve">a </w:t>
      </w:r>
      <w:r w:rsidR="00EC0D78" w:rsidRPr="0077171B">
        <w:rPr>
          <w:rFonts w:ascii="Times New Roman" w:hAnsi="Times New Roman" w:cs="Times New Roman"/>
          <w:i/>
          <w:sz w:val="24"/>
          <w:szCs w:val="24"/>
          <w:shd w:val="clear" w:color="auto" w:fill="FFFFFF"/>
        </w:rPr>
        <w:t xml:space="preserve">patrimoniului public de către </w:t>
      </w:r>
      <w:r w:rsidR="00797B3D" w:rsidRPr="0077171B">
        <w:rPr>
          <w:rFonts w:ascii="Times New Roman" w:hAnsi="Times New Roman" w:cs="Times New Roman"/>
          <w:i/>
          <w:sz w:val="24"/>
          <w:szCs w:val="24"/>
          <w:shd w:val="clear" w:color="auto" w:fill="FFFFFF"/>
        </w:rPr>
        <w:t xml:space="preserve">CNPDCP </w:t>
      </w:r>
      <w:r w:rsidR="00EC0D78" w:rsidRPr="0077171B">
        <w:rPr>
          <w:rFonts w:ascii="Times New Roman" w:hAnsi="Times New Roman" w:cs="Times New Roman"/>
          <w:i/>
          <w:sz w:val="24"/>
          <w:szCs w:val="24"/>
          <w:shd w:val="clear" w:color="auto" w:fill="FFFFFF"/>
        </w:rPr>
        <w:t>în perioada 2018-2022</w:t>
      </w:r>
      <w:r w:rsidR="00EC0D78" w:rsidRPr="004D2FF7">
        <w:rPr>
          <w:rFonts w:ascii="Times New Roman" w:hAnsi="Times New Roman" w:cs="Times New Roman"/>
          <w:sz w:val="24"/>
          <w:szCs w:val="24"/>
          <w:shd w:val="clear" w:color="auto" w:fill="FFFFFF"/>
        </w:rPr>
        <w:t>.</w:t>
      </w:r>
    </w:p>
    <w:p w14:paraId="63E632D2" w14:textId="77777777" w:rsidR="006049D5" w:rsidRPr="004D2FF7" w:rsidRDefault="006049D5" w:rsidP="006716A3">
      <w:pPr>
        <w:spacing w:after="0" w:line="276" w:lineRule="auto"/>
        <w:jc w:val="both"/>
        <w:rPr>
          <w:rFonts w:ascii="Times New Roman" w:hAnsi="Times New Roman" w:cs="Times New Roman"/>
          <w:color w:val="000000"/>
          <w:sz w:val="24"/>
          <w:szCs w:val="24"/>
          <w:shd w:val="clear" w:color="auto" w:fill="FFFFFF"/>
        </w:rPr>
      </w:pPr>
      <w:r w:rsidRPr="004D2FF7">
        <w:rPr>
          <w:rFonts w:ascii="Times New Roman" w:hAnsi="Times New Roman" w:cs="Times New Roman"/>
          <w:color w:val="000000"/>
          <w:sz w:val="24"/>
          <w:szCs w:val="24"/>
          <w:shd w:val="clear" w:color="auto" w:fill="FFFFFF"/>
        </w:rPr>
        <w:t>În acest sens, au fost determinate următoarele obiective specifice:</w:t>
      </w:r>
    </w:p>
    <w:p w14:paraId="11388D84" w14:textId="2AA95AFC" w:rsidR="006049D5" w:rsidRPr="004D2FF7" w:rsidRDefault="00797B3D" w:rsidP="00ED5A00">
      <w:pPr>
        <w:numPr>
          <w:ilvl w:val="0"/>
          <w:numId w:val="1"/>
        </w:numPr>
        <w:tabs>
          <w:tab w:val="left" w:pos="284"/>
        </w:tabs>
        <w:spacing w:after="120" w:line="276" w:lineRule="auto"/>
        <w:ind w:left="0" w:firstLine="0"/>
        <w:jc w:val="both"/>
        <w:rPr>
          <w:rFonts w:ascii="Times New Roman" w:eastAsia="Times New Roman" w:hAnsi="Times New Roman" w:cs="Times New Roman"/>
          <w:i/>
          <w:sz w:val="24"/>
          <w:szCs w:val="24"/>
        </w:rPr>
      </w:pPr>
      <w:r w:rsidRPr="004D2FF7">
        <w:rPr>
          <w:rFonts w:ascii="Times New Roman" w:eastAsia="Times New Roman" w:hAnsi="Times New Roman" w:cs="Times New Roman"/>
          <w:i/>
          <w:sz w:val="24"/>
          <w:szCs w:val="24"/>
        </w:rPr>
        <w:t>CNPDCP</w:t>
      </w:r>
      <w:r w:rsidR="006049D5" w:rsidRPr="004D2FF7">
        <w:rPr>
          <w:rFonts w:ascii="Times New Roman" w:eastAsia="Times New Roman" w:hAnsi="Times New Roman" w:cs="Times New Roman"/>
          <w:i/>
          <w:sz w:val="24"/>
          <w:szCs w:val="24"/>
        </w:rPr>
        <w:t xml:space="preserve"> a asigurat elaborarea bugetului instituției în conformitate cu regulile și procedurile bugetar-fiscale prestabilite?</w:t>
      </w:r>
    </w:p>
    <w:p w14:paraId="4199B1A8" w14:textId="3E1442B9" w:rsidR="006049D5" w:rsidRPr="004D2FF7" w:rsidRDefault="00797B3D" w:rsidP="006716A3">
      <w:pPr>
        <w:numPr>
          <w:ilvl w:val="0"/>
          <w:numId w:val="1"/>
        </w:numPr>
        <w:tabs>
          <w:tab w:val="left" w:pos="284"/>
          <w:tab w:val="left" w:pos="426"/>
        </w:tabs>
        <w:spacing w:after="120" w:line="276" w:lineRule="auto"/>
        <w:ind w:left="0" w:firstLine="0"/>
        <w:jc w:val="both"/>
        <w:rPr>
          <w:rFonts w:ascii="Times New Roman" w:eastAsia="Times New Roman" w:hAnsi="Times New Roman" w:cs="Times New Roman"/>
          <w:i/>
          <w:sz w:val="24"/>
          <w:szCs w:val="24"/>
        </w:rPr>
      </w:pPr>
      <w:r w:rsidRPr="004D2FF7">
        <w:rPr>
          <w:rFonts w:ascii="Times New Roman" w:eastAsia="Times New Roman" w:hAnsi="Times New Roman" w:cs="Times New Roman"/>
          <w:i/>
          <w:sz w:val="24"/>
          <w:szCs w:val="24"/>
        </w:rPr>
        <w:lastRenderedPageBreak/>
        <w:t>CNPDCP</w:t>
      </w:r>
      <w:r w:rsidR="00F41309" w:rsidRPr="00F41309">
        <w:rPr>
          <w:rFonts w:ascii="Times New Roman" w:eastAsia="Times New Roman" w:hAnsi="Times New Roman" w:cs="Times New Roman"/>
          <w:i/>
          <w:sz w:val="24"/>
          <w:szCs w:val="24"/>
        </w:rPr>
        <w:t xml:space="preserve"> </w:t>
      </w:r>
      <w:r w:rsidR="00F41309">
        <w:rPr>
          <w:rFonts w:ascii="Times New Roman" w:eastAsia="Times New Roman" w:hAnsi="Times New Roman" w:cs="Times New Roman"/>
          <w:i/>
          <w:sz w:val="24"/>
          <w:szCs w:val="24"/>
        </w:rPr>
        <w:t>d</w:t>
      </w:r>
      <w:r w:rsidR="00F41309" w:rsidRPr="004D2FF7">
        <w:rPr>
          <w:rFonts w:ascii="Times New Roman" w:eastAsia="Times New Roman" w:hAnsi="Times New Roman" w:cs="Times New Roman"/>
          <w:i/>
          <w:sz w:val="24"/>
          <w:szCs w:val="24"/>
        </w:rPr>
        <w:t>ispune</w:t>
      </w:r>
      <w:r w:rsidR="006049D5" w:rsidRPr="004D2FF7">
        <w:rPr>
          <w:rFonts w:ascii="Times New Roman" w:eastAsia="Times New Roman" w:hAnsi="Times New Roman" w:cs="Times New Roman"/>
          <w:i/>
          <w:sz w:val="24"/>
          <w:szCs w:val="24"/>
        </w:rPr>
        <w:t xml:space="preserve"> de procese operaționale funcționale care să asigure valorificarea mijloacelor bugetare alocate instituției în conformitate cu principiile de bună guvernare? </w:t>
      </w:r>
    </w:p>
    <w:p w14:paraId="4041566B" w14:textId="2A50907F" w:rsidR="006049D5" w:rsidRPr="004D2FF7" w:rsidRDefault="00797B3D" w:rsidP="00ED5A00">
      <w:pPr>
        <w:numPr>
          <w:ilvl w:val="0"/>
          <w:numId w:val="1"/>
        </w:numPr>
        <w:tabs>
          <w:tab w:val="left" w:pos="284"/>
          <w:tab w:val="left" w:pos="426"/>
        </w:tabs>
        <w:spacing w:after="120" w:line="276" w:lineRule="auto"/>
        <w:ind w:left="0" w:firstLine="0"/>
        <w:jc w:val="both"/>
        <w:rPr>
          <w:rFonts w:ascii="Times New Roman" w:eastAsia="Times New Roman" w:hAnsi="Times New Roman" w:cs="Times New Roman"/>
          <w:i/>
          <w:sz w:val="24"/>
          <w:szCs w:val="24"/>
        </w:rPr>
      </w:pPr>
      <w:r w:rsidRPr="004D2FF7">
        <w:rPr>
          <w:rFonts w:ascii="Times New Roman" w:eastAsia="Times New Roman" w:hAnsi="Times New Roman" w:cs="Times New Roman"/>
          <w:i/>
          <w:sz w:val="24"/>
          <w:szCs w:val="24"/>
        </w:rPr>
        <w:t>CNPDCP</w:t>
      </w:r>
      <w:r w:rsidR="006049D5" w:rsidRPr="004D2FF7">
        <w:rPr>
          <w:rFonts w:ascii="Times New Roman" w:eastAsia="Times New Roman" w:hAnsi="Times New Roman" w:cs="Times New Roman"/>
          <w:i/>
          <w:sz w:val="24"/>
          <w:szCs w:val="24"/>
        </w:rPr>
        <w:t xml:space="preserve"> </w:t>
      </w:r>
      <w:r w:rsidR="005059F1" w:rsidRPr="004D2FF7">
        <w:rPr>
          <w:rFonts w:ascii="Times New Roman" w:eastAsia="Times New Roman" w:hAnsi="Times New Roman" w:cs="Times New Roman"/>
          <w:i/>
          <w:sz w:val="24"/>
          <w:szCs w:val="24"/>
        </w:rPr>
        <w:t>a asigurat</w:t>
      </w:r>
      <w:r w:rsidR="00323B65" w:rsidRPr="004D2FF7">
        <w:rPr>
          <w:rFonts w:ascii="Times New Roman" w:eastAsia="Times New Roman" w:hAnsi="Times New Roman" w:cs="Times New Roman"/>
          <w:i/>
          <w:sz w:val="24"/>
          <w:szCs w:val="24"/>
        </w:rPr>
        <w:t xml:space="preserve"> un management prudent și conformat rigorilor privind gestionarea </w:t>
      </w:r>
      <w:r w:rsidR="006049D5" w:rsidRPr="004D2FF7">
        <w:rPr>
          <w:rFonts w:ascii="Times New Roman" w:eastAsia="Times New Roman" w:hAnsi="Times New Roman" w:cs="Times New Roman"/>
          <w:i/>
          <w:sz w:val="24"/>
          <w:szCs w:val="24"/>
        </w:rPr>
        <w:t>patrimoniului entității?</w:t>
      </w:r>
    </w:p>
    <w:p w14:paraId="259D1F4A" w14:textId="008BC63E" w:rsidR="006049D5" w:rsidRPr="004D2FF7" w:rsidRDefault="00797B3D" w:rsidP="00ED5A00">
      <w:pPr>
        <w:numPr>
          <w:ilvl w:val="0"/>
          <w:numId w:val="1"/>
        </w:numPr>
        <w:tabs>
          <w:tab w:val="left" w:pos="284"/>
          <w:tab w:val="left" w:pos="426"/>
        </w:tabs>
        <w:spacing w:after="120" w:line="276" w:lineRule="auto"/>
        <w:ind w:left="0" w:firstLine="0"/>
        <w:jc w:val="both"/>
        <w:rPr>
          <w:rFonts w:ascii="Times New Roman" w:eastAsia="Times New Roman" w:hAnsi="Times New Roman" w:cs="Times New Roman"/>
          <w:i/>
          <w:sz w:val="24"/>
          <w:szCs w:val="24"/>
        </w:rPr>
      </w:pPr>
      <w:r w:rsidRPr="004D2FF7">
        <w:rPr>
          <w:rFonts w:ascii="Times New Roman" w:eastAsia="Times New Roman" w:hAnsi="Times New Roman" w:cs="Times New Roman"/>
          <w:i/>
          <w:sz w:val="24"/>
          <w:szCs w:val="24"/>
        </w:rPr>
        <w:t>CNPDCP</w:t>
      </w:r>
      <w:r w:rsidR="00C80DDA" w:rsidRPr="004D2FF7">
        <w:rPr>
          <w:rFonts w:ascii="Times New Roman" w:eastAsia="Times New Roman" w:hAnsi="Times New Roman" w:cs="Times New Roman"/>
          <w:i/>
          <w:sz w:val="24"/>
          <w:szCs w:val="24"/>
        </w:rPr>
        <w:t>,</w:t>
      </w:r>
      <w:r w:rsidR="006049D5" w:rsidRPr="004D2FF7">
        <w:rPr>
          <w:rFonts w:ascii="Times New Roman" w:eastAsia="Times New Roman" w:hAnsi="Times New Roman" w:cs="Times New Roman"/>
          <w:i/>
          <w:sz w:val="24"/>
          <w:szCs w:val="24"/>
        </w:rPr>
        <w:t xml:space="preserve"> în calitate de autoritate publică, a implementat un sistem de control intern managerial funcțional?</w:t>
      </w:r>
    </w:p>
    <w:p w14:paraId="17C61A40" w14:textId="77777777" w:rsidR="006049D5" w:rsidRPr="004D2FF7" w:rsidRDefault="006049D5" w:rsidP="00ED5A00">
      <w:pPr>
        <w:pStyle w:val="Heading3"/>
        <w:numPr>
          <w:ilvl w:val="1"/>
          <w:numId w:val="11"/>
        </w:numPr>
        <w:tabs>
          <w:tab w:val="left" w:pos="426"/>
        </w:tabs>
        <w:spacing w:after="80" w:line="276" w:lineRule="auto"/>
        <w:ind w:left="0" w:firstLine="0"/>
        <w:rPr>
          <w:rFonts w:ascii="Times New Roman" w:hAnsi="Times New Roman" w:cs="Times New Roman"/>
          <w:b/>
          <w:i/>
          <w:color w:val="2E74B5" w:themeColor="accent1" w:themeShade="BF"/>
          <w:shd w:val="clear" w:color="auto" w:fill="FFFFFF"/>
        </w:rPr>
      </w:pPr>
      <w:bookmarkStart w:id="21" w:name="_Toc127171494"/>
      <w:bookmarkStart w:id="22" w:name="_Toc157776086"/>
      <w:r w:rsidRPr="004D2FF7">
        <w:rPr>
          <w:rFonts w:ascii="Times New Roman" w:hAnsi="Times New Roman" w:cs="Times New Roman"/>
          <w:b/>
          <w:i/>
          <w:color w:val="2E74B5" w:themeColor="accent1" w:themeShade="BF"/>
          <w:shd w:val="clear" w:color="auto" w:fill="FFFFFF"/>
        </w:rPr>
        <w:t>Abordarea auditului</w:t>
      </w:r>
      <w:bookmarkEnd w:id="21"/>
      <w:bookmarkEnd w:id="22"/>
    </w:p>
    <w:p w14:paraId="25E9BDDA" w14:textId="0D40DC58" w:rsidR="006049D5" w:rsidRPr="004D2FF7" w:rsidRDefault="006049D5" w:rsidP="008C1B8F">
      <w:pPr>
        <w:spacing w:line="276" w:lineRule="auto"/>
        <w:jc w:val="both"/>
        <w:rPr>
          <w:rFonts w:ascii="Times New Roman" w:eastAsia="Times New Roman" w:hAnsi="Times New Roman" w:cs="Times New Roman"/>
          <w:color w:val="000000" w:themeColor="text1"/>
          <w:sz w:val="24"/>
          <w:szCs w:val="24"/>
        </w:rPr>
      </w:pPr>
      <w:r w:rsidRPr="004D2FF7">
        <w:rPr>
          <w:rFonts w:ascii="Times New Roman" w:eastAsia="Times New Roman" w:hAnsi="Times New Roman" w:cs="Times New Roman"/>
          <w:color w:val="000000" w:themeColor="text1"/>
          <w:sz w:val="24"/>
          <w:szCs w:val="24"/>
        </w:rPr>
        <w:t xml:space="preserve">Misiunea de audit public extern s-a desfășurat la </w:t>
      </w:r>
      <w:r w:rsidR="00797B3D" w:rsidRPr="004D2FF7">
        <w:rPr>
          <w:rFonts w:ascii="Times New Roman" w:eastAsia="Times New Roman" w:hAnsi="Times New Roman" w:cs="Times New Roman"/>
          <w:color w:val="000000" w:themeColor="text1"/>
          <w:sz w:val="24"/>
          <w:szCs w:val="24"/>
        </w:rPr>
        <w:t>CNPDCP</w:t>
      </w:r>
      <w:r w:rsidRPr="004D2FF7">
        <w:rPr>
          <w:rFonts w:ascii="Times New Roman" w:eastAsia="Times New Roman" w:hAnsi="Times New Roman" w:cs="Times New Roman"/>
          <w:color w:val="000000" w:themeColor="text1"/>
          <w:sz w:val="24"/>
          <w:szCs w:val="24"/>
        </w:rPr>
        <w:t>, în conformitate cu Standardele Internaționale ale Instituțiilor Supreme de Audit (ISSAI 100, ISSAI 400 și ISSAI 4000)</w:t>
      </w:r>
      <w:r w:rsidRPr="004D2FF7">
        <w:rPr>
          <w:rFonts w:ascii="Times New Roman" w:eastAsia="Times New Roman" w:hAnsi="Times New Roman" w:cs="Times New Roman"/>
          <w:color w:val="000000" w:themeColor="text1"/>
          <w:sz w:val="24"/>
          <w:szCs w:val="24"/>
          <w:vertAlign w:val="superscript"/>
        </w:rPr>
        <w:footnoteReference w:id="24"/>
      </w:r>
      <w:r w:rsidRPr="004D2FF7">
        <w:rPr>
          <w:rFonts w:ascii="Times New Roman" w:eastAsia="Times New Roman" w:hAnsi="Times New Roman" w:cs="Times New Roman"/>
          <w:color w:val="000000" w:themeColor="text1"/>
          <w:sz w:val="24"/>
          <w:szCs w:val="24"/>
        </w:rPr>
        <w:t xml:space="preserve"> și cu cadrul normativ-metodologic instituțional aferent, aplicate de Curtea de Conturi.</w:t>
      </w:r>
    </w:p>
    <w:p w14:paraId="13251B4E" w14:textId="0C51C8B5" w:rsidR="006049D5" w:rsidRPr="004D2FF7" w:rsidRDefault="006049D5" w:rsidP="008C1B8F">
      <w:pPr>
        <w:spacing w:line="276" w:lineRule="auto"/>
        <w:jc w:val="both"/>
        <w:rPr>
          <w:rFonts w:ascii="Times New Roman" w:eastAsia="Times New Roman" w:hAnsi="Times New Roman" w:cs="Times New Roman"/>
          <w:color w:val="000000" w:themeColor="text1"/>
          <w:sz w:val="24"/>
          <w:szCs w:val="24"/>
        </w:rPr>
      </w:pPr>
      <w:r w:rsidRPr="004D2FF7">
        <w:rPr>
          <w:rFonts w:ascii="Times New Roman" w:eastAsia="Times New Roman" w:hAnsi="Times New Roman" w:cs="Times New Roman"/>
          <w:b/>
          <w:i/>
          <w:color w:val="000000" w:themeColor="text1"/>
          <w:sz w:val="24"/>
          <w:szCs w:val="24"/>
        </w:rPr>
        <w:t>Abordarea auditului public extern</w:t>
      </w:r>
      <w:r w:rsidRPr="004D2FF7">
        <w:rPr>
          <w:rFonts w:ascii="Times New Roman" w:eastAsia="Times New Roman" w:hAnsi="Times New Roman" w:cs="Times New Roman"/>
          <w:color w:val="000000" w:themeColor="text1"/>
          <w:sz w:val="24"/>
          <w:szCs w:val="24"/>
        </w:rPr>
        <w:t xml:space="preserve"> s-a bazat pe riscuri, fapt ce presupune orientarea activității de audit asupra acelor procese din cadrul </w:t>
      </w:r>
      <w:r w:rsidR="00797B3D" w:rsidRPr="004D2FF7">
        <w:rPr>
          <w:rFonts w:ascii="Times New Roman" w:eastAsia="Times New Roman" w:hAnsi="Times New Roman" w:cs="Times New Roman"/>
          <w:color w:val="000000" w:themeColor="text1"/>
          <w:sz w:val="24"/>
          <w:szCs w:val="24"/>
        </w:rPr>
        <w:t>CNPDCP</w:t>
      </w:r>
      <w:r w:rsidRPr="004D2FF7">
        <w:rPr>
          <w:rFonts w:ascii="Times New Roman" w:eastAsia="Times New Roman" w:hAnsi="Times New Roman" w:cs="Times New Roman"/>
          <w:color w:val="000000" w:themeColor="text1"/>
          <w:sz w:val="24"/>
          <w:szCs w:val="24"/>
        </w:rPr>
        <w:t xml:space="preserve"> care sunt predispuse unor neconformități semnificative. Angajamentul auditului a fost cel de raportare directă. Prin urmare, procesele auditate au fost evaluate în raport cu criteriile de audit extrase din prevederile cadrului normativ aplicabil, iar asigurarea limitată oferită ne permite, în baza constatărilor susținute de probele de audit, </w:t>
      </w:r>
      <w:r w:rsidR="00B26964" w:rsidRPr="004D2FF7">
        <w:rPr>
          <w:rFonts w:ascii="Times New Roman" w:eastAsia="Times New Roman" w:hAnsi="Times New Roman" w:cs="Times New Roman"/>
          <w:color w:val="000000" w:themeColor="text1"/>
          <w:sz w:val="24"/>
          <w:szCs w:val="24"/>
        </w:rPr>
        <w:t>să formulăm concluzia generală.</w:t>
      </w:r>
    </w:p>
    <w:p w14:paraId="11954147" w14:textId="4731A4D5" w:rsidR="006049D5" w:rsidRPr="004D2FF7" w:rsidRDefault="006049D5" w:rsidP="008C1B8F">
      <w:pPr>
        <w:spacing w:after="0" w:line="276" w:lineRule="auto"/>
        <w:jc w:val="both"/>
        <w:rPr>
          <w:rFonts w:ascii="Times New Roman" w:eastAsia="Times New Roman" w:hAnsi="Times New Roman" w:cs="Times New Roman"/>
          <w:color w:val="000000" w:themeColor="text1"/>
          <w:sz w:val="24"/>
          <w:szCs w:val="24"/>
        </w:rPr>
      </w:pPr>
      <w:r w:rsidRPr="004D2FF7">
        <w:rPr>
          <w:rFonts w:ascii="Times New Roman" w:eastAsia="Times New Roman" w:hAnsi="Times New Roman" w:cs="Times New Roman"/>
          <w:b/>
          <w:i/>
          <w:color w:val="000000" w:themeColor="text1"/>
          <w:sz w:val="24"/>
          <w:szCs w:val="24"/>
        </w:rPr>
        <w:t>Probele de audit</w:t>
      </w:r>
      <w:r w:rsidRPr="004D2FF7">
        <w:rPr>
          <w:rFonts w:ascii="Times New Roman" w:eastAsia="Times New Roman" w:hAnsi="Times New Roman" w:cs="Times New Roman"/>
          <w:color w:val="000000" w:themeColor="text1"/>
          <w:sz w:val="24"/>
          <w:szCs w:val="24"/>
        </w:rPr>
        <w:t xml:space="preserve"> au fost colectate la fața locului, prin verificarea tranzacțiilor și documentelor aferente domeniului, contrapunerea și generarea informațiilor din sistemul informațional utilizat de </w:t>
      </w:r>
      <w:r w:rsidR="00797B3D" w:rsidRPr="004D2FF7">
        <w:rPr>
          <w:rFonts w:ascii="Times New Roman" w:eastAsia="Times New Roman" w:hAnsi="Times New Roman" w:cs="Times New Roman"/>
          <w:color w:val="000000" w:themeColor="text1"/>
          <w:sz w:val="24"/>
          <w:szCs w:val="24"/>
        </w:rPr>
        <w:t>CNPDCP</w:t>
      </w:r>
      <w:r w:rsidRPr="004D2FF7">
        <w:rPr>
          <w:rFonts w:ascii="Times New Roman" w:eastAsia="Times New Roman" w:hAnsi="Times New Roman" w:cs="Times New Roman"/>
          <w:color w:val="000000" w:themeColor="text1"/>
          <w:sz w:val="24"/>
          <w:szCs w:val="24"/>
        </w:rPr>
        <w:t>, observarea, investigarea, intervievarea</w:t>
      </w:r>
      <w:r w:rsidR="00655E3B">
        <w:rPr>
          <w:rFonts w:ascii="Times New Roman" w:eastAsia="Times New Roman" w:hAnsi="Times New Roman" w:cs="Times New Roman"/>
          <w:color w:val="000000" w:themeColor="text1"/>
          <w:sz w:val="24"/>
          <w:szCs w:val="24"/>
        </w:rPr>
        <w:t>,</w:t>
      </w:r>
      <w:r w:rsidRPr="004D2FF7">
        <w:rPr>
          <w:rFonts w:ascii="Times New Roman" w:eastAsia="Times New Roman" w:hAnsi="Times New Roman" w:cs="Times New Roman"/>
          <w:color w:val="000000" w:themeColor="text1"/>
          <w:sz w:val="24"/>
          <w:szCs w:val="24"/>
        </w:rPr>
        <w:t xml:space="preserve"> confirmarea</w:t>
      </w:r>
      <w:r w:rsidR="00655E3B">
        <w:rPr>
          <w:rFonts w:ascii="Times New Roman" w:eastAsia="Times New Roman" w:hAnsi="Times New Roman" w:cs="Times New Roman"/>
          <w:color w:val="000000" w:themeColor="text1"/>
          <w:sz w:val="24"/>
          <w:szCs w:val="24"/>
        </w:rPr>
        <w:t xml:space="preserve"> și</w:t>
      </w:r>
      <w:r w:rsidRPr="004D2FF7">
        <w:rPr>
          <w:rFonts w:ascii="Times New Roman" w:eastAsia="Times New Roman" w:hAnsi="Times New Roman" w:cs="Times New Roman"/>
          <w:color w:val="000000" w:themeColor="text1"/>
          <w:sz w:val="24"/>
          <w:szCs w:val="24"/>
        </w:rPr>
        <w:t xml:space="preserve"> recalcul</w:t>
      </w:r>
      <w:r w:rsidR="00655E3B">
        <w:rPr>
          <w:rFonts w:ascii="Times New Roman" w:eastAsia="Times New Roman" w:hAnsi="Times New Roman" w:cs="Times New Roman"/>
          <w:color w:val="000000" w:themeColor="text1"/>
          <w:sz w:val="24"/>
          <w:szCs w:val="24"/>
        </w:rPr>
        <w:t>ar</w:t>
      </w:r>
      <w:r w:rsidRPr="004D2FF7">
        <w:rPr>
          <w:rFonts w:ascii="Times New Roman" w:eastAsia="Times New Roman" w:hAnsi="Times New Roman" w:cs="Times New Roman"/>
          <w:color w:val="000000" w:themeColor="text1"/>
          <w:sz w:val="24"/>
          <w:szCs w:val="24"/>
        </w:rPr>
        <w:t>e</w:t>
      </w:r>
      <w:r w:rsidR="00655E3B">
        <w:rPr>
          <w:rFonts w:ascii="Times New Roman" w:eastAsia="Times New Roman" w:hAnsi="Times New Roman" w:cs="Times New Roman"/>
          <w:color w:val="000000" w:themeColor="text1"/>
          <w:sz w:val="24"/>
          <w:szCs w:val="24"/>
        </w:rPr>
        <w:t>a</w:t>
      </w:r>
      <w:r w:rsidRPr="004D2FF7">
        <w:rPr>
          <w:rFonts w:ascii="Times New Roman" w:eastAsia="Times New Roman" w:hAnsi="Times New Roman" w:cs="Times New Roman"/>
          <w:color w:val="000000" w:themeColor="text1"/>
          <w:sz w:val="24"/>
          <w:szCs w:val="24"/>
        </w:rPr>
        <w:t>.</w:t>
      </w:r>
    </w:p>
    <w:p w14:paraId="25F5EE47" w14:textId="77777777" w:rsidR="006049D5" w:rsidRPr="004D2FF7" w:rsidRDefault="006049D5" w:rsidP="008C1B8F">
      <w:pPr>
        <w:spacing w:before="240" w:after="120" w:line="276" w:lineRule="auto"/>
        <w:jc w:val="both"/>
        <w:rPr>
          <w:rFonts w:ascii="Times New Roman" w:eastAsia="Times New Roman" w:hAnsi="Times New Roman" w:cs="Times New Roman"/>
          <w:color w:val="000000" w:themeColor="text1"/>
          <w:sz w:val="24"/>
          <w:szCs w:val="24"/>
        </w:rPr>
      </w:pPr>
      <w:r w:rsidRPr="004D2FF7">
        <w:rPr>
          <w:rFonts w:ascii="Times New Roman" w:eastAsia="Times New Roman" w:hAnsi="Times New Roman" w:cs="Times New Roman"/>
          <w:b/>
          <w:i/>
          <w:color w:val="000000" w:themeColor="text1"/>
          <w:sz w:val="24"/>
          <w:szCs w:val="24"/>
        </w:rPr>
        <w:t xml:space="preserve">Sfera și abordarea auditului, </w:t>
      </w:r>
      <w:r w:rsidRPr="004D2FF7">
        <w:rPr>
          <w:rFonts w:ascii="Times New Roman" w:eastAsia="Times New Roman" w:hAnsi="Times New Roman" w:cs="Times New Roman"/>
          <w:i/>
          <w:color w:val="000000" w:themeColor="text1"/>
          <w:sz w:val="24"/>
          <w:szCs w:val="24"/>
        </w:rPr>
        <w:t>sursele și criteriile de audit</w:t>
      </w:r>
      <w:r w:rsidRPr="004D2FF7">
        <w:rPr>
          <w:rFonts w:ascii="Times New Roman" w:eastAsia="Times New Roman" w:hAnsi="Times New Roman" w:cs="Times New Roman"/>
          <w:color w:val="000000" w:themeColor="text1"/>
          <w:sz w:val="24"/>
          <w:szCs w:val="24"/>
        </w:rPr>
        <w:t xml:space="preserve">, precum și </w:t>
      </w:r>
      <w:r w:rsidRPr="004D2FF7">
        <w:rPr>
          <w:rFonts w:ascii="Times New Roman" w:eastAsia="Times New Roman" w:hAnsi="Times New Roman" w:cs="Times New Roman"/>
          <w:i/>
          <w:color w:val="000000" w:themeColor="text1"/>
          <w:sz w:val="24"/>
          <w:szCs w:val="24"/>
        </w:rPr>
        <w:t>procedurile de audit</w:t>
      </w:r>
      <w:r w:rsidRPr="004D2FF7">
        <w:rPr>
          <w:rFonts w:ascii="Times New Roman" w:eastAsia="Times New Roman" w:hAnsi="Times New Roman" w:cs="Times New Roman"/>
          <w:color w:val="000000" w:themeColor="text1"/>
          <w:sz w:val="24"/>
          <w:szCs w:val="24"/>
        </w:rPr>
        <w:t xml:space="preserve"> aplicate la testarea riscurilor de neconfor</w:t>
      </w:r>
      <w:r w:rsidR="007954CA" w:rsidRPr="004D2FF7">
        <w:rPr>
          <w:rFonts w:ascii="Times New Roman" w:eastAsia="Times New Roman" w:hAnsi="Times New Roman" w:cs="Times New Roman"/>
          <w:color w:val="000000" w:themeColor="text1"/>
          <w:sz w:val="24"/>
          <w:szCs w:val="24"/>
        </w:rPr>
        <w:t xml:space="preserve">mitate se prezintă în </w:t>
      </w:r>
      <w:r w:rsidR="007954CA" w:rsidRPr="004D2FF7">
        <w:rPr>
          <w:rFonts w:ascii="Times New Roman" w:eastAsia="Times New Roman" w:hAnsi="Times New Roman" w:cs="Times New Roman"/>
          <w:i/>
          <w:color w:val="000000" w:themeColor="text1"/>
          <w:sz w:val="24"/>
          <w:szCs w:val="24"/>
        </w:rPr>
        <w:t>Anexa nr.</w:t>
      </w:r>
      <w:r w:rsidR="008C3A61" w:rsidRPr="004D2FF7">
        <w:rPr>
          <w:rFonts w:ascii="Times New Roman" w:eastAsia="Times New Roman" w:hAnsi="Times New Roman" w:cs="Times New Roman"/>
          <w:i/>
          <w:color w:val="000000" w:themeColor="text1"/>
          <w:sz w:val="24"/>
          <w:szCs w:val="24"/>
        </w:rPr>
        <w:t>5</w:t>
      </w:r>
      <w:r w:rsidRPr="004D2FF7">
        <w:rPr>
          <w:rFonts w:ascii="Times New Roman" w:eastAsia="Times New Roman" w:hAnsi="Times New Roman" w:cs="Times New Roman"/>
          <w:color w:val="000000" w:themeColor="text1"/>
          <w:sz w:val="24"/>
          <w:szCs w:val="24"/>
        </w:rPr>
        <w:t xml:space="preserve"> </w:t>
      </w:r>
      <w:r w:rsidRPr="0077171B">
        <w:rPr>
          <w:rFonts w:ascii="Times New Roman" w:eastAsia="Times New Roman" w:hAnsi="Times New Roman" w:cs="Times New Roman"/>
          <w:i/>
          <w:color w:val="000000" w:themeColor="text1"/>
          <w:sz w:val="24"/>
          <w:szCs w:val="24"/>
        </w:rPr>
        <w:t>la prezentul Raport de audit.</w:t>
      </w:r>
    </w:p>
    <w:p w14:paraId="66C2D715" w14:textId="77777777" w:rsidR="006049D5" w:rsidRPr="004D2FF7" w:rsidRDefault="006049D5" w:rsidP="00ED5A00">
      <w:pPr>
        <w:pStyle w:val="Heading3"/>
        <w:numPr>
          <w:ilvl w:val="1"/>
          <w:numId w:val="11"/>
        </w:numPr>
        <w:tabs>
          <w:tab w:val="left" w:pos="426"/>
        </w:tabs>
        <w:spacing w:after="80" w:line="276" w:lineRule="auto"/>
        <w:ind w:left="0" w:firstLine="0"/>
        <w:rPr>
          <w:rFonts w:ascii="Times New Roman" w:hAnsi="Times New Roman" w:cs="Times New Roman"/>
          <w:b/>
          <w:i/>
          <w:color w:val="2E74B5" w:themeColor="accent1" w:themeShade="BF"/>
          <w:shd w:val="clear" w:color="auto" w:fill="FFFFFF"/>
        </w:rPr>
      </w:pPr>
      <w:bookmarkStart w:id="23" w:name="_Toc127171495"/>
      <w:bookmarkStart w:id="24" w:name="_Toc157776087"/>
      <w:r w:rsidRPr="004D2FF7">
        <w:rPr>
          <w:rFonts w:ascii="Times New Roman" w:hAnsi="Times New Roman" w:cs="Times New Roman"/>
          <w:b/>
          <w:i/>
          <w:color w:val="2E74B5" w:themeColor="accent1" w:themeShade="BF"/>
          <w:shd w:val="clear" w:color="auto" w:fill="FFFFFF"/>
        </w:rPr>
        <w:t>Responsabilitatea echipei de audit</w:t>
      </w:r>
      <w:bookmarkEnd w:id="23"/>
      <w:bookmarkEnd w:id="24"/>
    </w:p>
    <w:p w14:paraId="5BC230CC" w14:textId="568D589E" w:rsidR="009E3AE5" w:rsidRPr="004D2FF7" w:rsidRDefault="006049D5" w:rsidP="006B51B9">
      <w:pPr>
        <w:tabs>
          <w:tab w:val="left" w:pos="709"/>
        </w:tabs>
        <w:spacing w:line="276" w:lineRule="auto"/>
        <w:jc w:val="both"/>
        <w:rPr>
          <w:rFonts w:ascii="Times New Roman" w:hAnsi="Times New Roman" w:cs="Times New Roman"/>
          <w:color w:val="000000"/>
          <w:sz w:val="24"/>
          <w:szCs w:val="24"/>
          <w:shd w:val="clear" w:color="auto" w:fill="FFFFFF"/>
        </w:rPr>
      </w:pPr>
      <w:r w:rsidRPr="004D2FF7">
        <w:rPr>
          <w:rFonts w:ascii="Times New Roman" w:hAnsi="Times New Roman" w:cs="Times New Roman"/>
          <w:color w:val="000000"/>
          <w:sz w:val="24"/>
          <w:szCs w:val="24"/>
          <w:shd w:val="clear" w:color="auto" w:fill="FFFFFF"/>
        </w:rPr>
        <w:t xml:space="preserve">Responsabilitatea auditorului public este de a planifica și a realiza misiunea de audit în conformitate cu standardele în materie de audit public extern și </w:t>
      </w:r>
      <w:r w:rsidR="00C80DDA" w:rsidRPr="004D2FF7">
        <w:rPr>
          <w:rFonts w:ascii="Times New Roman" w:hAnsi="Times New Roman" w:cs="Times New Roman"/>
          <w:color w:val="000000"/>
          <w:sz w:val="24"/>
          <w:szCs w:val="24"/>
          <w:shd w:val="clear" w:color="auto" w:fill="FFFFFF"/>
        </w:rPr>
        <w:t xml:space="preserve">cu </w:t>
      </w:r>
      <w:r w:rsidRPr="004D2FF7">
        <w:rPr>
          <w:rFonts w:ascii="Times New Roman" w:hAnsi="Times New Roman" w:cs="Times New Roman"/>
          <w:color w:val="000000"/>
          <w:sz w:val="24"/>
          <w:szCs w:val="24"/>
          <w:shd w:val="clear" w:color="auto" w:fill="FFFFFF"/>
        </w:rPr>
        <w:t>cadrul normativ-metodologic instituțional aferent, cu obținerea probelor suficiente și adecvate, exprimarea unei concluzii concepute asupra conformității</w:t>
      </w:r>
      <w:r w:rsidR="009E3AE5" w:rsidRPr="004D2FF7">
        <w:rPr>
          <w:rFonts w:ascii="Times New Roman" w:hAnsi="Times New Roman" w:cs="Times New Roman"/>
          <w:sz w:val="24"/>
          <w:szCs w:val="24"/>
          <w:shd w:val="clear" w:color="auto" w:fill="FFFFFF"/>
        </w:rPr>
        <w:t xml:space="preserve"> </w:t>
      </w:r>
      <w:r w:rsidR="00C42E4D" w:rsidRPr="004D2FF7">
        <w:rPr>
          <w:rFonts w:ascii="Times New Roman" w:hAnsi="Times New Roman" w:cs="Times New Roman"/>
          <w:sz w:val="24"/>
          <w:szCs w:val="24"/>
          <w:shd w:val="clear" w:color="auto" w:fill="FFFFFF"/>
        </w:rPr>
        <w:t>privind modul</w:t>
      </w:r>
      <w:r w:rsidR="009E3AE5" w:rsidRPr="004D2FF7">
        <w:rPr>
          <w:rFonts w:ascii="Times New Roman" w:hAnsi="Times New Roman" w:cs="Times New Roman"/>
          <w:sz w:val="24"/>
          <w:szCs w:val="24"/>
          <w:shd w:val="clear" w:color="auto" w:fill="FFFFFF"/>
        </w:rPr>
        <w:t xml:space="preserve"> de formare, administrare și întrebuințare a resurselor financiare publice și </w:t>
      </w:r>
      <w:r w:rsidR="00C80DDA" w:rsidRPr="004D2FF7">
        <w:rPr>
          <w:rFonts w:ascii="Times New Roman" w:hAnsi="Times New Roman" w:cs="Times New Roman"/>
          <w:sz w:val="24"/>
          <w:szCs w:val="24"/>
          <w:shd w:val="clear" w:color="auto" w:fill="FFFFFF"/>
        </w:rPr>
        <w:t xml:space="preserve">a </w:t>
      </w:r>
      <w:r w:rsidR="009E3AE5" w:rsidRPr="004D2FF7">
        <w:rPr>
          <w:rFonts w:ascii="Times New Roman" w:hAnsi="Times New Roman" w:cs="Times New Roman"/>
          <w:sz w:val="24"/>
          <w:szCs w:val="24"/>
          <w:shd w:val="clear" w:color="auto" w:fill="FFFFFF"/>
        </w:rPr>
        <w:t xml:space="preserve">patrimoniului public de către </w:t>
      </w:r>
      <w:r w:rsidR="00797B3D" w:rsidRPr="004D2FF7">
        <w:rPr>
          <w:rFonts w:ascii="Times New Roman" w:hAnsi="Times New Roman" w:cs="Times New Roman"/>
          <w:sz w:val="24"/>
          <w:szCs w:val="24"/>
          <w:shd w:val="clear" w:color="auto" w:fill="FFFFFF"/>
        </w:rPr>
        <w:t>CNPDCP</w:t>
      </w:r>
      <w:r w:rsidR="009E3AE5" w:rsidRPr="004D2FF7">
        <w:rPr>
          <w:rFonts w:ascii="Times New Roman" w:hAnsi="Times New Roman" w:cs="Times New Roman"/>
          <w:sz w:val="24"/>
          <w:szCs w:val="24"/>
          <w:shd w:val="clear" w:color="auto" w:fill="FFFFFF"/>
        </w:rPr>
        <w:t xml:space="preserve"> în perioada 2018-2022.</w:t>
      </w:r>
    </w:p>
    <w:p w14:paraId="43D6D8BA" w14:textId="2BF40EA3" w:rsidR="00531982" w:rsidRDefault="006049D5" w:rsidP="008C1B8F">
      <w:pPr>
        <w:spacing w:line="276" w:lineRule="auto"/>
        <w:jc w:val="both"/>
        <w:rPr>
          <w:rFonts w:ascii="Times New Roman" w:eastAsia="Times New Roman" w:hAnsi="Times New Roman" w:cs="Times New Roman"/>
          <w:sz w:val="24"/>
          <w:szCs w:val="24"/>
        </w:rPr>
      </w:pPr>
      <w:r w:rsidRPr="004D2FF7">
        <w:rPr>
          <w:rFonts w:ascii="Times New Roman" w:hAnsi="Times New Roman" w:cs="Times New Roman"/>
          <w:color w:val="000000"/>
          <w:sz w:val="24"/>
          <w:szCs w:val="24"/>
          <w:shd w:val="clear" w:color="auto" w:fill="FFFFFF"/>
        </w:rPr>
        <w:t>Auditorul public nu este responsabil de prevenirea faptelor de fraudă și eroare,</w:t>
      </w:r>
      <w:r w:rsidRPr="004D2FF7">
        <w:rPr>
          <w:rFonts w:ascii="Times New Roman" w:hAnsi="Times New Roman" w:cs="Times New Roman"/>
          <w:sz w:val="24"/>
          <w:szCs w:val="24"/>
        </w:rPr>
        <w:t xml:space="preserve"> a fost independent față de entitate, precum și a îndeplinit responsabilitățile de etică în conformitate cu </w:t>
      </w:r>
      <w:r w:rsidRPr="004D2FF7">
        <w:rPr>
          <w:rFonts w:ascii="Times New Roman" w:eastAsia="Times New Roman" w:hAnsi="Times New Roman" w:cs="Times New Roman"/>
          <w:sz w:val="24"/>
          <w:szCs w:val="24"/>
        </w:rPr>
        <w:t>cerințele Codului etic al Curții de Conturi</w:t>
      </w:r>
      <w:r w:rsidRPr="004D2FF7">
        <w:rPr>
          <w:rFonts w:ascii="Times New Roman" w:eastAsia="Times New Roman" w:hAnsi="Times New Roman" w:cs="Times New Roman"/>
          <w:sz w:val="24"/>
          <w:szCs w:val="24"/>
          <w:vertAlign w:val="superscript"/>
        </w:rPr>
        <w:footnoteReference w:id="25"/>
      </w:r>
      <w:r w:rsidRPr="004D2FF7">
        <w:rPr>
          <w:rFonts w:ascii="Times New Roman" w:eastAsia="Times New Roman" w:hAnsi="Times New Roman" w:cs="Times New Roman"/>
          <w:sz w:val="24"/>
          <w:szCs w:val="24"/>
        </w:rPr>
        <w:t>.</w:t>
      </w:r>
    </w:p>
    <w:p w14:paraId="4CE23EB5" w14:textId="77777777" w:rsidR="001B7053" w:rsidRDefault="001B7053" w:rsidP="008C1B8F">
      <w:pPr>
        <w:spacing w:line="276" w:lineRule="auto"/>
        <w:jc w:val="both"/>
        <w:rPr>
          <w:rFonts w:ascii="Times New Roman" w:eastAsia="Times New Roman" w:hAnsi="Times New Roman" w:cs="Times New Roman"/>
          <w:sz w:val="24"/>
          <w:szCs w:val="24"/>
        </w:rPr>
      </w:pPr>
    </w:p>
    <w:p w14:paraId="0D62DC5F" w14:textId="46C4462F" w:rsidR="006049D5" w:rsidRPr="004D2FF7" w:rsidRDefault="006049D5" w:rsidP="00ED5A00">
      <w:pPr>
        <w:pStyle w:val="Heading1"/>
        <w:numPr>
          <w:ilvl w:val="0"/>
          <w:numId w:val="11"/>
        </w:numPr>
        <w:tabs>
          <w:tab w:val="left" w:pos="284"/>
        </w:tabs>
        <w:spacing w:before="0" w:after="120" w:line="276" w:lineRule="auto"/>
        <w:ind w:left="0" w:firstLine="284"/>
        <w:rPr>
          <w:rFonts w:ascii="Times New Roman" w:hAnsi="Times New Roman" w:cs="Times New Roman"/>
          <w:b/>
          <w:color w:val="auto"/>
          <w:sz w:val="24"/>
          <w:szCs w:val="24"/>
        </w:rPr>
      </w:pPr>
      <w:bookmarkStart w:id="25" w:name="_Toc128989576"/>
      <w:bookmarkStart w:id="26" w:name="_Toc157776088"/>
      <w:r w:rsidRPr="004D2FF7">
        <w:rPr>
          <w:rFonts w:ascii="Times New Roman" w:hAnsi="Times New Roman" w:cs="Times New Roman"/>
          <w:b/>
          <w:color w:val="auto"/>
          <w:sz w:val="24"/>
          <w:szCs w:val="24"/>
        </w:rPr>
        <w:lastRenderedPageBreak/>
        <w:t>CONSTATĂR</w:t>
      </w:r>
      <w:bookmarkEnd w:id="25"/>
      <w:r w:rsidRPr="004D2FF7">
        <w:rPr>
          <w:rFonts w:ascii="Times New Roman" w:hAnsi="Times New Roman" w:cs="Times New Roman"/>
          <w:b/>
          <w:color w:val="auto"/>
          <w:sz w:val="24"/>
          <w:szCs w:val="24"/>
        </w:rPr>
        <w:t>I</w:t>
      </w:r>
      <w:bookmarkEnd w:id="26"/>
    </w:p>
    <w:p w14:paraId="24ACE6A1" w14:textId="77777777" w:rsidR="006049D5" w:rsidRPr="00A6623F" w:rsidRDefault="009E06DA" w:rsidP="00ED5A00">
      <w:pPr>
        <w:pStyle w:val="Heading2"/>
        <w:numPr>
          <w:ilvl w:val="1"/>
          <w:numId w:val="4"/>
        </w:numPr>
        <w:tabs>
          <w:tab w:val="left" w:pos="567"/>
        </w:tabs>
        <w:spacing w:after="120" w:line="276" w:lineRule="auto"/>
        <w:ind w:left="0" w:firstLine="0"/>
        <w:jc w:val="both"/>
        <w:rPr>
          <w:rFonts w:ascii="Times New Roman" w:hAnsi="Times New Roman" w:cs="Times New Roman"/>
          <w:b/>
          <w:color w:val="auto"/>
          <w:sz w:val="28"/>
          <w:szCs w:val="28"/>
          <w:lang w:eastAsia="ro-RO" w:bidi="ro-RO"/>
        </w:rPr>
      </w:pPr>
      <w:bookmarkStart w:id="27" w:name="_Toc157776089"/>
      <w:r w:rsidRPr="00A6623F">
        <w:rPr>
          <w:rFonts w:ascii="Times New Roman" w:hAnsi="Times New Roman" w:cs="Times New Roman"/>
          <w:b/>
          <w:color w:val="auto"/>
          <w:sz w:val="28"/>
          <w:szCs w:val="28"/>
          <w:lang w:eastAsia="ro-RO" w:bidi="ro-RO"/>
        </w:rPr>
        <w:t>CNPDCP</w:t>
      </w:r>
      <w:r w:rsidR="006049D5" w:rsidRPr="00A6623F">
        <w:rPr>
          <w:rFonts w:ascii="Times New Roman" w:hAnsi="Times New Roman" w:cs="Times New Roman"/>
          <w:b/>
          <w:color w:val="auto"/>
          <w:sz w:val="28"/>
          <w:szCs w:val="28"/>
          <w:lang w:eastAsia="ro-RO" w:bidi="ro-RO"/>
        </w:rPr>
        <w:t xml:space="preserve"> a asigurat elaborarea bugetului instituției în conformitate cu regulile și procedurile bugetar-fiscale prestabilite?</w:t>
      </w:r>
      <w:bookmarkEnd w:id="27"/>
    </w:p>
    <w:p w14:paraId="18187838" w14:textId="7698F276" w:rsidR="006A1909" w:rsidRPr="004D639E" w:rsidRDefault="006A1909" w:rsidP="00661C2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i/>
          <w:lang w:eastAsia="ro-RO" w:bidi="ro-RO"/>
        </w:rPr>
      </w:pPr>
      <w:r w:rsidRPr="004D639E">
        <w:rPr>
          <w:rFonts w:ascii="Times New Roman" w:eastAsia="Times New Roman" w:hAnsi="Times New Roman" w:cs="Times New Roman"/>
          <w:i/>
          <w:color w:val="000000"/>
          <w:sz w:val="24"/>
          <w:szCs w:val="24"/>
          <w:lang w:eastAsia="ro-RO" w:bidi="ro-RO"/>
        </w:rPr>
        <w:t>Auditul  evidențiază  neimplementarea unui proces funcțional privind elaborarea proi</w:t>
      </w:r>
      <w:r w:rsidR="0006565B">
        <w:rPr>
          <w:rFonts w:ascii="Times New Roman" w:eastAsia="Times New Roman" w:hAnsi="Times New Roman" w:cs="Times New Roman"/>
          <w:i/>
          <w:color w:val="000000"/>
          <w:sz w:val="24"/>
          <w:szCs w:val="24"/>
          <w:lang w:eastAsia="ro-RO" w:bidi="ro-RO"/>
        </w:rPr>
        <w:t>ectului de buget al instituției.</w:t>
      </w:r>
      <w:r w:rsidRPr="004D639E">
        <w:rPr>
          <w:rFonts w:ascii="Times New Roman" w:eastAsia="Times New Roman" w:hAnsi="Times New Roman" w:cs="Times New Roman"/>
          <w:i/>
          <w:color w:val="000000"/>
          <w:sz w:val="24"/>
          <w:szCs w:val="24"/>
          <w:lang w:eastAsia="ro-RO" w:bidi="ro-RO"/>
        </w:rPr>
        <w:t xml:space="preserve"> </w:t>
      </w:r>
      <w:r w:rsidR="0006565B">
        <w:rPr>
          <w:rFonts w:ascii="Times New Roman" w:eastAsia="Times New Roman" w:hAnsi="Times New Roman" w:cs="Times New Roman"/>
          <w:i/>
          <w:color w:val="000000"/>
          <w:sz w:val="24"/>
          <w:szCs w:val="24"/>
          <w:lang w:eastAsia="ro-RO" w:bidi="ro-RO"/>
        </w:rPr>
        <w:t>A</w:t>
      </w:r>
      <w:r w:rsidRPr="004D639E">
        <w:rPr>
          <w:rFonts w:ascii="Times New Roman" w:eastAsia="Times New Roman" w:hAnsi="Times New Roman" w:cs="Times New Roman"/>
          <w:i/>
          <w:sz w:val="24"/>
          <w:szCs w:val="24"/>
        </w:rPr>
        <w:t>stfel</w:t>
      </w:r>
      <w:r w:rsidR="0006565B">
        <w:rPr>
          <w:rFonts w:ascii="Times New Roman" w:eastAsia="Times New Roman" w:hAnsi="Times New Roman" w:cs="Times New Roman"/>
          <w:i/>
          <w:sz w:val="24"/>
          <w:szCs w:val="24"/>
        </w:rPr>
        <w:t>,</w:t>
      </w:r>
      <w:r w:rsidRPr="004D639E">
        <w:rPr>
          <w:rFonts w:ascii="Times New Roman" w:eastAsia="Times New Roman" w:hAnsi="Times New Roman" w:cs="Times New Roman"/>
          <w:i/>
          <w:sz w:val="24"/>
          <w:szCs w:val="24"/>
        </w:rPr>
        <w:t xml:space="preserve"> </w:t>
      </w:r>
      <w:r w:rsidR="0099090B">
        <w:rPr>
          <w:rFonts w:ascii="Times New Roman" w:eastAsia="Times New Roman" w:hAnsi="Times New Roman" w:cs="Times New Roman"/>
          <w:i/>
          <w:sz w:val="24"/>
          <w:szCs w:val="24"/>
        </w:rPr>
        <w:t xml:space="preserve">s-a </w:t>
      </w:r>
      <w:r w:rsidRPr="004D639E">
        <w:rPr>
          <w:rFonts w:ascii="Times New Roman" w:eastAsia="Times New Roman" w:hAnsi="Times New Roman" w:cs="Times New Roman"/>
          <w:i/>
          <w:sz w:val="24"/>
          <w:szCs w:val="24"/>
        </w:rPr>
        <w:t>constat</w:t>
      </w:r>
      <w:r w:rsidR="0099090B">
        <w:rPr>
          <w:rFonts w:ascii="Times New Roman" w:eastAsia="Times New Roman" w:hAnsi="Times New Roman" w:cs="Times New Roman"/>
          <w:i/>
          <w:sz w:val="24"/>
          <w:szCs w:val="24"/>
        </w:rPr>
        <w:t>at</w:t>
      </w:r>
      <w:r w:rsidRPr="004D639E">
        <w:rPr>
          <w:rFonts w:ascii="Times New Roman" w:eastAsia="Times New Roman" w:hAnsi="Times New Roman" w:cs="Times New Roman"/>
          <w:i/>
          <w:sz w:val="24"/>
          <w:szCs w:val="24"/>
        </w:rPr>
        <w:t xml:space="preserve"> nestabilirea unor indicatori</w:t>
      </w:r>
      <w:r w:rsidRPr="004D639E">
        <w:rPr>
          <w:rFonts w:ascii="Times New Roman" w:eastAsia="Times New Roman" w:hAnsi="Times New Roman" w:cs="Times New Roman"/>
          <w:i/>
          <w:color w:val="000000"/>
          <w:sz w:val="24"/>
          <w:szCs w:val="24"/>
          <w:lang w:eastAsia="ro-RO" w:bidi="ro-RO"/>
        </w:rPr>
        <w:t xml:space="preserve"> cantitativi şi calitativi care să exprime/demonstreze performanța instituției</w:t>
      </w:r>
      <w:r w:rsidR="0099090B">
        <w:rPr>
          <w:rFonts w:ascii="Times New Roman" w:eastAsia="Times New Roman" w:hAnsi="Times New Roman" w:cs="Times New Roman"/>
          <w:i/>
          <w:color w:val="000000"/>
          <w:sz w:val="24"/>
          <w:szCs w:val="24"/>
          <w:lang w:eastAsia="ro-RO" w:bidi="ro-RO"/>
        </w:rPr>
        <w:t>,</w:t>
      </w:r>
      <w:r w:rsidR="001A2260" w:rsidRPr="004D639E">
        <w:rPr>
          <w:rFonts w:ascii="Times New Roman" w:hAnsi="Times New Roman" w:cs="Times New Roman"/>
          <w:i/>
          <w:sz w:val="24"/>
          <w:szCs w:val="24"/>
        </w:rPr>
        <w:t xml:space="preserve"> fiind atestată o planificare </w:t>
      </w:r>
      <w:r w:rsidR="00D47889" w:rsidRPr="004D639E">
        <w:rPr>
          <w:rFonts w:ascii="Times New Roman" w:hAnsi="Times New Roman" w:cs="Times New Roman"/>
          <w:i/>
          <w:sz w:val="24"/>
          <w:szCs w:val="24"/>
        </w:rPr>
        <w:t>inexactă</w:t>
      </w:r>
      <w:r w:rsidR="001A2260" w:rsidRPr="004D639E">
        <w:rPr>
          <w:rFonts w:ascii="Times New Roman" w:hAnsi="Times New Roman" w:cs="Times New Roman"/>
          <w:i/>
          <w:sz w:val="24"/>
          <w:szCs w:val="24"/>
        </w:rPr>
        <w:t xml:space="preserve"> a bugetelor anuale, cu surplusuri de mijloace bugetare incluse nejustificat la unele subclase de cheltuieli</w:t>
      </w:r>
      <w:r w:rsidRPr="004D639E">
        <w:rPr>
          <w:rFonts w:ascii="Times New Roman" w:eastAsia="Times New Roman" w:hAnsi="Times New Roman" w:cs="Times New Roman"/>
          <w:i/>
          <w:color w:val="000000"/>
          <w:sz w:val="24"/>
          <w:szCs w:val="24"/>
          <w:lang w:eastAsia="ro-RO" w:bidi="ro-RO"/>
        </w:rPr>
        <w:t>.</w:t>
      </w:r>
      <w:r w:rsidR="00810625" w:rsidRPr="004D639E">
        <w:rPr>
          <w:rFonts w:ascii="Times New Roman" w:hAnsi="Times New Roman" w:cs="Times New Roman"/>
          <w:i/>
          <w:sz w:val="24"/>
          <w:szCs w:val="24"/>
        </w:rPr>
        <w:t xml:space="preserve"> În anii 2018-2022</w:t>
      </w:r>
      <w:r w:rsidR="0006565B">
        <w:rPr>
          <w:rFonts w:ascii="Times New Roman" w:hAnsi="Times New Roman" w:cs="Times New Roman"/>
          <w:i/>
          <w:sz w:val="24"/>
          <w:szCs w:val="24"/>
        </w:rPr>
        <w:t>,</w:t>
      </w:r>
      <w:r w:rsidR="00810625" w:rsidRPr="004D639E">
        <w:rPr>
          <w:rFonts w:ascii="Times New Roman" w:hAnsi="Times New Roman" w:cs="Times New Roman"/>
          <w:i/>
          <w:sz w:val="24"/>
          <w:szCs w:val="24"/>
        </w:rPr>
        <w:t xml:space="preserve"> de la 4 până la 10 indicatori de performanță planificați și raportați</w:t>
      </w:r>
      <w:r w:rsidR="00377A7A" w:rsidRPr="004D639E">
        <w:rPr>
          <w:rFonts w:ascii="Times New Roman" w:hAnsi="Times New Roman" w:cs="Times New Roman"/>
          <w:i/>
          <w:sz w:val="24"/>
          <w:szCs w:val="24"/>
        </w:rPr>
        <w:t xml:space="preserve"> de entitate</w:t>
      </w:r>
      <w:r w:rsidR="00106730" w:rsidRPr="004D639E">
        <w:rPr>
          <w:rFonts w:ascii="Times New Roman" w:hAnsi="Times New Roman" w:cs="Times New Roman"/>
          <w:i/>
          <w:sz w:val="24"/>
          <w:szCs w:val="24"/>
        </w:rPr>
        <w:t xml:space="preserve"> din</w:t>
      </w:r>
      <w:r w:rsidR="0006565B">
        <w:rPr>
          <w:rFonts w:ascii="Times New Roman" w:hAnsi="Times New Roman" w:cs="Times New Roman"/>
          <w:i/>
          <w:sz w:val="24"/>
          <w:szCs w:val="24"/>
        </w:rPr>
        <w:t xml:space="preserve"> cei</w:t>
      </w:r>
      <w:r w:rsidR="00106730" w:rsidRPr="004D639E">
        <w:rPr>
          <w:rFonts w:ascii="Times New Roman" w:hAnsi="Times New Roman" w:cs="Times New Roman"/>
          <w:i/>
          <w:sz w:val="24"/>
          <w:szCs w:val="24"/>
        </w:rPr>
        <w:t xml:space="preserve"> 16</w:t>
      </w:r>
      <w:r w:rsidR="008D38BF" w:rsidRPr="004D639E">
        <w:rPr>
          <w:rFonts w:ascii="Times New Roman" w:hAnsi="Times New Roman" w:cs="Times New Roman"/>
          <w:i/>
          <w:sz w:val="24"/>
          <w:szCs w:val="24"/>
        </w:rPr>
        <w:t xml:space="preserve"> </w:t>
      </w:r>
      <w:r w:rsidR="00106730" w:rsidRPr="004D639E">
        <w:rPr>
          <w:rFonts w:ascii="Times New Roman" w:hAnsi="Times New Roman" w:cs="Times New Roman"/>
          <w:i/>
          <w:sz w:val="24"/>
          <w:szCs w:val="24"/>
        </w:rPr>
        <w:t>aprobați</w:t>
      </w:r>
      <w:r w:rsidR="00810625" w:rsidRPr="004D639E">
        <w:rPr>
          <w:rFonts w:ascii="Times New Roman" w:hAnsi="Times New Roman" w:cs="Times New Roman"/>
          <w:i/>
          <w:sz w:val="24"/>
          <w:szCs w:val="24"/>
        </w:rPr>
        <w:t>, inclusiv „numărul controalelor efectuate de CNPDCP</w:t>
      </w:r>
      <w:r w:rsidR="00323992">
        <w:rPr>
          <w:rFonts w:ascii="Times New Roman" w:hAnsi="Times New Roman" w:cs="Times New Roman"/>
          <w:i/>
          <w:sz w:val="24"/>
          <w:szCs w:val="24"/>
        </w:rPr>
        <w:t xml:space="preserve"> în anii 2021-2022</w:t>
      </w:r>
      <w:r w:rsidR="00810625" w:rsidRPr="004D639E">
        <w:rPr>
          <w:rFonts w:ascii="Times New Roman" w:hAnsi="Times New Roman" w:cs="Times New Roman"/>
          <w:i/>
          <w:sz w:val="24"/>
          <w:szCs w:val="24"/>
        </w:rPr>
        <w:t>”</w:t>
      </w:r>
      <w:r w:rsidR="0099090B">
        <w:rPr>
          <w:rFonts w:ascii="Times New Roman" w:hAnsi="Times New Roman" w:cs="Times New Roman"/>
          <w:i/>
          <w:sz w:val="24"/>
          <w:szCs w:val="24"/>
        </w:rPr>
        <w:t xml:space="preserve"> și</w:t>
      </w:r>
      <w:r w:rsidR="00810625" w:rsidRPr="004D639E">
        <w:rPr>
          <w:rFonts w:ascii="Times New Roman" w:hAnsi="Times New Roman" w:cs="Times New Roman"/>
          <w:i/>
          <w:sz w:val="24"/>
          <w:szCs w:val="24"/>
        </w:rPr>
        <w:t xml:space="preserve"> „numărul instrucțiunilor executate (linii directo</w:t>
      </w:r>
      <w:r w:rsidR="0099090B">
        <w:rPr>
          <w:rFonts w:ascii="Times New Roman" w:hAnsi="Times New Roman" w:cs="Times New Roman"/>
          <w:i/>
          <w:sz w:val="24"/>
          <w:szCs w:val="24"/>
        </w:rPr>
        <w:t>a</w:t>
      </w:r>
      <w:r w:rsidR="00810625" w:rsidRPr="004D639E">
        <w:rPr>
          <w:rFonts w:ascii="Times New Roman" w:hAnsi="Times New Roman" w:cs="Times New Roman"/>
          <w:i/>
          <w:sz w:val="24"/>
          <w:szCs w:val="24"/>
        </w:rPr>
        <w:t>r</w:t>
      </w:r>
      <w:r w:rsidR="0099090B">
        <w:rPr>
          <w:rFonts w:ascii="Times New Roman" w:hAnsi="Times New Roman" w:cs="Times New Roman"/>
          <w:i/>
          <w:sz w:val="24"/>
          <w:szCs w:val="24"/>
        </w:rPr>
        <w:t>e</w:t>
      </w:r>
      <w:r w:rsidR="00810625" w:rsidRPr="004D639E">
        <w:rPr>
          <w:rFonts w:ascii="Times New Roman" w:hAnsi="Times New Roman" w:cs="Times New Roman"/>
          <w:i/>
          <w:sz w:val="24"/>
          <w:szCs w:val="24"/>
        </w:rPr>
        <w:t>)”</w:t>
      </w:r>
      <w:r w:rsidR="0099090B">
        <w:rPr>
          <w:rFonts w:ascii="Times New Roman" w:hAnsi="Times New Roman" w:cs="Times New Roman"/>
          <w:i/>
          <w:sz w:val="24"/>
          <w:szCs w:val="24"/>
        </w:rPr>
        <w:t>,</w:t>
      </w:r>
      <w:r w:rsidR="00810625" w:rsidRPr="004D639E">
        <w:rPr>
          <w:rFonts w:ascii="Times New Roman" w:hAnsi="Times New Roman" w:cs="Times New Roman"/>
          <w:i/>
          <w:sz w:val="24"/>
          <w:szCs w:val="24"/>
        </w:rPr>
        <w:t xml:space="preserve"> nu au fost executați, iar alții </w:t>
      </w:r>
      <w:r w:rsidR="0099090B">
        <w:rPr>
          <w:rFonts w:ascii="Times New Roman" w:hAnsi="Times New Roman" w:cs="Times New Roman"/>
          <w:i/>
          <w:sz w:val="24"/>
          <w:szCs w:val="24"/>
        </w:rPr>
        <w:t xml:space="preserve">au fost </w:t>
      </w:r>
      <w:r w:rsidR="00810625" w:rsidRPr="004D639E">
        <w:rPr>
          <w:rFonts w:ascii="Times New Roman" w:hAnsi="Times New Roman" w:cs="Times New Roman"/>
          <w:i/>
          <w:sz w:val="24"/>
          <w:szCs w:val="24"/>
        </w:rPr>
        <w:t>supraestimați.</w:t>
      </w:r>
    </w:p>
    <w:p w14:paraId="7DC8CBFD" w14:textId="77777777" w:rsidR="001B1F79" w:rsidRPr="004D2FF7" w:rsidRDefault="00E12BD4" w:rsidP="00E12BD4">
      <w:pPr>
        <w:pStyle w:val="Heading3"/>
        <w:tabs>
          <w:tab w:val="left" w:pos="360"/>
          <w:tab w:val="left" w:pos="540"/>
          <w:tab w:val="left" w:pos="630"/>
        </w:tabs>
        <w:spacing w:before="240" w:after="120" w:line="276" w:lineRule="auto"/>
        <w:jc w:val="both"/>
        <w:rPr>
          <w:rFonts w:ascii="Times New Roman" w:hAnsi="Times New Roman" w:cs="Times New Roman"/>
          <w:i/>
          <w:color w:val="2E74B5" w:themeColor="accent1" w:themeShade="BF"/>
        </w:rPr>
      </w:pPr>
      <w:bookmarkStart w:id="28" w:name="_Toc157776090"/>
      <w:r w:rsidRPr="004D2FF7">
        <w:rPr>
          <w:rFonts w:ascii="Times New Roman" w:eastAsia="Times New Roman" w:hAnsi="Times New Roman" w:cs="Times New Roman"/>
          <w:b/>
          <w:i/>
          <w:color w:val="2E74B5" w:themeColor="accent1" w:themeShade="BF"/>
          <w:lang w:eastAsia="ro-RO" w:bidi="ro-RO"/>
        </w:rPr>
        <w:t xml:space="preserve">4.1.1. </w:t>
      </w:r>
      <w:r w:rsidR="001B1F79" w:rsidRPr="004D2FF7">
        <w:rPr>
          <w:rFonts w:ascii="Times New Roman" w:hAnsi="Times New Roman" w:cs="Times New Roman"/>
          <w:b/>
          <w:i/>
          <w:color w:val="2E74B5" w:themeColor="accent1" w:themeShade="BF"/>
        </w:rPr>
        <w:t>Se atestă unele</w:t>
      </w:r>
      <w:r w:rsidR="00A965C4">
        <w:rPr>
          <w:rFonts w:ascii="Times New Roman" w:hAnsi="Times New Roman" w:cs="Times New Roman"/>
          <w:b/>
          <w:i/>
          <w:color w:val="2E74B5" w:themeColor="accent1" w:themeShade="BF"/>
        </w:rPr>
        <w:t xml:space="preserve"> incertitudini și</w:t>
      </w:r>
      <w:r w:rsidR="001B1F79" w:rsidRPr="004D2FF7">
        <w:rPr>
          <w:rFonts w:ascii="Times New Roman" w:hAnsi="Times New Roman" w:cs="Times New Roman"/>
          <w:b/>
          <w:i/>
          <w:color w:val="2E74B5" w:themeColor="accent1" w:themeShade="BF"/>
        </w:rPr>
        <w:t xml:space="preserve"> deficiențe în procesul de estimare bugetară anuală a cheltuielilor pentru întreținerea CNPDCP</w:t>
      </w:r>
      <w:r w:rsidR="0012546E">
        <w:rPr>
          <w:rFonts w:ascii="Times New Roman" w:hAnsi="Times New Roman" w:cs="Times New Roman"/>
          <w:b/>
          <w:i/>
          <w:color w:val="2E74B5" w:themeColor="accent1" w:themeShade="BF"/>
        </w:rPr>
        <w:t>.</w:t>
      </w:r>
      <w:bookmarkEnd w:id="28"/>
      <w:r w:rsidR="001B1F79" w:rsidRPr="004D2FF7">
        <w:rPr>
          <w:rFonts w:ascii="Times New Roman" w:hAnsi="Times New Roman" w:cs="Times New Roman"/>
          <w:b/>
          <w:i/>
          <w:color w:val="2E74B5" w:themeColor="accent1" w:themeShade="BF"/>
        </w:rPr>
        <w:t xml:space="preserve">  </w:t>
      </w:r>
    </w:p>
    <w:p w14:paraId="1B46AC56" w14:textId="77777777" w:rsidR="006049D5" w:rsidRPr="004D2FF7" w:rsidRDefault="006049D5" w:rsidP="00933280">
      <w:pPr>
        <w:spacing w:after="120"/>
        <w:jc w:val="both"/>
        <w:rPr>
          <w:rFonts w:ascii="Times New Roman" w:hAnsi="Times New Roman" w:cs="Times New Roman"/>
          <w:sz w:val="24"/>
          <w:szCs w:val="24"/>
        </w:rPr>
      </w:pPr>
      <w:r w:rsidRPr="004D2FF7">
        <w:rPr>
          <w:rFonts w:ascii="Times New Roman" w:hAnsi="Times New Roman" w:cs="Times New Roman"/>
          <w:sz w:val="24"/>
          <w:szCs w:val="24"/>
        </w:rPr>
        <w:t>În conformitate cu prevederile art.</w:t>
      </w:r>
      <w:r w:rsidR="00E44D46" w:rsidRPr="004D2FF7">
        <w:rPr>
          <w:rFonts w:ascii="Times New Roman" w:hAnsi="Times New Roman" w:cs="Times New Roman"/>
          <w:sz w:val="24"/>
          <w:szCs w:val="24"/>
        </w:rPr>
        <w:t>2</w:t>
      </w:r>
      <w:r w:rsidRPr="004D2FF7">
        <w:rPr>
          <w:rFonts w:ascii="Times New Roman" w:hAnsi="Times New Roman" w:cs="Times New Roman"/>
          <w:sz w:val="24"/>
          <w:szCs w:val="24"/>
        </w:rPr>
        <w:t xml:space="preserve"> alin. (</w:t>
      </w:r>
      <w:r w:rsidR="00E44D46" w:rsidRPr="004D2FF7">
        <w:rPr>
          <w:rFonts w:ascii="Times New Roman" w:hAnsi="Times New Roman" w:cs="Times New Roman"/>
          <w:sz w:val="24"/>
          <w:szCs w:val="24"/>
        </w:rPr>
        <w:t>2</w:t>
      </w:r>
      <w:r w:rsidRPr="004D2FF7">
        <w:rPr>
          <w:rFonts w:ascii="Times New Roman" w:hAnsi="Times New Roman" w:cs="Times New Roman"/>
          <w:sz w:val="24"/>
          <w:szCs w:val="24"/>
        </w:rPr>
        <w:t xml:space="preserve">) din Legea </w:t>
      </w:r>
      <w:r w:rsidR="00383F03" w:rsidRPr="004D2FF7">
        <w:rPr>
          <w:rFonts w:ascii="Times New Roman" w:hAnsi="Times New Roman" w:cs="Times New Roman"/>
          <w:sz w:val="24"/>
          <w:szCs w:val="24"/>
        </w:rPr>
        <w:t>nr.</w:t>
      </w:r>
      <w:r w:rsidR="00E44D46" w:rsidRPr="004D2FF7">
        <w:rPr>
          <w:rFonts w:ascii="Times New Roman" w:hAnsi="Times New Roman" w:cs="Times New Roman"/>
          <w:sz w:val="24"/>
          <w:szCs w:val="24"/>
        </w:rPr>
        <w:t>182</w:t>
      </w:r>
      <w:r w:rsidRPr="004D2FF7">
        <w:rPr>
          <w:rFonts w:ascii="Times New Roman" w:hAnsi="Times New Roman" w:cs="Times New Roman"/>
          <w:sz w:val="24"/>
          <w:szCs w:val="24"/>
        </w:rPr>
        <w:t>/20</w:t>
      </w:r>
      <w:r w:rsidR="00E44D46" w:rsidRPr="004D2FF7">
        <w:rPr>
          <w:rFonts w:ascii="Times New Roman" w:hAnsi="Times New Roman" w:cs="Times New Roman"/>
          <w:sz w:val="24"/>
          <w:szCs w:val="24"/>
        </w:rPr>
        <w:t>08</w:t>
      </w:r>
      <w:r w:rsidRPr="004D2FF7">
        <w:rPr>
          <w:rFonts w:ascii="Times New Roman" w:hAnsi="Times New Roman" w:cs="Times New Roman"/>
          <w:sz w:val="24"/>
          <w:szCs w:val="24"/>
        </w:rPr>
        <w:t xml:space="preserve">, bugetul </w:t>
      </w:r>
      <w:r w:rsidR="00E44D46" w:rsidRPr="004D2FF7">
        <w:rPr>
          <w:rFonts w:ascii="Times New Roman" w:hAnsi="Times New Roman" w:cs="Times New Roman"/>
          <w:sz w:val="24"/>
          <w:szCs w:val="24"/>
        </w:rPr>
        <w:t>CNPDCP</w:t>
      </w:r>
      <w:r w:rsidRPr="004D2FF7">
        <w:rPr>
          <w:rFonts w:ascii="Times New Roman" w:hAnsi="Times New Roman" w:cs="Times New Roman"/>
          <w:sz w:val="24"/>
          <w:szCs w:val="24"/>
        </w:rPr>
        <w:t xml:space="preserve"> se elaborează, se aprobă și se administrează în conformitate cu principiile, regulile și procedurile stabilite de Legea</w:t>
      </w:r>
      <w:r w:rsidR="006054EE" w:rsidRPr="004D2FF7">
        <w:rPr>
          <w:rFonts w:ascii="Times New Roman" w:hAnsi="Times New Roman" w:cs="Times New Roman"/>
          <w:sz w:val="24"/>
          <w:szCs w:val="24"/>
        </w:rPr>
        <w:t xml:space="preserve"> </w:t>
      </w:r>
      <w:r w:rsidR="00383F03" w:rsidRPr="004D2FF7">
        <w:rPr>
          <w:rFonts w:ascii="Times New Roman" w:hAnsi="Times New Roman" w:cs="Times New Roman"/>
          <w:sz w:val="24"/>
          <w:szCs w:val="24"/>
        </w:rPr>
        <w:t>nr.</w:t>
      </w:r>
      <w:r w:rsidR="006054EE" w:rsidRPr="004D2FF7">
        <w:rPr>
          <w:rFonts w:ascii="Times New Roman" w:hAnsi="Times New Roman" w:cs="Times New Roman"/>
          <w:sz w:val="24"/>
          <w:szCs w:val="24"/>
        </w:rPr>
        <w:t>181/</w:t>
      </w:r>
      <w:r w:rsidR="00571735" w:rsidRPr="004D2FF7">
        <w:rPr>
          <w:rFonts w:ascii="Times New Roman" w:hAnsi="Times New Roman" w:cs="Times New Roman"/>
          <w:sz w:val="24"/>
          <w:szCs w:val="24"/>
        </w:rPr>
        <w:t>2014.</w:t>
      </w:r>
    </w:p>
    <w:p w14:paraId="014E29CD" w14:textId="0654C60C" w:rsidR="006049D5" w:rsidRPr="004D2FF7" w:rsidRDefault="00E44D46" w:rsidP="008C1B8F">
      <w:pPr>
        <w:spacing w:after="120" w:line="276" w:lineRule="auto"/>
        <w:jc w:val="both"/>
        <w:rPr>
          <w:rFonts w:ascii="Times New Roman" w:hAnsi="Times New Roman" w:cs="Times New Roman"/>
          <w:color w:val="333333"/>
          <w:sz w:val="24"/>
          <w:szCs w:val="24"/>
          <w:shd w:val="clear" w:color="auto" w:fill="FFFFFF"/>
        </w:rPr>
      </w:pPr>
      <w:r w:rsidRPr="004D2FF7">
        <w:rPr>
          <w:rFonts w:ascii="Times New Roman" w:hAnsi="Times New Roman" w:cs="Times New Roman"/>
          <w:color w:val="333333"/>
          <w:sz w:val="24"/>
          <w:szCs w:val="24"/>
          <w:shd w:val="clear" w:color="auto" w:fill="FFFFFF"/>
        </w:rPr>
        <w:t>CNPDCP</w:t>
      </w:r>
      <w:r w:rsidR="00571735" w:rsidRPr="004D2FF7">
        <w:rPr>
          <w:rFonts w:ascii="Times New Roman" w:hAnsi="Times New Roman" w:cs="Times New Roman"/>
          <w:color w:val="333333"/>
          <w:sz w:val="24"/>
          <w:szCs w:val="24"/>
          <w:shd w:val="clear" w:color="auto" w:fill="FFFFFF"/>
        </w:rPr>
        <w:t xml:space="preserve"> dispune de </w:t>
      </w:r>
      <w:r w:rsidR="006049D5" w:rsidRPr="004D2FF7">
        <w:rPr>
          <w:rFonts w:ascii="Times New Roman" w:hAnsi="Times New Roman" w:cs="Times New Roman"/>
          <w:color w:val="333333"/>
          <w:sz w:val="24"/>
          <w:szCs w:val="24"/>
          <w:shd w:val="clear" w:color="auto" w:fill="FFFFFF"/>
        </w:rPr>
        <w:t>statut d</w:t>
      </w:r>
      <w:r w:rsidR="008A5945" w:rsidRPr="004D2FF7">
        <w:rPr>
          <w:rFonts w:ascii="Times New Roman" w:hAnsi="Times New Roman" w:cs="Times New Roman"/>
          <w:color w:val="333333"/>
          <w:sz w:val="24"/>
          <w:szCs w:val="24"/>
          <w:shd w:val="clear" w:color="auto" w:fill="FFFFFF"/>
        </w:rPr>
        <w:t>e instituție autonomă,</w:t>
      </w:r>
      <w:r w:rsidR="00A965C4">
        <w:rPr>
          <w:rFonts w:ascii="Times New Roman" w:hAnsi="Times New Roman" w:cs="Times New Roman"/>
          <w:color w:val="333333"/>
          <w:sz w:val="24"/>
          <w:szCs w:val="24"/>
          <w:shd w:val="clear" w:color="auto" w:fill="FFFFFF"/>
        </w:rPr>
        <w:t xml:space="preserve"> iar</w:t>
      </w:r>
      <w:r w:rsidR="008A5945" w:rsidRPr="004D2FF7">
        <w:rPr>
          <w:rFonts w:ascii="Times New Roman" w:hAnsi="Times New Roman" w:cs="Times New Roman"/>
          <w:color w:val="333333"/>
          <w:sz w:val="24"/>
          <w:szCs w:val="24"/>
          <w:shd w:val="clear" w:color="auto" w:fill="FFFFFF"/>
        </w:rPr>
        <w:t xml:space="preserve"> </w:t>
      </w:r>
      <w:r w:rsidR="00A965C4" w:rsidRPr="004D2FF7">
        <w:rPr>
          <w:rFonts w:ascii="Times New Roman" w:hAnsi="Times New Roman" w:cs="Times New Roman"/>
          <w:color w:val="333333"/>
          <w:sz w:val="24"/>
          <w:szCs w:val="24"/>
          <w:shd w:val="clear" w:color="auto" w:fill="FFFFFF"/>
        </w:rPr>
        <w:t>reieșind din prevederile art.51</w:t>
      </w:r>
      <w:r w:rsidR="00A965C4" w:rsidRPr="004D2FF7">
        <w:rPr>
          <w:rFonts w:ascii="Times New Roman" w:hAnsi="Times New Roman" w:cs="Times New Roman"/>
          <w:color w:val="333333"/>
          <w:sz w:val="24"/>
          <w:szCs w:val="24"/>
          <w:shd w:val="clear" w:color="auto" w:fill="FFFFFF"/>
          <w:vertAlign w:val="superscript"/>
        </w:rPr>
        <w:t>1</w:t>
      </w:r>
      <w:r w:rsidR="00A965C4" w:rsidRPr="004D2FF7">
        <w:rPr>
          <w:rFonts w:ascii="Times New Roman" w:hAnsi="Times New Roman" w:cs="Times New Roman"/>
          <w:color w:val="333333"/>
          <w:sz w:val="24"/>
          <w:szCs w:val="24"/>
          <w:shd w:val="clear" w:color="auto" w:fill="FFFFFF"/>
        </w:rPr>
        <w:t xml:space="preserve"> din Legea nr.181/2014</w:t>
      </w:r>
      <w:r w:rsidR="009828C7">
        <w:rPr>
          <w:rFonts w:ascii="Times New Roman" w:hAnsi="Times New Roman" w:cs="Times New Roman"/>
          <w:color w:val="333333"/>
          <w:sz w:val="24"/>
          <w:szCs w:val="24"/>
          <w:shd w:val="clear" w:color="auto" w:fill="FFFFFF"/>
        </w:rPr>
        <w:t>,</w:t>
      </w:r>
      <w:r w:rsidR="00A965C4">
        <w:rPr>
          <w:rFonts w:ascii="Times New Roman" w:hAnsi="Times New Roman" w:cs="Times New Roman"/>
          <w:color w:val="333333"/>
          <w:sz w:val="24"/>
          <w:szCs w:val="24"/>
          <w:shd w:val="clear" w:color="auto" w:fill="FFFFFF"/>
        </w:rPr>
        <w:t xml:space="preserve"> ar </w:t>
      </w:r>
      <w:r w:rsidR="008A5945" w:rsidRPr="004D2FF7">
        <w:rPr>
          <w:rFonts w:ascii="Times New Roman" w:hAnsi="Times New Roman" w:cs="Times New Roman"/>
          <w:color w:val="333333"/>
          <w:sz w:val="24"/>
          <w:szCs w:val="24"/>
          <w:shd w:val="clear" w:color="auto" w:fill="FFFFFF"/>
        </w:rPr>
        <w:t>trebui să-și elabore</w:t>
      </w:r>
      <w:r w:rsidR="001267C4" w:rsidRPr="004D2FF7">
        <w:rPr>
          <w:rFonts w:ascii="Times New Roman" w:hAnsi="Times New Roman" w:cs="Times New Roman"/>
          <w:color w:val="333333"/>
          <w:sz w:val="24"/>
          <w:szCs w:val="24"/>
          <w:shd w:val="clear" w:color="auto" w:fill="FFFFFF"/>
        </w:rPr>
        <w:t>ze</w:t>
      </w:r>
      <w:r w:rsidR="006049D5" w:rsidRPr="004D2FF7">
        <w:rPr>
          <w:rFonts w:ascii="Times New Roman" w:hAnsi="Times New Roman" w:cs="Times New Roman"/>
          <w:color w:val="333333"/>
          <w:sz w:val="24"/>
          <w:szCs w:val="24"/>
          <w:shd w:val="clear" w:color="auto" w:fill="FFFFFF"/>
        </w:rPr>
        <w:t xml:space="preserve"> proiectul de buget </w:t>
      </w:r>
      <w:r w:rsidR="008A5945" w:rsidRPr="004D2FF7">
        <w:rPr>
          <w:rFonts w:ascii="Times New Roman" w:hAnsi="Times New Roman" w:cs="Times New Roman"/>
          <w:color w:val="333333"/>
          <w:sz w:val="24"/>
          <w:szCs w:val="24"/>
          <w:shd w:val="clear" w:color="auto" w:fill="FFFFFF"/>
        </w:rPr>
        <w:t>de</w:t>
      </w:r>
      <w:r w:rsidR="006049D5" w:rsidRPr="004D2FF7">
        <w:rPr>
          <w:rFonts w:ascii="Times New Roman" w:hAnsi="Times New Roman" w:cs="Times New Roman"/>
          <w:color w:val="333333"/>
          <w:sz w:val="24"/>
          <w:szCs w:val="24"/>
          <w:shd w:val="clear" w:color="auto" w:fill="FFFFFF"/>
        </w:rPr>
        <w:t xml:space="preserve"> sine stătător, în conformitate cu principiile generale stabilite de legea prenotată. Ulterior, proiectul de buget </w:t>
      </w:r>
      <w:r w:rsidR="008A5945" w:rsidRPr="004D2FF7">
        <w:rPr>
          <w:rFonts w:ascii="Times New Roman" w:hAnsi="Times New Roman" w:cs="Times New Roman"/>
          <w:color w:val="333333"/>
          <w:sz w:val="24"/>
          <w:szCs w:val="24"/>
          <w:shd w:val="clear" w:color="auto" w:fill="FFFFFF"/>
        </w:rPr>
        <w:t>urmează a fi aprobat</w:t>
      </w:r>
      <w:r w:rsidR="006049D5" w:rsidRPr="004D2FF7">
        <w:rPr>
          <w:rFonts w:ascii="Times New Roman" w:hAnsi="Times New Roman" w:cs="Times New Roman"/>
          <w:color w:val="333333"/>
          <w:sz w:val="24"/>
          <w:szCs w:val="24"/>
          <w:shd w:val="clear" w:color="auto" w:fill="FFFFFF"/>
        </w:rPr>
        <w:t xml:space="preserve">, cu avizul consultativ al Ministerului Finanțelor </w:t>
      </w:r>
      <w:r w:rsidR="00BD7E26">
        <w:rPr>
          <w:rFonts w:ascii="Times New Roman" w:hAnsi="Times New Roman" w:cs="Times New Roman"/>
          <w:color w:val="333333"/>
          <w:sz w:val="24"/>
          <w:szCs w:val="24"/>
          <w:shd w:val="clear" w:color="auto" w:fill="FFFFFF"/>
        </w:rPr>
        <w:t>care</w:t>
      </w:r>
      <w:r w:rsidR="006049D5" w:rsidRPr="004D2FF7">
        <w:rPr>
          <w:rFonts w:ascii="Times New Roman" w:hAnsi="Times New Roman" w:cs="Times New Roman"/>
          <w:color w:val="333333"/>
          <w:sz w:val="24"/>
          <w:szCs w:val="24"/>
          <w:shd w:val="clear" w:color="auto" w:fill="FFFFFF"/>
        </w:rPr>
        <w:t xml:space="preserve"> se înaintează Guvernului, în termenul prevăzut de calendarul bugetar, pentru a fi inclus în proiectul bugetului de stat</w:t>
      </w:r>
      <w:r w:rsidR="001105CF" w:rsidRPr="004D2FF7">
        <w:rPr>
          <w:rFonts w:ascii="Times New Roman" w:hAnsi="Times New Roman" w:cs="Times New Roman"/>
          <w:color w:val="333333"/>
          <w:sz w:val="24"/>
          <w:szCs w:val="24"/>
          <w:shd w:val="clear" w:color="auto" w:fill="FFFFFF"/>
        </w:rPr>
        <w:t xml:space="preserve"> și </w:t>
      </w:r>
      <w:r w:rsidR="001267C4" w:rsidRPr="004D2FF7">
        <w:rPr>
          <w:rFonts w:ascii="Times New Roman" w:hAnsi="Times New Roman" w:cs="Times New Roman"/>
          <w:color w:val="333333"/>
          <w:sz w:val="24"/>
          <w:szCs w:val="24"/>
          <w:shd w:val="clear" w:color="auto" w:fill="FFFFFF"/>
        </w:rPr>
        <w:t xml:space="preserve">pentru </w:t>
      </w:r>
      <w:r w:rsidR="001105CF" w:rsidRPr="004D2FF7">
        <w:rPr>
          <w:rFonts w:ascii="Times New Roman" w:hAnsi="Times New Roman" w:cs="Times New Roman"/>
          <w:color w:val="333333"/>
          <w:sz w:val="24"/>
          <w:szCs w:val="24"/>
          <w:shd w:val="clear" w:color="auto" w:fill="FFFFFF"/>
        </w:rPr>
        <w:t xml:space="preserve">a </w:t>
      </w:r>
      <w:r w:rsidR="006049D5" w:rsidRPr="004D2FF7">
        <w:rPr>
          <w:rFonts w:ascii="Times New Roman" w:hAnsi="Times New Roman" w:cs="Times New Roman"/>
          <w:color w:val="333333"/>
          <w:sz w:val="24"/>
          <w:szCs w:val="24"/>
          <w:shd w:val="clear" w:color="auto" w:fill="FFFFFF"/>
        </w:rPr>
        <w:t>fi prezentat Parlamentului</w:t>
      </w:r>
      <w:r w:rsidR="001267C4" w:rsidRPr="004D2FF7">
        <w:rPr>
          <w:rFonts w:ascii="Times New Roman" w:hAnsi="Times New Roman" w:cs="Times New Roman"/>
          <w:color w:val="333333"/>
          <w:sz w:val="24"/>
          <w:szCs w:val="24"/>
          <w:shd w:val="clear" w:color="auto" w:fill="FFFFFF"/>
        </w:rPr>
        <w:t>,</w:t>
      </w:r>
      <w:r w:rsidR="006049D5" w:rsidRPr="004D2FF7">
        <w:rPr>
          <w:rFonts w:ascii="Times New Roman" w:hAnsi="Times New Roman" w:cs="Times New Roman"/>
          <w:color w:val="333333"/>
          <w:sz w:val="24"/>
          <w:szCs w:val="24"/>
          <w:shd w:val="clear" w:color="auto" w:fill="FFFFFF"/>
        </w:rPr>
        <w:t xml:space="preserve"> spre adoptare. Dacă autoritatea bugetară independentă/autonomă are obiecții la proiectul de buget aprobat de către Guvern, acestea s</w:t>
      </w:r>
      <w:r w:rsidR="001267C4" w:rsidRPr="004D2FF7">
        <w:rPr>
          <w:rFonts w:ascii="Times New Roman" w:hAnsi="Times New Roman" w:cs="Times New Roman"/>
          <w:color w:val="333333"/>
          <w:sz w:val="24"/>
          <w:szCs w:val="24"/>
          <w:shd w:val="clear" w:color="auto" w:fill="FFFFFF"/>
        </w:rPr>
        <w:t>unt</w:t>
      </w:r>
      <w:r w:rsidR="006049D5" w:rsidRPr="004D2FF7">
        <w:rPr>
          <w:rFonts w:ascii="Times New Roman" w:hAnsi="Times New Roman" w:cs="Times New Roman"/>
          <w:color w:val="333333"/>
          <w:sz w:val="24"/>
          <w:szCs w:val="24"/>
          <w:shd w:val="clear" w:color="auto" w:fill="FFFFFF"/>
        </w:rPr>
        <w:t xml:space="preserve"> prez</w:t>
      </w:r>
      <w:r w:rsidR="001267C4" w:rsidRPr="004D2FF7">
        <w:rPr>
          <w:rFonts w:ascii="Times New Roman" w:hAnsi="Times New Roman" w:cs="Times New Roman"/>
          <w:color w:val="333333"/>
          <w:sz w:val="24"/>
          <w:szCs w:val="24"/>
          <w:shd w:val="clear" w:color="auto" w:fill="FFFFFF"/>
        </w:rPr>
        <w:t>entate</w:t>
      </w:r>
      <w:r w:rsidR="006049D5" w:rsidRPr="004D2FF7">
        <w:rPr>
          <w:rFonts w:ascii="Times New Roman" w:hAnsi="Times New Roman" w:cs="Times New Roman"/>
          <w:color w:val="333333"/>
          <w:sz w:val="24"/>
          <w:szCs w:val="24"/>
          <w:shd w:val="clear" w:color="auto" w:fill="FFFFFF"/>
        </w:rPr>
        <w:t xml:space="preserve"> Parlamentului, pentru soluționarea divergenț</w:t>
      </w:r>
      <w:r w:rsidR="001267C4" w:rsidRPr="004D2FF7">
        <w:rPr>
          <w:rFonts w:ascii="Times New Roman" w:hAnsi="Times New Roman" w:cs="Times New Roman"/>
          <w:color w:val="333333"/>
          <w:sz w:val="24"/>
          <w:szCs w:val="24"/>
          <w:shd w:val="clear" w:color="auto" w:fill="FFFFFF"/>
        </w:rPr>
        <w:t>e</w:t>
      </w:r>
      <w:r w:rsidR="006049D5" w:rsidRPr="004D2FF7">
        <w:rPr>
          <w:rFonts w:ascii="Times New Roman" w:hAnsi="Times New Roman" w:cs="Times New Roman"/>
          <w:color w:val="333333"/>
          <w:sz w:val="24"/>
          <w:szCs w:val="24"/>
          <w:shd w:val="clear" w:color="auto" w:fill="FFFFFF"/>
        </w:rPr>
        <w:t xml:space="preserve">lor. </w:t>
      </w:r>
    </w:p>
    <w:p w14:paraId="2EA646AF" w14:textId="04025F9B" w:rsidR="006049D5" w:rsidRPr="004D2FF7" w:rsidRDefault="006049D5" w:rsidP="008C1B8F">
      <w:pPr>
        <w:spacing w:after="120" w:line="276" w:lineRule="auto"/>
        <w:jc w:val="both"/>
        <w:rPr>
          <w:rFonts w:ascii="Times New Roman" w:hAnsi="Times New Roman" w:cs="Times New Roman"/>
          <w:color w:val="333333"/>
          <w:sz w:val="24"/>
          <w:szCs w:val="24"/>
          <w:shd w:val="clear" w:color="auto" w:fill="FFFFFF"/>
        </w:rPr>
      </w:pPr>
      <w:r w:rsidRPr="00BB2633">
        <w:rPr>
          <w:rFonts w:ascii="Times New Roman" w:hAnsi="Times New Roman" w:cs="Times New Roman"/>
          <w:color w:val="333333"/>
          <w:sz w:val="24"/>
          <w:szCs w:val="24"/>
          <w:shd w:val="clear" w:color="auto" w:fill="FFFFFF"/>
        </w:rPr>
        <w:t xml:space="preserve">De menționat că acest mecanism nu </w:t>
      </w:r>
      <w:r w:rsidR="009828C7">
        <w:rPr>
          <w:rFonts w:ascii="Times New Roman" w:hAnsi="Times New Roman" w:cs="Times New Roman"/>
          <w:color w:val="333333"/>
          <w:sz w:val="24"/>
          <w:szCs w:val="24"/>
          <w:shd w:val="clear" w:color="auto" w:fill="FFFFFF"/>
        </w:rPr>
        <w:t>a fost</w:t>
      </w:r>
      <w:r w:rsidRPr="00BB2633">
        <w:rPr>
          <w:rFonts w:ascii="Times New Roman" w:hAnsi="Times New Roman" w:cs="Times New Roman"/>
          <w:color w:val="333333"/>
          <w:sz w:val="24"/>
          <w:szCs w:val="24"/>
          <w:shd w:val="clear" w:color="auto" w:fill="FFFFFF"/>
        </w:rPr>
        <w:t xml:space="preserve"> funcțional</w:t>
      </w:r>
      <w:r w:rsidR="00A653C2" w:rsidRPr="00BB2633">
        <w:rPr>
          <w:rFonts w:ascii="Times New Roman" w:hAnsi="Times New Roman" w:cs="Times New Roman"/>
          <w:color w:val="333333"/>
          <w:sz w:val="24"/>
          <w:szCs w:val="24"/>
          <w:shd w:val="clear" w:color="auto" w:fill="FFFFFF"/>
        </w:rPr>
        <w:t xml:space="preserve"> în ani</w:t>
      </w:r>
      <w:r w:rsidR="009828C7">
        <w:rPr>
          <w:rFonts w:ascii="Times New Roman" w:hAnsi="Times New Roman" w:cs="Times New Roman"/>
          <w:color w:val="333333"/>
          <w:sz w:val="24"/>
          <w:szCs w:val="24"/>
          <w:shd w:val="clear" w:color="auto" w:fill="FFFFFF"/>
        </w:rPr>
        <w:t>i</w:t>
      </w:r>
      <w:r w:rsidR="00A653C2" w:rsidRPr="00BB2633">
        <w:rPr>
          <w:rFonts w:ascii="Times New Roman" w:hAnsi="Times New Roman" w:cs="Times New Roman"/>
          <w:color w:val="333333"/>
          <w:sz w:val="24"/>
          <w:szCs w:val="24"/>
          <w:shd w:val="clear" w:color="auto" w:fill="FFFFFF"/>
        </w:rPr>
        <w:t xml:space="preserve"> 2018-2022</w:t>
      </w:r>
      <w:r w:rsidRPr="00BB2633">
        <w:rPr>
          <w:rFonts w:ascii="Times New Roman" w:hAnsi="Times New Roman" w:cs="Times New Roman"/>
          <w:color w:val="333333"/>
          <w:sz w:val="24"/>
          <w:szCs w:val="24"/>
          <w:shd w:val="clear" w:color="auto" w:fill="FFFFFF"/>
        </w:rPr>
        <w:t>,</w:t>
      </w:r>
      <w:r w:rsidR="009F0E32" w:rsidRPr="00BB2633">
        <w:rPr>
          <w:rFonts w:ascii="Times New Roman" w:hAnsi="Times New Roman" w:cs="Times New Roman"/>
          <w:color w:val="333333"/>
          <w:sz w:val="24"/>
          <w:szCs w:val="24"/>
          <w:shd w:val="clear" w:color="auto" w:fill="FFFFFF"/>
        </w:rPr>
        <w:t xml:space="preserve"> dat fiind că pentru instituțiile autonome nu</w:t>
      </w:r>
      <w:r w:rsidR="00A653C2" w:rsidRPr="00BB2633">
        <w:rPr>
          <w:rFonts w:ascii="Times New Roman" w:hAnsi="Times New Roman" w:cs="Times New Roman"/>
          <w:color w:val="333333"/>
          <w:sz w:val="24"/>
          <w:szCs w:val="24"/>
          <w:shd w:val="clear" w:color="auto" w:fill="FFFFFF"/>
        </w:rPr>
        <w:t xml:space="preserve"> au fost</w:t>
      </w:r>
      <w:r w:rsidR="00BD7E26" w:rsidRPr="00BB2633">
        <w:rPr>
          <w:rFonts w:ascii="Times New Roman" w:hAnsi="Times New Roman" w:cs="Times New Roman"/>
          <w:color w:val="333333"/>
          <w:sz w:val="24"/>
          <w:szCs w:val="24"/>
          <w:shd w:val="clear" w:color="auto" w:fill="FFFFFF"/>
        </w:rPr>
        <w:t xml:space="preserve"> elaborate </w:t>
      </w:r>
      <w:r w:rsidR="005D412E" w:rsidRPr="00BB2633">
        <w:rPr>
          <w:rFonts w:ascii="Times New Roman" w:hAnsi="Times New Roman" w:cs="Times New Roman"/>
          <w:sz w:val="24"/>
          <w:szCs w:val="24"/>
          <w:lang w:val="ro-RO"/>
        </w:rPr>
        <w:t>circulare privind elaborarea bugetelor anuale</w:t>
      </w:r>
      <w:r w:rsidR="009F0E32" w:rsidRPr="00BB2633">
        <w:rPr>
          <w:rFonts w:ascii="Times New Roman" w:hAnsi="Times New Roman" w:cs="Times New Roman"/>
          <w:sz w:val="24"/>
          <w:szCs w:val="24"/>
        </w:rPr>
        <w:t>,</w:t>
      </w:r>
      <w:r w:rsidR="00BD7E26" w:rsidRPr="00BB2633">
        <w:rPr>
          <w:rFonts w:ascii="Times New Roman" w:hAnsi="Times New Roman" w:cs="Times New Roman"/>
          <w:sz w:val="24"/>
          <w:szCs w:val="24"/>
        </w:rPr>
        <w:t xml:space="preserve"> care ar cuprinde particularități specifice pentru</w:t>
      </w:r>
      <w:r w:rsidR="00BD7E26" w:rsidRPr="00BB2633">
        <w:rPr>
          <w:rFonts w:ascii="Times New Roman" w:hAnsi="Times New Roman" w:cs="Times New Roman"/>
          <w:color w:val="333333"/>
          <w:sz w:val="24"/>
          <w:szCs w:val="24"/>
          <w:shd w:val="clear" w:color="auto" w:fill="FFFFFF"/>
        </w:rPr>
        <w:t xml:space="preserve"> instituțiile autonome, </w:t>
      </w:r>
      <w:r w:rsidR="009F0E32" w:rsidRPr="00BB2633">
        <w:rPr>
          <w:rFonts w:ascii="Times New Roman" w:hAnsi="Times New Roman" w:cs="Times New Roman"/>
          <w:sz w:val="24"/>
          <w:szCs w:val="24"/>
        </w:rPr>
        <w:t>or</w:t>
      </w:r>
      <w:r w:rsidR="009828C7">
        <w:rPr>
          <w:rFonts w:ascii="Times New Roman" w:hAnsi="Times New Roman" w:cs="Times New Roman"/>
          <w:sz w:val="24"/>
          <w:szCs w:val="24"/>
        </w:rPr>
        <w:t>,</w:t>
      </w:r>
      <w:r w:rsidR="009F0E32" w:rsidRPr="00BB2633">
        <w:rPr>
          <w:rFonts w:ascii="Times New Roman" w:hAnsi="Times New Roman" w:cs="Times New Roman"/>
          <w:sz w:val="24"/>
          <w:szCs w:val="24"/>
        </w:rPr>
        <w:t xml:space="preserve"> </w:t>
      </w:r>
      <w:r w:rsidR="006054EE" w:rsidRPr="00BB2633">
        <w:rPr>
          <w:rFonts w:ascii="Times New Roman" w:hAnsi="Times New Roman" w:cs="Times New Roman"/>
          <w:sz w:val="24"/>
          <w:szCs w:val="24"/>
        </w:rPr>
        <w:t>bugetul anual al</w:t>
      </w:r>
      <w:r w:rsidR="00D44396" w:rsidRPr="00BB2633">
        <w:rPr>
          <w:rFonts w:ascii="Times New Roman" w:hAnsi="Times New Roman" w:cs="Times New Roman"/>
          <w:sz w:val="24"/>
          <w:szCs w:val="24"/>
        </w:rPr>
        <w:t xml:space="preserve"> </w:t>
      </w:r>
      <w:r w:rsidR="00E44D46" w:rsidRPr="00BB2633">
        <w:rPr>
          <w:rFonts w:ascii="Times New Roman" w:hAnsi="Times New Roman" w:cs="Times New Roman"/>
          <w:sz w:val="24"/>
          <w:szCs w:val="24"/>
        </w:rPr>
        <w:t>CNPDCP</w:t>
      </w:r>
      <w:r w:rsidR="009F0E32" w:rsidRPr="00BB2633">
        <w:rPr>
          <w:rFonts w:ascii="Times New Roman" w:hAnsi="Times New Roman" w:cs="Times New Roman"/>
          <w:sz w:val="24"/>
          <w:szCs w:val="24"/>
        </w:rPr>
        <w:t xml:space="preserve"> se </w:t>
      </w:r>
      <w:r w:rsidR="00D44396" w:rsidRPr="00BB2633">
        <w:rPr>
          <w:rFonts w:ascii="Times New Roman" w:hAnsi="Times New Roman" w:cs="Times New Roman"/>
          <w:sz w:val="24"/>
          <w:szCs w:val="24"/>
        </w:rPr>
        <w:t>elaborează pe principii generale</w:t>
      </w:r>
      <w:r w:rsidR="00012C76" w:rsidRPr="00BB2633">
        <w:rPr>
          <w:rFonts w:ascii="Times New Roman" w:hAnsi="Times New Roman" w:cs="Times New Roman"/>
          <w:sz w:val="24"/>
          <w:szCs w:val="24"/>
        </w:rPr>
        <w:t>,</w:t>
      </w:r>
      <w:r w:rsidR="00D44396" w:rsidRPr="00BB2633">
        <w:rPr>
          <w:rFonts w:ascii="Times New Roman" w:hAnsi="Times New Roman" w:cs="Times New Roman"/>
          <w:sz w:val="24"/>
          <w:szCs w:val="24"/>
        </w:rPr>
        <w:t xml:space="preserve"> în </w:t>
      </w:r>
      <w:r w:rsidR="009F0E32" w:rsidRPr="00BB2633">
        <w:rPr>
          <w:rFonts w:ascii="Times New Roman" w:hAnsi="Times New Roman" w:cs="Times New Roman"/>
          <w:sz w:val="24"/>
          <w:szCs w:val="24"/>
        </w:rPr>
        <w:t>limita</w:t>
      </w:r>
      <w:r w:rsidR="00D44396" w:rsidRPr="00BB2633">
        <w:rPr>
          <w:rFonts w:ascii="Times New Roman" w:hAnsi="Times New Roman" w:cs="Times New Roman"/>
          <w:sz w:val="24"/>
          <w:szCs w:val="24"/>
        </w:rPr>
        <w:t xml:space="preserve"> prognozei cheltuielilor</w:t>
      </w:r>
      <w:r w:rsidR="00012C76" w:rsidRPr="00BB2633">
        <w:rPr>
          <w:rFonts w:ascii="Times New Roman" w:hAnsi="Times New Roman" w:cs="Times New Roman"/>
          <w:sz w:val="24"/>
          <w:szCs w:val="24"/>
        </w:rPr>
        <w:t>,</w:t>
      </w:r>
      <w:r w:rsidRPr="00BB2633">
        <w:rPr>
          <w:rFonts w:ascii="Times New Roman" w:hAnsi="Times New Roman" w:cs="Times New Roman"/>
          <w:sz w:val="24"/>
          <w:szCs w:val="24"/>
        </w:rPr>
        <w:t xml:space="preserve"> </w:t>
      </w:r>
      <w:r w:rsidR="009F0E32" w:rsidRPr="00BB2633">
        <w:rPr>
          <w:rFonts w:ascii="Times New Roman" w:hAnsi="Times New Roman" w:cs="Times New Roman"/>
          <w:sz w:val="24"/>
          <w:szCs w:val="24"/>
        </w:rPr>
        <w:t>comunicată</w:t>
      </w:r>
      <w:r w:rsidRPr="00BB2633">
        <w:rPr>
          <w:rFonts w:ascii="Times New Roman" w:hAnsi="Times New Roman" w:cs="Times New Roman"/>
          <w:sz w:val="24"/>
          <w:szCs w:val="24"/>
        </w:rPr>
        <w:t xml:space="preserve"> </w:t>
      </w:r>
      <w:r w:rsidR="00E44D46" w:rsidRPr="00BB2633">
        <w:rPr>
          <w:rFonts w:ascii="Times New Roman" w:hAnsi="Times New Roman" w:cs="Times New Roman"/>
          <w:sz w:val="24"/>
          <w:szCs w:val="24"/>
        </w:rPr>
        <w:t>CNPDCP</w:t>
      </w:r>
      <w:r w:rsidR="00D44396" w:rsidRPr="00BB2633">
        <w:rPr>
          <w:rFonts w:ascii="Times New Roman" w:hAnsi="Times New Roman" w:cs="Times New Roman"/>
          <w:sz w:val="24"/>
          <w:szCs w:val="24"/>
        </w:rPr>
        <w:t xml:space="preserve"> </w:t>
      </w:r>
      <w:r w:rsidRPr="00BB2633">
        <w:rPr>
          <w:rFonts w:ascii="Times New Roman" w:hAnsi="Times New Roman" w:cs="Times New Roman"/>
          <w:sz w:val="24"/>
          <w:szCs w:val="24"/>
        </w:rPr>
        <w:t>de</w:t>
      </w:r>
      <w:r w:rsidR="00D44396" w:rsidRPr="00BB2633">
        <w:rPr>
          <w:rFonts w:ascii="Times New Roman" w:hAnsi="Times New Roman" w:cs="Times New Roman"/>
          <w:sz w:val="24"/>
          <w:szCs w:val="24"/>
        </w:rPr>
        <w:t xml:space="preserve"> către M</w:t>
      </w:r>
      <w:r w:rsidR="00BD0107" w:rsidRPr="00BB2633">
        <w:rPr>
          <w:rFonts w:ascii="Times New Roman" w:hAnsi="Times New Roman" w:cs="Times New Roman"/>
          <w:sz w:val="24"/>
          <w:szCs w:val="24"/>
        </w:rPr>
        <w:t xml:space="preserve">inisterul </w:t>
      </w:r>
      <w:r w:rsidR="00D44396" w:rsidRPr="00BB2633">
        <w:rPr>
          <w:rFonts w:ascii="Times New Roman" w:hAnsi="Times New Roman" w:cs="Times New Roman"/>
          <w:sz w:val="24"/>
          <w:szCs w:val="24"/>
        </w:rPr>
        <w:t>F</w:t>
      </w:r>
      <w:r w:rsidR="00BD0107" w:rsidRPr="00BB2633">
        <w:rPr>
          <w:rFonts w:ascii="Times New Roman" w:hAnsi="Times New Roman" w:cs="Times New Roman"/>
          <w:sz w:val="24"/>
          <w:szCs w:val="24"/>
        </w:rPr>
        <w:t>inanțelor</w:t>
      </w:r>
      <w:r w:rsidR="00D44396" w:rsidRPr="00BB2633">
        <w:rPr>
          <w:rFonts w:ascii="Times New Roman" w:hAnsi="Times New Roman" w:cs="Times New Roman"/>
          <w:sz w:val="24"/>
          <w:szCs w:val="24"/>
        </w:rPr>
        <w:t xml:space="preserve">. </w:t>
      </w:r>
    </w:p>
    <w:p w14:paraId="3BF27DAB" w14:textId="6A1A5D27" w:rsidR="00C434BC" w:rsidRPr="004D2FF7" w:rsidRDefault="009E7117" w:rsidP="00D44917">
      <w:pPr>
        <w:pStyle w:val="ListParagraph"/>
        <w:tabs>
          <w:tab w:val="left" w:pos="322"/>
          <w:tab w:val="left" w:pos="993"/>
        </w:tabs>
        <w:ind w:left="38"/>
        <w:jc w:val="both"/>
        <w:rPr>
          <w:rFonts w:ascii="Times New Roman" w:eastAsia="Times New Roman" w:hAnsi="Times New Roman" w:cs="Times New Roman"/>
          <w:noProof/>
          <w:sz w:val="24"/>
          <w:szCs w:val="24"/>
        </w:rPr>
      </w:pPr>
      <w:r w:rsidRPr="004D2FF7">
        <w:rPr>
          <w:rFonts w:ascii="Times New Roman" w:hAnsi="Times New Roman" w:cs="Times New Roman"/>
          <w:noProof/>
          <w:sz w:val="24"/>
          <w:szCs w:val="24"/>
        </w:rPr>
        <w:t>Potrivit cadrului legal</w:t>
      </w:r>
      <w:r w:rsidRPr="004D2FF7">
        <w:rPr>
          <w:rStyle w:val="FootnoteReference"/>
          <w:rFonts w:ascii="Times New Roman" w:hAnsi="Times New Roman" w:cs="Times New Roman"/>
          <w:noProof/>
          <w:sz w:val="24"/>
          <w:szCs w:val="24"/>
        </w:rPr>
        <w:footnoteReference w:id="26"/>
      </w:r>
      <w:r w:rsidRPr="004D2FF7">
        <w:rPr>
          <w:rFonts w:ascii="Times New Roman" w:hAnsi="Times New Roman" w:cs="Times New Roman"/>
          <w:noProof/>
          <w:sz w:val="24"/>
          <w:szCs w:val="24"/>
        </w:rPr>
        <w:t>,</w:t>
      </w:r>
      <w:r w:rsidRPr="004D2FF7">
        <w:rPr>
          <w:rFonts w:ascii="Times New Roman" w:hAnsi="Times New Roman" w:cs="Times New Roman"/>
          <w:bCs/>
          <w:iCs/>
          <w:noProof/>
          <w:sz w:val="24"/>
          <w:szCs w:val="24"/>
        </w:rPr>
        <w:t xml:space="preserve"> CNPDCP urma să planifice și să gestioneze alocațiile bugetare în conformitate cu principiile bunei guvernări</w:t>
      </w:r>
      <w:r w:rsidRPr="004D2FF7">
        <w:rPr>
          <w:rStyle w:val="FootnoteReference"/>
          <w:rFonts w:ascii="Times New Roman" w:hAnsi="Times New Roman" w:cs="Times New Roman"/>
          <w:bCs/>
          <w:iCs/>
          <w:noProof/>
          <w:sz w:val="24"/>
          <w:szCs w:val="24"/>
        </w:rPr>
        <w:footnoteReference w:id="27"/>
      </w:r>
      <w:r w:rsidRPr="004D2FF7">
        <w:rPr>
          <w:rFonts w:ascii="Times New Roman" w:hAnsi="Times New Roman" w:cs="Times New Roman"/>
          <w:bCs/>
          <w:iCs/>
          <w:noProof/>
          <w:sz w:val="24"/>
          <w:szCs w:val="24"/>
        </w:rPr>
        <w:t>. P</w:t>
      </w:r>
      <w:r w:rsidRPr="004D2FF7">
        <w:rPr>
          <w:rFonts w:ascii="Times New Roman" w:hAnsi="Times New Roman" w:cs="Times New Roman"/>
          <w:noProof/>
          <w:sz w:val="24"/>
          <w:szCs w:val="24"/>
        </w:rPr>
        <w:t>ropunerile de buget urmau să fie fundamentate și clasificate reieșind din necesitățile reale, cu justificarea necesarului de resurse bugetare</w:t>
      </w:r>
      <w:r w:rsidRPr="004D2FF7">
        <w:rPr>
          <w:rFonts w:ascii="Times New Roman" w:eastAsia="Times New Roman" w:hAnsi="Times New Roman" w:cs="Times New Roman"/>
          <w:noProof/>
          <w:sz w:val="24"/>
          <w:szCs w:val="24"/>
        </w:rPr>
        <w:t xml:space="preserve">. </w:t>
      </w:r>
      <w:r w:rsidR="00C434BC" w:rsidRPr="004D2FF7">
        <w:rPr>
          <w:rFonts w:ascii="Times New Roman" w:hAnsi="Times New Roman" w:cs="Times New Roman"/>
          <w:bCs/>
          <w:noProof/>
          <w:sz w:val="24"/>
          <w:szCs w:val="24"/>
        </w:rPr>
        <w:t>CNPDCP</w:t>
      </w:r>
      <w:r w:rsidR="00A6502C" w:rsidRPr="004D2FF7">
        <w:rPr>
          <w:rFonts w:ascii="Times New Roman" w:hAnsi="Times New Roman" w:cs="Times New Roman"/>
          <w:bCs/>
          <w:noProof/>
          <w:sz w:val="24"/>
          <w:szCs w:val="24"/>
        </w:rPr>
        <w:t>,</w:t>
      </w:r>
      <w:r w:rsidR="00163E61" w:rsidRPr="004D2FF7">
        <w:rPr>
          <w:rFonts w:ascii="Times New Roman" w:hAnsi="Times New Roman" w:cs="Times New Roman"/>
          <w:bCs/>
          <w:noProof/>
          <w:sz w:val="24"/>
          <w:szCs w:val="24"/>
        </w:rPr>
        <w:t xml:space="preserve"> ca</w:t>
      </w:r>
      <w:r w:rsidR="00C434BC" w:rsidRPr="004D2FF7">
        <w:rPr>
          <w:rFonts w:ascii="Times New Roman" w:hAnsi="Times New Roman" w:cs="Times New Roman"/>
          <w:noProof/>
          <w:sz w:val="24"/>
          <w:szCs w:val="24"/>
        </w:rPr>
        <w:t xml:space="preserve"> </w:t>
      </w:r>
      <w:r w:rsidR="00163E61" w:rsidRPr="004D2FF7">
        <w:rPr>
          <w:rFonts w:ascii="Times New Roman" w:eastAsia="Times New Roman" w:hAnsi="Times New Roman" w:cs="Times New Roman"/>
          <w:sz w:val="24"/>
          <w:szCs w:val="24"/>
          <w:lang w:val="ro-RO"/>
        </w:rPr>
        <w:t>autoritate publică autonomă</w:t>
      </w:r>
      <w:r w:rsidR="00C408DA">
        <w:rPr>
          <w:rFonts w:ascii="Times New Roman" w:eastAsia="Times New Roman" w:hAnsi="Times New Roman" w:cs="Times New Roman"/>
          <w:sz w:val="24"/>
          <w:szCs w:val="24"/>
          <w:lang w:val="ro-RO"/>
        </w:rPr>
        <w:t>,</w:t>
      </w:r>
      <w:r w:rsidR="00163E61" w:rsidRPr="004D2FF7">
        <w:rPr>
          <w:rFonts w:ascii="Times New Roman" w:hAnsi="Times New Roman" w:cs="Times New Roman"/>
          <w:noProof/>
          <w:sz w:val="24"/>
          <w:szCs w:val="24"/>
        </w:rPr>
        <w:t xml:space="preserve"> </w:t>
      </w:r>
      <w:r w:rsidR="00C434BC" w:rsidRPr="004D2FF7">
        <w:rPr>
          <w:rFonts w:ascii="Times New Roman" w:hAnsi="Times New Roman" w:cs="Times New Roman"/>
          <w:noProof/>
          <w:sz w:val="24"/>
          <w:szCs w:val="24"/>
        </w:rPr>
        <w:t xml:space="preserve">prezintă Ministerului Finanțelor propuneri pentru elaborarea proiectului legii bugetului de stat, fiind responsabil de corectitudinea informațiilor prezentate. </w:t>
      </w:r>
      <w:r w:rsidR="00536FC5" w:rsidRPr="004D2FF7">
        <w:rPr>
          <w:rFonts w:ascii="Times New Roman" w:hAnsi="Times New Roman" w:cs="Times New Roman"/>
          <w:noProof/>
          <w:sz w:val="24"/>
          <w:szCs w:val="24"/>
        </w:rPr>
        <w:t>P</w:t>
      </w:r>
      <w:r w:rsidR="00C434BC" w:rsidRPr="004D2FF7">
        <w:rPr>
          <w:rFonts w:ascii="Times New Roman" w:hAnsi="Times New Roman" w:cs="Times New Roman"/>
          <w:noProof/>
          <w:sz w:val="24"/>
          <w:szCs w:val="24"/>
        </w:rPr>
        <w:t>robele de audit</w:t>
      </w:r>
      <w:r w:rsidR="00C434BC" w:rsidRPr="004D2FF7">
        <w:rPr>
          <w:rFonts w:ascii="Times New Roman" w:eastAsia="Times New Roman" w:hAnsi="Times New Roman" w:cs="Times New Roman"/>
          <w:noProof/>
          <w:sz w:val="24"/>
          <w:szCs w:val="24"/>
        </w:rPr>
        <w:t xml:space="preserve"> denotă că în structura veniturilor se atestă abateri semnificative</w:t>
      </w:r>
      <w:r w:rsidR="00E811A3" w:rsidRPr="00E811A3">
        <w:rPr>
          <w:rFonts w:ascii="Times New Roman" w:eastAsia="Times New Roman" w:hAnsi="Times New Roman" w:cs="Times New Roman"/>
          <w:noProof/>
          <w:sz w:val="24"/>
          <w:szCs w:val="24"/>
        </w:rPr>
        <w:t xml:space="preserve"> </w:t>
      </w:r>
      <w:r w:rsidR="00E811A3" w:rsidRPr="004D2FF7">
        <w:rPr>
          <w:rFonts w:ascii="Times New Roman" w:eastAsia="Times New Roman" w:hAnsi="Times New Roman" w:cs="Times New Roman"/>
          <w:noProof/>
          <w:sz w:val="24"/>
          <w:szCs w:val="24"/>
        </w:rPr>
        <w:t>în ambele sensuri</w:t>
      </w:r>
      <w:r w:rsidR="00C434BC" w:rsidRPr="004D2FF7">
        <w:rPr>
          <w:rFonts w:ascii="Times New Roman" w:eastAsia="Times New Roman" w:hAnsi="Times New Roman" w:cs="Times New Roman"/>
          <w:noProof/>
          <w:sz w:val="24"/>
          <w:szCs w:val="24"/>
        </w:rPr>
        <w:t xml:space="preserve"> ale estimărilor inițiale</w:t>
      </w:r>
      <w:r w:rsidR="00C408DA">
        <w:rPr>
          <w:rFonts w:ascii="Times New Roman" w:eastAsia="Times New Roman" w:hAnsi="Times New Roman" w:cs="Times New Roman"/>
          <w:noProof/>
          <w:sz w:val="24"/>
          <w:szCs w:val="24"/>
        </w:rPr>
        <w:t>,</w:t>
      </w:r>
      <w:r w:rsidR="00C434BC" w:rsidRPr="004D2FF7">
        <w:rPr>
          <w:rFonts w:ascii="Times New Roman" w:eastAsia="Times New Roman" w:hAnsi="Times New Roman" w:cs="Times New Roman"/>
          <w:noProof/>
          <w:sz w:val="24"/>
          <w:szCs w:val="24"/>
        </w:rPr>
        <w:t xml:space="preserve"> față de cele realizate, respectiv, subestimări sau supraestimări, care au influențat nivelul executării veniturilor raportate.</w:t>
      </w:r>
    </w:p>
    <w:p w14:paraId="60CBE325" w14:textId="77777777" w:rsidR="00D44917" w:rsidRPr="004D2FF7" w:rsidRDefault="00D44917" w:rsidP="00D44917">
      <w:pPr>
        <w:pStyle w:val="ListParagraph"/>
        <w:tabs>
          <w:tab w:val="left" w:pos="322"/>
          <w:tab w:val="left" w:pos="993"/>
        </w:tabs>
        <w:ind w:left="38"/>
        <w:jc w:val="both"/>
        <w:rPr>
          <w:rFonts w:ascii="Times New Roman" w:eastAsia="Times New Roman" w:hAnsi="Times New Roman" w:cs="Times New Roman"/>
          <w:noProof/>
          <w:sz w:val="24"/>
          <w:szCs w:val="24"/>
        </w:rPr>
      </w:pPr>
    </w:p>
    <w:p w14:paraId="08D5F8AF" w14:textId="10748294" w:rsidR="00867726" w:rsidRPr="004D2FF7" w:rsidRDefault="00D44917" w:rsidP="00D44917">
      <w:pPr>
        <w:pStyle w:val="ListParagraph"/>
        <w:tabs>
          <w:tab w:val="left" w:pos="322"/>
          <w:tab w:val="left" w:pos="993"/>
        </w:tabs>
        <w:ind w:left="38"/>
        <w:jc w:val="both"/>
        <w:rPr>
          <w:rFonts w:ascii="Times New Roman" w:hAnsi="Times New Roman" w:cs="Times New Roman"/>
          <w:sz w:val="24"/>
          <w:szCs w:val="24"/>
        </w:rPr>
      </w:pPr>
      <w:r w:rsidRPr="004D2FF7">
        <w:rPr>
          <w:rFonts w:ascii="Times New Roman" w:eastAsia="Times New Roman" w:hAnsi="Times New Roman" w:cs="Times New Roman"/>
          <w:noProof/>
          <w:sz w:val="24"/>
          <w:szCs w:val="24"/>
        </w:rPr>
        <w:lastRenderedPageBreak/>
        <w:t>De asemenea</w:t>
      </w:r>
      <w:r w:rsidR="000B1925">
        <w:rPr>
          <w:rFonts w:ascii="Times New Roman" w:eastAsia="Times New Roman" w:hAnsi="Times New Roman" w:cs="Times New Roman"/>
          <w:noProof/>
          <w:sz w:val="24"/>
          <w:szCs w:val="24"/>
        </w:rPr>
        <w:t>,</w:t>
      </w:r>
      <w:r w:rsidRPr="004D2FF7">
        <w:rPr>
          <w:rFonts w:ascii="Times New Roman" w:eastAsia="Times New Roman" w:hAnsi="Times New Roman" w:cs="Times New Roman"/>
          <w:noProof/>
          <w:sz w:val="24"/>
          <w:szCs w:val="24"/>
        </w:rPr>
        <w:t xml:space="preserve"> s</w:t>
      </w:r>
      <w:r w:rsidRPr="004D2FF7">
        <w:rPr>
          <w:rFonts w:ascii="Times New Roman" w:hAnsi="Times New Roman" w:cs="Times New Roman"/>
          <w:sz w:val="24"/>
          <w:szCs w:val="24"/>
        </w:rPr>
        <w:t>e atestă o planificare a bugetelor anuale cu surplusuri de mijloace bugetare</w:t>
      </w:r>
      <w:r w:rsidR="000B1925">
        <w:rPr>
          <w:rFonts w:ascii="Times New Roman" w:hAnsi="Times New Roman" w:cs="Times New Roman"/>
          <w:sz w:val="24"/>
          <w:szCs w:val="24"/>
        </w:rPr>
        <w:t>,</w:t>
      </w:r>
      <w:r w:rsidRPr="004D2FF7">
        <w:rPr>
          <w:rFonts w:ascii="Times New Roman" w:hAnsi="Times New Roman" w:cs="Times New Roman"/>
          <w:sz w:val="24"/>
          <w:szCs w:val="24"/>
        </w:rPr>
        <w:t xml:space="preserve"> incluse ne</w:t>
      </w:r>
      <w:r w:rsidR="000075A8">
        <w:rPr>
          <w:rFonts w:ascii="Times New Roman" w:hAnsi="Times New Roman" w:cs="Times New Roman"/>
          <w:sz w:val="24"/>
          <w:szCs w:val="24"/>
        </w:rPr>
        <w:t>argumentat</w:t>
      </w:r>
      <w:r w:rsidRPr="004D2FF7">
        <w:rPr>
          <w:rFonts w:ascii="Times New Roman" w:hAnsi="Times New Roman" w:cs="Times New Roman"/>
          <w:sz w:val="24"/>
          <w:szCs w:val="24"/>
        </w:rPr>
        <w:t xml:space="preserve"> la unele subclase de cheltuieli. Astfel, s</w:t>
      </w:r>
      <w:r w:rsidR="003326D2" w:rsidRPr="004D2FF7">
        <w:rPr>
          <w:rFonts w:ascii="Times New Roman" w:eastAsia="Times New Roman" w:hAnsi="Times New Roman" w:cs="Times New Roman"/>
          <w:sz w:val="24"/>
          <w:szCs w:val="24"/>
          <w:lang w:eastAsia="ru-RU"/>
        </w:rPr>
        <w:t>-a constatat</w:t>
      </w:r>
      <w:r w:rsidR="00867726" w:rsidRPr="004D2FF7">
        <w:rPr>
          <w:rFonts w:ascii="Times New Roman" w:eastAsia="Times New Roman" w:hAnsi="Times New Roman" w:cs="Times New Roman"/>
          <w:sz w:val="24"/>
          <w:szCs w:val="24"/>
          <w:lang w:eastAsia="ru-RU"/>
        </w:rPr>
        <w:t xml:space="preserve"> că</w:t>
      </w:r>
      <w:r w:rsidR="000B1925">
        <w:rPr>
          <w:rFonts w:ascii="Times New Roman" w:eastAsia="Times New Roman" w:hAnsi="Times New Roman" w:cs="Times New Roman"/>
          <w:sz w:val="24"/>
          <w:szCs w:val="24"/>
          <w:lang w:eastAsia="ru-RU"/>
        </w:rPr>
        <w:t>,</w:t>
      </w:r>
      <w:r w:rsidR="00867726" w:rsidRPr="004D2FF7">
        <w:rPr>
          <w:rFonts w:ascii="Times New Roman" w:hAnsi="Times New Roman" w:cs="Times New Roman"/>
          <w:sz w:val="24"/>
          <w:szCs w:val="24"/>
        </w:rPr>
        <w:t xml:space="preserve"> în anii 2018-2022</w:t>
      </w:r>
      <w:r w:rsidR="000B1925">
        <w:rPr>
          <w:rFonts w:ascii="Times New Roman" w:hAnsi="Times New Roman" w:cs="Times New Roman"/>
          <w:sz w:val="24"/>
          <w:szCs w:val="24"/>
        </w:rPr>
        <w:t>,</w:t>
      </w:r>
      <w:r w:rsidR="00867726" w:rsidRPr="004D2FF7">
        <w:rPr>
          <w:rFonts w:ascii="Times New Roman" w:hAnsi="Times New Roman" w:cs="Times New Roman"/>
          <w:sz w:val="24"/>
          <w:szCs w:val="24"/>
        </w:rPr>
        <w:t xml:space="preserve"> </w:t>
      </w:r>
      <w:r w:rsidR="00867726" w:rsidRPr="004D2FF7">
        <w:rPr>
          <w:rFonts w:ascii="Times New Roman" w:eastAsia="Times New Roman" w:hAnsi="Times New Roman" w:cs="Times New Roman"/>
          <w:sz w:val="24"/>
          <w:szCs w:val="24"/>
          <w:lang w:eastAsia="ru-RU"/>
        </w:rPr>
        <w:t xml:space="preserve">la grupa de conturi 222 „Servicii” per total au fost planificate alocații </w:t>
      </w:r>
      <w:r w:rsidR="00121761" w:rsidRPr="004D2FF7">
        <w:rPr>
          <w:rFonts w:ascii="Times New Roman" w:eastAsia="Times New Roman" w:hAnsi="Times New Roman" w:cs="Times New Roman"/>
          <w:sz w:val="24"/>
          <w:szCs w:val="24"/>
          <w:lang w:eastAsia="ru-RU"/>
        </w:rPr>
        <w:t>î</w:t>
      </w:r>
      <w:r w:rsidR="00867726" w:rsidRPr="004D2FF7">
        <w:rPr>
          <w:rFonts w:ascii="Times New Roman" w:eastAsia="Times New Roman" w:hAnsi="Times New Roman" w:cs="Times New Roman"/>
          <w:sz w:val="24"/>
          <w:szCs w:val="24"/>
          <w:lang w:eastAsia="ru-RU"/>
        </w:rPr>
        <w:t>n sumă de 9</w:t>
      </w:r>
      <w:r w:rsidR="000B1925">
        <w:rPr>
          <w:rFonts w:ascii="Times New Roman" w:eastAsia="Times New Roman" w:hAnsi="Times New Roman" w:cs="Times New Roman"/>
          <w:sz w:val="24"/>
          <w:szCs w:val="24"/>
          <w:lang w:eastAsia="ru-RU"/>
        </w:rPr>
        <w:t>.</w:t>
      </w:r>
      <w:r w:rsidR="00867726" w:rsidRPr="004D2FF7">
        <w:rPr>
          <w:rFonts w:ascii="Times New Roman" w:eastAsia="Times New Roman" w:hAnsi="Times New Roman" w:cs="Times New Roman"/>
          <w:sz w:val="24"/>
          <w:szCs w:val="24"/>
          <w:lang w:eastAsia="ru-RU"/>
        </w:rPr>
        <w:t>004,8 mii lei, însă de fapt au fost executate cheltuieli</w:t>
      </w:r>
      <w:r w:rsidR="004414B3">
        <w:rPr>
          <w:rFonts w:ascii="Times New Roman" w:eastAsia="Times New Roman" w:hAnsi="Times New Roman" w:cs="Times New Roman"/>
          <w:sz w:val="24"/>
          <w:szCs w:val="24"/>
          <w:lang w:eastAsia="ru-RU"/>
        </w:rPr>
        <w:t xml:space="preserve"> de doar </w:t>
      </w:r>
      <w:r w:rsidR="00867726" w:rsidRPr="004D2FF7">
        <w:rPr>
          <w:rFonts w:ascii="Times New Roman" w:eastAsia="Times New Roman" w:hAnsi="Times New Roman" w:cs="Times New Roman"/>
          <w:sz w:val="24"/>
          <w:szCs w:val="24"/>
          <w:lang w:eastAsia="ru-RU"/>
        </w:rPr>
        <w:t>4</w:t>
      </w:r>
      <w:r w:rsidR="000B1925">
        <w:rPr>
          <w:rFonts w:ascii="Times New Roman" w:eastAsia="Times New Roman" w:hAnsi="Times New Roman" w:cs="Times New Roman"/>
          <w:sz w:val="24"/>
          <w:szCs w:val="24"/>
          <w:lang w:eastAsia="ru-RU"/>
        </w:rPr>
        <w:t>.</w:t>
      </w:r>
      <w:r w:rsidR="00867726" w:rsidRPr="004D2FF7">
        <w:rPr>
          <w:rFonts w:ascii="Times New Roman" w:eastAsia="Times New Roman" w:hAnsi="Times New Roman" w:cs="Times New Roman"/>
          <w:sz w:val="24"/>
          <w:szCs w:val="24"/>
          <w:lang w:eastAsia="ru-RU"/>
        </w:rPr>
        <w:t>476,5 mii lei</w:t>
      </w:r>
      <w:r w:rsidR="000B1925">
        <w:rPr>
          <w:rFonts w:ascii="Times New Roman" w:eastAsia="Times New Roman" w:hAnsi="Times New Roman" w:cs="Times New Roman"/>
          <w:sz w:val="24"/>
          <w:szCs w:val="24"/>
          <w:lang w:eastAsia="ru-RU"/>
        </w:rPr>
        <w:t>,</w:t>
      </w:r>
      <w:r w:rsidR="00867726" w:rsidRPr="004D2FF7">
        <w:rPr>
          <w:rFonts w:ascii="Times New Roman" w:eastAsia="Times New Roman" w:hAnsi="Times New Roman" w:cs="Times New Roman"/>
          <w:sz w:val="24"/>
          <w:szCs w:val="24"/>
          <w:lang w:eastAsia="ru-RU"/>
        </w:rPr>
        <w:t xml:space="preserve"> sau cu 4</w:t>
      </w:r>
      <w:r w:rsidR="000B1925">
        <w:rPr>
          <w:rFonts w:ascii="Times New Roman" w:eastAsia="Times New Roman" w:hAnsi="Times New Roman" w:cs="Times New Roman"/>
          <w:sz w:val="24"/>
          <w:szCs w:val="24"/>
          <w:lang w:eastAsia="ru-RU"/>
        </w:rPr>
        <w:t>.</w:t>
      </w:r>
      <w:r w:rsidR="00867726" w:rsidRPr="004D2FF7">
        <w:rPr>
          <w:rFonts w:ascii="Times New Roman" w:eastAsia="Times New Roman" w:hAnsi="Times New Roman" w:cs="Times New Roman"/>
          <w:sz w:val="24"/>
          <w:szCs w:val="24"/>
          <w:lang w:eastAsia="ru-RU"/>
        </w:rPr>
        <w:t xml:space="preserve">528,3 mii lei (50,3%) mai puțin decât </w:t>
      </w:r>
      <w:r w:rsidR="004414B3">
        <w:rPr>
          <w:rFonts w:ascii="Times New Roman" w:eastAsia="Times New Roman" w:hAnsi="Times New Roman" w:cs="Times New Roman"/>
          <w:sz w:val="24"/>
          <w:szCs w:val="24"/>
          <w:lang w:eastAsia="ru-RU"/>
        </w:rPr>
        <w:t xml:space="preserve">alocațiile </w:t>
      </w:r>
      <w:r w:rsidR="00867726" w:rsidRPr="004D2FF7">
        <w:rPr>
          <w:rFonts w:ascii="Times New Roman" w:eastAsia="Times New Roman" w:hAnsi="Times New Roman" w:cs="Times New Roman"/>
          <w:sz w:val="24"/>
          <w:szCs w:val="24"/>
          <w:lang w:eastAsia="ru-RU"/>
        </w:rPr>
        <w:t>inițial planificate în bugetele anuale și</w:t>
      </w:r>
      <w:r w:rsidR="000B1925">
        <w:rPr>
          <w:rFonts w:ascii="Times New Roman" w:eastAsia="Times New Roman" w:hAnsi="Times New Roman" w:cs="Times New Roman"/>
          <w:sz w:val="24"/>
          <w:szCs w:val="24"/>
          <w:lang w:eastAsia="ru-RU"/>
        </w:rPr>
        <w:t>,</w:t>
      </w:r>
      <w:r w:rsidR="00867726" w:rsidRPr="004D2FF7">
        <w:rPr>
          <w:rFonts w:ascii="Times New Roman" w:eastAsia="Times New Roman" w:hAnsi="Times New Roman" w:cs="Times New Roman"/>
          <w:sz w:val="24"/>
          <w:szCs w:val="24"/>
          <w:lang w:eastAsia="ru-RU"/>
        </w:rPr>
        <w:t xml:space="preserve"> respectiv</w:t>
      </w:r>
      <w:r w:rsidR="000B1925">
        <w:rPr>
          <w:rFonts w:ascii="Times New Roman" w:eastAsia="Times New Roman" w:hAnsi="Times New Roman" w:cs="Times New Roman"/>
          <w:sz w:val="24"/>
          <w:szCs w:val="24"/>
          <w:lang w:eastAsia="ru-RU"/>
        </w:rPr>
        <w:t>,</w:t>
      </w:r>
      <w:r w:rsidR="00867726" w:rsidRPr="004D2FF7">
        <w:rPr>
          <w:rFonts w:ascii="Times New Roman" w:eastAsia="Times New Roman" w:hAnsi="Times New Roman" w:cs="Times New Roman"/>
          <w:sz w:val="24"/>
          <w:szCs w:val="24"/>
          <w:lang w:eastAsia="ru-RU"/>
        </w:rPr>
        <w:t xml:space="preserve"> cu 2</w:t>
      </w:r>
      <w:r w:rsidR="000B1925">
        <w:rPr>
          <w:rFonts w:ascii="Times New Roman" w:eastAsia="Times New Roman" w:hAnsi="Times New Roman" w:cs="Times New Roman"/>
          <w:sz w:val="24"/>
          <w:szCs w:val="24"/>
          <w:lang w:eastAsia="ru-RU"/>
        </w:rPr>
        <w:t>.</w:t>
      </w:r>
      <w:r w:rsidR="00867726" w:rsidRPr="004D2FF7">
        <w:rPr>
          <w:rFonts w:ascii="Times New Roman" w:eastAsia="Times New Roman" w:hAnsi="Times New Roman" w:cs="Times New Roman"/>
          <w:sz w:val="24"/>
          <w:szCs w:val="24"/>
          <w:lang w:eastAsia="ru-RU"/>
        </w:rPr>
        <w:t xml:space="preserve">975,2 mii lei mai puțin în raport cu alocațiile precizate. </w:t>
      </w:r>
    </w:p>
    <w:p w14:paraId="13B1F6D1" w14:textId="125F6267" w:rsidR="00C6336B" w:rsidRPr="004D2FF7" w:rsidRDefault="00855F6E" w:rsidP="00C434BC">
      <w:pPr>
        <w:spacing w:after="0"/>
        <w:jc w:val="both"/>
        <w:rPr>
          <w:rFonts w:ascii="Times New Roman" w:eastAsia="Times New Roman" w:hAnsi="Times New Roman" w:cs="Times New Roman"/>
          <w:sz w:val="24"/>
          <w:szCs w:val="24"/>
          <w:lang w:eastAsia="ru-RU"/>
        </w:rPr>
      </w:pPr>
      <w:r w:rsidRPr="004D2FF7">
        <w:rPr>
          <w:rFonts w:ascii="Times New Roman" w:hAnsi="Times New Roman" w:cs="Times New Roman"/>
          <w:sz w:val="24"/>
          <w:szCs w:val="24"/>
        </w:rPr>
        <w:t xml:space="preserve">De menționat că </w:t>
      </w:r>
      <w:r w:rsidR="00C6336B" w:rsidRPr="004D2FF7">
        <w:rPr>
          <w:rFonts w:ascii="Times New Roman" w:eastAsia="Times New Roman" w:hAnsi="Times New Roman" w:cs="Times New Roman"/>
          <w:sz w:val="24"/>
          <w:szCs w:val="24"/>
          <w:lang w:eastAsia="ru-RU"/>
        </w:rPr>
        <w:t>la</w:t>
      </w:r>
      <w:r w:rsidR="00B51AFC" w:rsidRPr="004D2FF7">
        <w:rPr>
          <w:rFonts w:ascii="Times New Roman" w:eastAsia="Times New Roman" w:hAnsi="Times New Roman" w:cs="Times New Roman"/>
          <w:sz w:val="24"/>
          <w:szCs w:val="24"/>
          <w:lang w:eastAsia="ru-RU"/>
        </w:rPr>
        <w:t xml:space="preserve"> grupa de conturi 222300</w:t>
      </w:r>
      <w:r w:rsidR="00C6336B" w:rsidRPr="004D2FF7">
        <w:rPr>
          <w:rFonts w:ascii="Times New Roman" w:eastAsia="Times New Roman" w:hAnsi="Times New Roman" w:cs="Times New Roman"/>
          <w:sz w:val="24"/>
          <w:szCs w:val="24"/>
          <w:lang w:eastAsia="ru-RU"/>
        </w:rPr>
        <w:t xml:space="preserve"> </w:t>
      </w:r>
      <w:r w:rsidR="00B51AFC" w:rsidRPr="004D2FF7">
        <w:rPr>
          <w:rFonts w:ascii="Times New Roman" w:eastAsia="Times New Roman" w:hAnsi="Times New Roman" w:cs="Times New Roman"/>
          <w:sz w:val="24"/>
          <w:szCs w:val="24"/>
          <w:lang w:eastAsia="ru-RU"/>
        </w:rPr>
        <w:t>„S</w:t>
      </w:r>
      <w:r w:rsidR="00C6336B" w:rsidRPr="004D2FF7">
        <w:rPr>
          <w:rFonts w:ascii="Times New Roman" w:eastAsia="Times New Roman" w:hAnsi="Times New Roman" w:cs="Times New Roman"/>
          <w:sz w:val="24"/>
          <w:szCs w:val="24"/>
          <w:lang w:eastAsia="ru-RU"/>
        </w:rPr>
        <w:t>ervicii de locațiune</w:t>
      </w:r>
      <w:r w:rsidR="00B51AFC" w:rsidRPr="004D2FF7">
        <w:rPr>
          <w:rFonts w:ascii="Times New Roman" w:eastAsia="Times New Roman" w:hAnsi="Times New Roman" w:cs="Times New Roman"/>
          <w:sz w:val="24"/>
          <w:szCs w:val="24"/>
          <w:lang w:eastAsia="ru-RU"/>
        </w:rPr>
        <w:t>”</w:t>
      </w:r>
      <w:r w:rsidR="00C6336B" w:rsidRPr="004D2FF7">
        <w:rPr>
          <w:rFonts w:ascii="Times New Roman" w:eastAsia="Times New Roman" w:hAnsi="Times New Roman" w:cs="Times New Roman"/>
          <w:sz w:val="24"/>
          <w:szCs w:val="24"/>
          <w:lang w:eastAsia="ru-RU"/>
        </w:rPr>
        <w:t xml:space="preserve"> au fost planificate</w:t>
      </w:r>
      <w:r w:rsidR="004414B3">
        <w:rPr>
          <w:rFonts w:ascii="Times New Roman" w:eastAsia="Times New Roman" w:hAnsi="Times New Roman" w:cs="Times New Roman"/>
          <w:sz w:val="24"/>
          <w:szCs w:val="24"/>
          <w:lang w:eastAsia="ru-RU"/>
        </w:rPr>
        <w:t xml:space="preserve"> alocații de</w:t>
      </w:r>
      <w:r w:rsidR="00C6336B" w:rsidRPr="004D2FF7">
        <w:rPr>
          <w:rFonts w:ascii="Times New Roman" w:eastAsia="Times New Roman" w:hAnsi="Times New Roman" w:cs="Times New Roman"/>
          <w:sz w:val="24"/>
          <w:szCs w:val="24"/>
          <w:lang w:eastAsia="ru-RU"/>
        </w:rPr>
        <w:t xml:space="preserve"> 1</w:t>
      </w:r>
      <w:r w:rsidR="000B1925">
        <w:rPr>
          <w:rFonts w:ascii="Times New Roman" w:eastAsia="Times New Roman" w:hAnsi="Times New Roman" w:cs="Times New Roman"/>
          <w:sz w:val="24"/>
          <w:szCs w:val="24"/>
          <w:lang w:eastAsia="ru-RU"/>
        </w:rPr>
        <w:t>.</w:t>
      </w:r>
      <w:r w:rsidR="00C6336B" w:rsidRPr="004D2FF7">
        <w:rPr>
          <w:rFonts w:ascii="Times New Roman" w:eastAsia="Times New Roman" w:hAnsi="Times New Roman" w:cs="Times New Roman"/>
          <w:sz w:val="24"/>
          <w:szCs w:val="24"/>
          <w:lang w:eastAsia="ru-RU"/>
        </w:rPr>
        <w:t>805,0 mii lei</w:t>
      </w:r>
      <w:r w:rsidR="00B51AFC" w:rsidRPr="004D2FF7">
        <w:rPr>
          <w:rFonts w:ascii="Times New Roman" w:eastAsia="Times New Roman" w:hAnsi="Times New Roman" w:cs="Times New Roman"/>
          <w:sz w:val="24"/>
          <w:szCs w:val="24"/>
          <w:lang w:eastAsia="ru-RU"/>
        </w:rPr>
        <w:t>,</w:t>
      </w:r>
      <w:r w:rsidR="00462BBD" w:rsidRPr="004D2FF7">
        <w:rPr>
          <w:rFonts w:ascii="Times New Roman" w:eastAsia="Times New Roman" w:hAnsi="Times New Roman" w:cs="Times New Roman"/>
          <w:sz w:val="24"/>
          <w:szCs w:val="24"/>
          <w:lang w:eastAsia="ru-RU"/>
        </w:rPr>
        <w:t xml:space="preserve"> însă</w:t>
      </w:r>
      <w:r w:rsidR="00687A14" w:rsidRPr="004D2FF7">
        <w:rPr>
          <w:rFonts w:ascii="Times New Roman" w:eastAsia="Times New Roman" w:hAnsi="Times New Roman" w:cs="Times New Roman"/>
          <w:sz w:val="24"/>
          <w:szCs w:val="24"/>
          <w:lang w:eastAsia="ru-RU"/>
        </w:rPr>
        <w:t xml:space="preserve"> de fapt cheltuielile executate au însumat 960,5 mii lei</w:t>
      </w:r>
      <w:r w:rsidR="000B1925">
        <w:rPr>
          <w:rFonts w:ascii="Times New Roman" w:eastAsia="Times New Roman" w:hAnsi="Times New Roman" w:cs="Times New Roman"/>
          <w:sz w:val="24"/>
          <w:szCs w:val="24"/>
          <w:lang w:eastAsia="ru-RU"/>
        </w:rPr>
        <w:t>,</w:t>
      </w:r>
      <w:r w:rsidR="005A1B02" w:rsidRPr="004D2FF7">
        <w:rPr>
          <w:rFonts w:ascii="Times New Roman" w:eastAsia="Times New Roman" w:hAnsi="Times New Roman" w:cs="Times New Roman"/>
          <w:sz w:val="24"/>
          <w:szCs w:val="24"/>
          <w:lang w:eastAsia="ru-RU"/>
        </w:rPr>
        <w:t xml:space="preserve"> sau </w:t>
      </w:r>
      <w:r w:rsidR="007B5700" w:rsidRPr="004D2FF7">
        <w:rPr>
          <w:rFonts w:ascii="Times New Roman" w:eastAsia="Times New Roman" w:hAnsi="Times New Roman" w:cs="Times New Roman"/>
          <w:sz w:val="24"/>
          <w:szCs w:val="24"/>
          <w:lang w:eastAsia="ru-RU"/>
        </w:rPr>
        <w:t>53,2%</w:t>
      </w:r>
      <w:r w:rsidR="005A1B02" w:rsidRPr="004D2FF7">
        <w:rPr>
          <w:rFonts w:ascii="Times New Roman" w:eastAsia="Times New Roman" w:hAnsi="Times New Roman" w:cs="Times New Roman"/>
          <w:sz w:val="24"/>
          <w:szCs w:val="24"/>
          <w:lang w:eastAsia="ru-RU"/>
        </w:rPr>
        <w:t xml:space="preserve"> din alocațiile planificate</w:t>
      </w:r>
      <w:r w:rsidR="00234635" w:rsidRPr="004D2FF7">
        <w:rPr>
          <w:rFonts w:ascii="Times New Roman" w:eastAsia="Times New Roman" w:hAnsi="Times New Roman" w:cs="Times New Roman"/>
          <w:sz w:val="24"/>
          <w:szCs w:val="24"/>
          <w:lang w:eastAsia="ru-RU"/>
        </w:rPr>
        <w:t>. Restul</w:t>
      </w:r>
      <w:r w:rsidR="00B51AFC" w:rsidRPr="004D2FF7">
        <w:rPr>
          <w:rFonts w:ascii="Times New Roman" w:eastAsia="Times New Roman" w:hAnsi="Times New Roman" w:cs="Times New Roman"/>
          <w:sz w:val="24"/>
          <w:szCs w:val="24"/>
          <w:lang w:eastAsia="ru-RU"/>
        </w:rPr>
        <w:t xml:space="preserve"> mijloacel</w:t>
      </w:r>
      <w:r w:rsidR="00234635" w:rsidRPr="004D2FF7">
        <w:rPr>
          <w:rFonts w:ascii="Times New Roman" w:eastAsia="Times New Roman" w:hAnsi="Times New Roman" w:cs="Times New Roman"/>
          <w:sz w:val="24"/>
          <w:szCs w:val="24"/>
          <w:lang w:eastAsia="ru-RU"/>
        </w:rPr>
        <w:t>or</w:t>
      </w:r>
      <w:r w:rsidR="00A6502C" w:rsidRPr="004D2FF7">
        <w:rPr>
          <w:rFonts w:ascii="Times New Roman" w:eastAsia="Times New Roman" w:hAnsi="Times New Roman" w:cs="Times New Roman"/>
          <w:sz w:val="24"/>
          <w:szCs w:val="24"/>
          <w:lang w:eastAsia="ru-RU"/>
        </w:rPr>
        <w:t xml:space="preserve"> financiare</w:t>
      </w:r>
      <w:r w:rsidR="00B51AFC" w:rsidRPr="004D2FF7">
        <w:rPr>
          <w:rFonts w:ascii="Times New Roman" w:eastAsia="Times New Roman" w:hAnsi="Times New Roman" w:cs="Times New Roman"/>
          <w:sz w:val="24"/>
          <w:szCs w:val="24"/>
          <w:lang w:eastAsia="ru-RU"/>
        </w:rPr>
        <w:t xml:space="preserve"> </w:t>
      </w:r>
      <w:r w:rsidR="00A6502C" w:rsidRPr="004D2FF7">
        <w:rPr>
          <w:rFonts w:ascii="Times New Roman" w:eastAsia="Times New Roman" w:hAnsi="Times New Roman" w:cs="Times New Roman"/>
          <w:sz w:val="24"/>
          <w:szCs w:val="24"/>
          <w:lang w:eastAsia="ru-RU"/>
        </w:rPr>
        <w:t xml:space="preserve">în sumă de 844,5 mii lei </w:t>
      </w:r>
      <w:r w:rsidR="00234635" w:rsidRPr="004D2FF7">
        <w:rPr>
          <w:rFonts w:ascii="Times New Roman" w:eastAsia="Times New Roman" w:hAnsi="Times New Roman" w:cs="Times New Roman"/>
          <w:sz w:val="24"/>
          <w:szCs w:val="24"/>
          <w:lang w:eastAsia="ru-RU"/>
        </w:rPr>
        <w:t>planificate</w:t>
      </w:r>
      <w:r w:rsidR="005A1B02" w:rsidRPr="004D2FF7">
        <w:rPr>
          <w:rFonts w:ascii="Times New Roman" w:eastAsia="Times New Roman" w:hAnsi="Times New Roman" w:cs="Times New Roman"/>
          <w:sz w:val="24"/>
          <w:szCs w:val="24"/>
          <w:lang w:eastAsia="ru-RU"/>
        </w:rPr>
        <w:t xml:space="preserve"> eronat</w:t>
      </w:r>
      <w:r w:rsidR="00234635" w:rsidRPr="004D2FF7">
        <w:rPr>
          <w:rFonts w:ascii="Times New Roman" w:eastAsia="Times New Roman" w:hAnsi="Times New Roman" w:cs="Times New Roman"/>
          <w:sz w:val="24"/>
          <w:szCs w:val="24"/>
          <w:lang w:eastAsia="ru-RU"/>
        </w:rPr>
        <w:t xml:space="preserve"> </w:t>
      </w:r>
      <w:r w:rsidR="00B51AFC" w:rsidRPr="004D2FF7">
        <w:rPr>
          <w:rFonts w:ascii="Times New Roman" w:eastAsia="Times New Roman" w:hAnsi="Times New Roman" w:cs="Times New Roman"/>
          <w:sz w:val="24"/>
          <w:szCs w:val="24"/>
          <w:lang w:eastAsia="ru-RU"/>
        </w:rPr>
        <w:t>au fost distribuite la</w:t>
      </w:r>
      <w:r w:rsidRPr="004D2FF7">
        <w:rPr>
          <w:rFonts w:ascii="Times New Roman" w:eastAsia="Times New Roman" w:hAnsi="Times New Roman" w:cs="Times New Roman"/>
          <w:sz w:val="24"/>
          <w:szCs w:val="24"/>
          <w:lang w:eastAsia="ru-RU"/>
        </w:rPr>
        <w:t xml:space="preserve"> alte grupe de cheltuieli</w:t>
      </w:r>
      <w:r w:rsidR="00B53878" w:rsidRPr="004D2FF7">
        <w:rPr>
          <w:rStyle w:val="FootnoteReference"/>
          <w:rFonts w:ascii="Times New Roman" w:eastAsia="Times New Roman" w:hAnsi="Times New Roman" w:cs="Times New Roman"/>
          <w:sz w:val="24"/>
          <w:szCs w:val="24"/>
          <w:lang w:eastAsia="ru-RU"/>
        </w:rPr>
        <w:footnoteReference w:id="28"/>
      </w:r>
      <w:r w:rsidR="00B53878" w:rsidRPr="004D2FF7">
        <w:rPr>
          <w:rFonts w:ascii="Times New Roman" w:eastAsia="Times New Roman" w:hAnsi="Times New Roman" w:cs="Times New Roman"/>
          <w:sz w:val="24"/>
          <w:szCs w:val="24"/>
          <w:lang w:eastAsia="ru-RU"/>
        </w:rPr>
        <w:t xml:space="preserve"> ori </w:t>
      </w:r>
      <w:r w:rsidR="007B5700" w:rsidRPr="004D2FF7">
        <w:rPr>
          <w:rFonts w:ascii="Times New Roman" w:eastAsia="Times New Roman" w:hAnsi="Times New Roman" w:cs="Times New Roman"/>
          <w:sz w:val="24"/>
          <w:szCs w:val="24"/>
          <w:lang w:eastAsia="ru-RU"/>
        </w:rPr>
        <w:t>nu au fost</w:t>
      </w:r>
      <w:r w:rsidR="00234635" w:rsidRPr="004D2FF7">
        <w:rPr>
          <w:rFonts w:ascii="Times New Roman" w:eastAsia="Times New Roman" w:hAnsi="Times New Roman" w:cs="Times New Roman"/>
          <w:sz w:val="24"/>
          <w:szCs w:val="24"/>
          <w:lang w:eastAsia="ru-RU"/>
        </w:rPr>
        <w:t xml:space="preserve"> </w:t>
      </w:r>
      <w:r w:rsidR="00B53878" w:rsidRPr="004D2FF7">
        <w:rPr>
          <w:rFonts w:ascii="Times New Roman" w:eastAsia="Times New Roman" w:hAnsi="Times New Roman" w:cs="Times New Roman"/>
          <w:sz w:val="24"/>
          <w:szCs w:val="24"/>
          <w:lang w:eastAsia="ru-RU"/>
        </w:rPr>
        <w:t>valorificate</w:t>
      </w:r>
      <w:r w:rsidR="006C263B" w:rsidRPr="004D2FF7">
        <w:rPr>
          <w:rFonts w:ascii="Times New Roman" w:eastAsia="Times New Roman" w:hAnsi="Times New Roman" w:cs="Times New Roman"/>
          <w:sz w:val="24"/>
          <w:szCs w:val="24"/>
          <w:lang w:eastAsia="ru-RU"/>
        </w:rPr>
        <w:t xml:space="preserve"> </w:t>
      </w:r>
      <w:r w:rsidR="001C24E5" w:rsidRPr="004D2FF7">
        <w:rPr>
          <w:rFonts w:ascii="Times New Roman" w:eastAsia="Times New Roman" w:hAnsi="Times New Roman" w:cs="Times New Roman"/>
          <w:sz w:val="24"/>
          <w:szCs w:val="24"/>
          <w:lang w:eastAsia="ru-RU"/>
        </w:rPr>
        <w:t>în</w:t>
      </w:r>
      <w:r w:rsidR="006C263B" w:rsidRPr="004D2FF7">
        <w:rPr>
          <w:rFonts w:ascii="Times New Roman" w:eastAsia="Times New Roman" w:hAnsi="Times New Roman" w:cs="Times New Roman"/>
          <w:sz w:val="24"/>
          <w:szCs w:val="24"/>
          <w:lang w:eastAsia="ru-RU"/>
        </w:rPr>
        <w:t xml:space="preserve"> an</w:t>
      </w:r>
      <w:r w:rsidR="00F90A92" w:rsidRPr="004D2FF7">
        <w:rPr>
          <w:rFonts w:ascii="Times New Roman" w:eastAsia="Times New Roman" w:hAnsi="Times New Roman" w:cs="Times New Roman"/>
          <w:sz w:val="24"/>
          <w:szCs w:val="24"/>
          <w:lang w:eastAsia="ru-RU"/>
        </w:rPr>
        <w:t>ii</w:t>
      </w:r>
      <w:r w:rsidR="006C263B" w:rsidRPr="004D2FF7">
        <w:rPr>
          <w:rFonts w:ascii="Times New Roman" w:eastAsia="Times New Roman" w:hAnsi="Times New Roman" w:cs="Times New Roman"/>
          <w:sz w:val="24"/>
          <w:szCs w:val="24"/>
          <w:lang w:eastAsia="ru-RU"/>
        </w:rPr>
        <w:t xml:space="preserve"> bugetar</w:t>
      </w:r>
      <w:r w:rsidR="00F90A92" w:rsidRPr="004D2FF7">
        <w:rPr>
          <w:rFonts w:ascii="Times New Roman" w:eastAsia="Times New Roman" w:hAnsi="Times New Roman" w:cs="Times New Roman"/>
          <w:sz w:val="24"/>
          <w:szCs w:val="24"/>
          <w:lang w:eastAsia="ru-RU"/>
        </w:rPr>
        <w:t>i</w:t>
      </w:r>
      <w:r w:rsidR="00234635" w:rsidRPr="004D2FF7">
        <w:rPr>
          <w:rFonts w:ascii="Times New Roman" w:eastAsia="Times New Roman" w:hAnsi="Times New Roman" w:cs="Times New Roman"/>
          <w:sz w:val="24"/>
          <w:szCs w:val="24"/>
          <w:lang w:eastAsia="ru-RU"/>
        </w:rPr>
        <w:t xml:space="preserve"> (483,9 mii lei)</w:t>
      </w:r>
      <w:r w:rsidRPr="004D2FF7">
        <w:rPr>
          <w:rFonts w:ascii="Times New Roman" w:eastAsia="Times New Roman" w:hAnsi="Times New Roman" w:cs="Times New Roman"/>
          <w:sz w:val="24"/>
          <w:szCs w:val="24"/>
          <w:lang w:eastAsia="ru-RU"/>
        </w:rPr>
        <w:t xml:space="preserve">. </w:t>
      </w:r>
    </w:p>
    <w:p w14:paraId="2D566DF8" w14:textId="704ED71E" w:rsidR="00A904A9" w:rsidRPr="004D2FF7" w:rsidRDefault="006B0063" w:rsidP="005A1B02">
      <w:pPr>
        <w:spacing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Analogic</w:t>
      </w:r>
      <w:r w:rsidR="000B192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4518F">
        <w:rPr>
          <w:rFonts w:ascii="Times New Roman" w:eastAsia="Times New Roman" w:hAnsi="Times New Roman" w:cs="Times New Roman"/>
          <w:sz w:val="24"/>
          <w:szCs w:val="24"/>
          <w:lang w:eastAsia="ru-RU"/>
        </w:rPr>
        <w:t>cu</w:t>
      </w:r>
      <w:r>
        <w:rPr>
          <w:rFonts w:ascii="Times New Roman" w:eastAsia="Times New Roman" w:hAnsi="Times New Roman" w:cs="Times New Roman"/>
          <w:sz w:val="24"/>
          <w:szCs w:val="24"/>
          <w:lang w:eastAsia="ru-RU"/>
        </w:rPr>
        <w:t xml:space="preserve"> surplus </w:t>
      </w:r>
      <w:r w:rsidR="0006554B" w:rsidRPr="004D2FF7">
        <w:rPr>
          <w:rFonts w:ascii="Times New Roman" w:eastAsia="Times New Roman" w:hAnsi="Times New Roman" w:cs="Times New Roman"/>
          <w:sz w:val="24"/>
          <w:szCs w:val="24"/>
          <w:lang w:eastAsia="ru-RU"/>
        </w:rPr>
        <w:t>au fost planificate și cheltuielile la grupa de conturi 222720 „Deplasări de serviciu peste hotare” în sumă de 2</w:t>
      </w:r>
      <w:r w:rsidR="000B1925">
        <w:rPr>
          <w:rFonts w:ascii="Times New Roman" w:eastAsia="Times New Roman" w:hAnsi="Times New Roman" w:cs="Times New Roman"/>
          <w:sz w:val="24"/>
          <w:szCs w:val="24"/>
          <w:lang w:eastAsia="ru-RU"/>
        </w:rPr>
        <w:t>.</w:t>
      </w:r>
      <w:r w:rsidR="0006554B" w:rsidRPr="004D2FF7">
        <w:rPr>
          <w:rFonts w:ascii="Times New Roman" w:eastAsia="Times New Roman" w:hAnsi="Times New Roman" w:cs="Times New Roman"/>
          <w:sz w:val="24"/>
          <w:szCs w:val="24"/>
          <w:lang w:eastAsia="ru-RU"/>
        </w:rPr>
        <w:t>283,3 mii lei</w:t>
      </w:r>
      <w:r w:rsidR="000B1925">
        <w:rPr>
          <w:rFonts w:ascii="Times New Roman" w:eastAsia="Times New Roman" w:hAnsi="Times New Roman" w:cs="Times New Roman"/>
          <w:sz w:val="24"/>
          <w:szCs w:val="24"/>
          <w:lang w:eastAsia="ru-RU"/>
        </w:rPr>
        <w:t>,</w:t>
      </w:r>
      <w:r w:rsidR="0006554B" w:rsidRPr="004D2FF7">
        <w:rPr>
          <w:rFonts w:ascii="Times New Roman" w:eastAsia="Times New Roman" w:hAnsi="Times New Roman" w:cs="Times New Roman"/>
          <w:sz w:val="24"/>
          <w:szCs w:val="24"/>
          <w:lang w:eastAsia="ru-RU"/>
        </w:rPr>
        <w:t xml:space="preserve"> de fapt </w:t>
      </w:r>
      <w:r w:rsidR="00562962" w:rsidRPr="004D2FF7">
        <w:rPr>
          <w:rFonts w:ascii="Times New Roman" w:eastAsia="Times New Roman" w:hAnsi="Times New Roman" w:cs="Times New Roman"/>
          <w:sz w:val="24"/>
          <w:szCs w:val="24"/>
          <w:lang w:eastAsia="ru-RU"/>
        </w:rPr>
        <w:t xml:space="preserve">în acest scop </w:t>
      </w:r>
      <w:r w:rsidR="0006554B" w:rsidRPr="004D2FF7">
        <w:rPr>
          <w:rFonts w:ascii="Times New Roman" w:eastAsia="Times New Roman" w:hAnsi="Times New Roman" w:cs="Times New Roman"/>
          <w:sz w:val="24"/>
          <w:szCs w:val="24"/>
          <w:lang w:eastAsia="ru-RU"/>
        </w:rPr>
        <w:t>fiind executate cheltuieli în sumă de 1</w:t>
      </w:r>
      <w:r w:rsidR="000B1925">
        <w:rPr>
          <w:rFonts w:ascii="Times New Roman" w:eastAsia="Times New Roman" w:hAnsi="Times New Roman" w:cs="Times New Roman"/>
          <w:sz w:val="24"/>
          <w:szCs w:val="24"/>
          <w:lang w:eastAsia="ru-RU"/>
        </w:rPr>
        <w:t>.</w:t>
      </w:r>
      <w:r w:rsidR="0006554B" w:rsidRPr="004D2FF7">
        <w:rPr>
          <w:rFonts w:ascii="Times New Roman" w:eastAsia="Times New Roman" w:hAnsi="Times New Roman" w:cs="Times New Roman"/>
          <w:sz w:val="24"/>
          <w:szCs w:val="24"/>
          <w:lang w:eastAsia="ru-RU"/>
        </w:rPr>
        <w:t>034,9 mii lei</w:t>
      </w:r>
      <w:r w:rsidR="00562962" w:rsidRPr="004D2FF7">
        <w:rPr>
          <w:rFonts w:ascii="Times New Roman" w:eastAsia="Times New Roman" w:hAnsi="Times New Roman" w:cs="Times New Roman"/>
          <w:sz w:val="24"/>
          <w:szCs w:val="24"/>
          <w:lang w:eastAsia="ru-RU"/>
        </w:rPr>
        <w:t>,</w:t>
      </w:r>
      <w:r w:rsidR="0006554B" w:rsidRPr="004D2FF7">
        <w:rPr>
          <w:rFonts w:ascii="Times New Roman" w:eastAsia="Times New Roman" w:hAnsi="Times New Roman" w:cs="Times New Roman"/>
          <w:sz w:val="24"/>
          <w:szCs w:val="24"/>
          <w:lang w:eastAsia="ru-RU"/>
        </w:rPr>
        <w:t xml:space="preserve"> sau cu 1</w:t>
      </w:r>
      <w:r w:rsidR="000B1925">
        <w:rPr>
          <w:rFonts w:ascii="Times New Roman" w:eastAsia="Times New Roman" w:hAnsi="Times New Roman" w:cs="Times New Roman"/>
          <w:sz w:val="24"/>
          <w:szCs w:val="24"/>
          <w:lang w:eastAsia="ru-RU"/>
        </w:rPr>
        <w:t>.</w:t>
      </w:r>
      <w:r w:rsidR="0006554B" w:rsidRPr="004D2FF7">
        <w:rPr>
          <w:rFonts w:ascii="Times New Roman" w:eastAsia="Times New Roman" w:hAnsi="Times New Roman" w:cs="Times New Roman"/>
          <w:sz w:val="24"/>
          <w:szCs w:val="24"/>
          <w:lang w:eastAsia="ru-RU"/>
        </w:rPr>
        <w:t xml:space="preserve">248,4 </w:t>
      </w:r>
      <w:r w:rsidR="00937A98" w:rsidRPr="004D2FF7">
        <w:rPr>
          <w:rFonts w:ascii="Times New Roman" w:eastAsia="Times New Roman" w:hAnsi="Times New Roman" w:cs="Times New Roman"/>
          <w:sz w:val="24"/>
          <w:szCs w:val="24"/>
          <w:lang w:eastAsia="ru-RU"/>
        </w:rPr>
        <w:t xml:space="preserve">mii lei (54,7%) </w:t>
      </w:r>
      <w:r w:rsidR="0006554B" w:rsidRPr="004D2FF7">
        <w:rPr>
          <w:rFonts w:ascii="Times New Roman" w:eastAsia="Times New Roman" w:hAnsi="Times New Roman" w:cs="Times New Roman"/>
          <w:sz w:val="24"/>
          <w:szCs w:val="24"/>
          <w:lang w:eastAsia="ru-RU"/>
        </w:rPr>
        <w:t xml:space="preserve">mai puțin </w:t>
      </w:r>
      <w:r w:rsidR="00937A98" w:rsidRPr="004D2FF7">
        <w:rPr>
          <w:rFonts w:ascii="Times New Roman" w:eastAsia="Times New Roman" w:hAnsi="Times New Roman" w:cs="Times New Roman"/>
          <w:sz w:val="24"/>
          <w:szCs w:val="24"/>
          <w:lang w:eastAsia="ru-RU"/>
        </w:rPr>
        <w:t>față de</w:t>
      </w:r>
      <w:r w:rsidR="00A6502C" w:rsidRPr="004D2FF7">
        <w:rPr>
          <w:rFonts w:ascii="Times New Roman" w:eastAsia="Times New Roman" w:hAnsi="Times New Roman" w:cs="Times New Roman"/>
          <w:sz w:val="24"/>
          <w:szCs w:val="24"/>
          <w:lang w:eastAsia="ru-RU"/>
        </w:rPr>
        <w:t xml:space="preserve"> necesar</w:t>
      </w:r>
      <w:r w:rsidR="0006554B" w:rsidRPr="004D2FF7">
        <w:rPr>
          <w:rFonts w:ascii="Times New Roman" w:eastAsia="Times New Roman" w:hAnsi="Times New Roman" w:cs="Times New Roman"/>
          <w:sz w:val="24"/>
          <w:szCs w:val="24"/>
          <w:lang w:eastAsia="ru-RU"/>
        </w:rPr>
        <w:t xml:space="preserve">. </w:t>
      </w:r>
    </w:p>
    <w:p w14:paraId="67C585DA" w14:textId="1B9F819A" w:rsidR="002F1725" w:rsidRPr="004D2FF7" w:rsidRDefault="003B2546" w:rsidP="005A1B02">
      <w:pPr>
        <w:spacing w:after="120"/>
        <w:jc w:val="both"/>
        <w:rPr>
          <w:rFonts w:ascii="Times New Roman" w:eastAsia="Times New Roman" w:hAnsi="Times New Roman" w:cs="Times New Roman"/>
          <w:sz w:val="24"/>
          <w:szCs w:val="24"/>
          <w:lang w:eastAsia="ru-RU"/>
        </w:rPr>
      </w:pPr>
      <w:r w:rsidRPr="004D2FF7">
        <w:rPr>
          <w:rFonts w:ascii="Times New Roman" w:eastAsia="Times New Roman" w:hAnsi="Times New Roman" w:cs="Times New Roman"/>
          <w:sz w:val="24"/>
          <w:szCs w:val="24"/>
          <w:lang w:eastAsia="ru-RU"/>
        </w:rPr>
        <w:t>De asemenea</w:t>
      </w:r>
      <w:r w:rsidR="002265AD">
        <w:rPr>
          <w:rFonts w:ascii="Times New Roman" w:eastAsia="Times New Roman" w:hAnsi="Times New Roman" w:cs="Times New Roman"/>
          <w:sz w:val="24"/>
          <w:szCs w:val="24"/>
          <w:lang w:eastAsia="ru-RU"/>
        </w:rPr>
        <w:t>,</w:t>
      </w:r>
      <w:r w:rsidRPr="004D2FF7">
        <w:rPr>
          <w:rFonts w:ascii="Times New Roman" w:eastAsia="Times New Roman" w:hAnsi="Times New Roman" w:cs="Times New Roman"/>
          <w:sz w:val="24"/>
          <w:szCs w:val="24"/>
          <w:lang w:eastAsia="ru-RU"/>
        </w:rPr>
        <w:t xml:space="preserve"> l</w:t>
      </w:r>
      <w:r w:rsidR="002F1725" w:rsidRPr="004D2FF7">
        <w:rPr>
          <w:rFonts w:ascii="Times New Roman" w:eastAsia="Times New Roman" w:hAnsi="Times New Roman" w:cs="Times New Roman"/>
          <w:sz w:val="24"/>
          <w:szCs w:val="24"/>
          <w:lang w:eastAsia="ru-RU"/>
        </w:rPr>
        <w:t>a grupa de conturi 222</w:t>
      </w:r>
      <w:r w:rsidRPr="004D2FF7">
        <w:rPr>
          <w:rFonts w:ascii="Times New Roman" w:eastAsia="Times New Roman" w:hAnsi="Times New Roman" w:cs="Times New Roman"/>
          <w:sz w:val="24"/>
          <w:szCs w:val="24"/>
          <w:lang w:eastAsia="ru-RU"/>
        </w:rPr>
        <w:t>4</w:t>
      </w:r>
      <w:r w:rsidR="002F1725" w:rsidRPr="004D2FF7">
        <w:rPr>
          <w:rFonts w:ascii="Times New Roman" w:eastAsia="Times New Roman" w:hAnsi="Times New Roman" w:cs="Times New Roman"/>
          <w:sz w:val="24"/>
          <w:szCs w:val="24"/>
          <w:lang w:eastAsia="ru-RU"/>
        </w:rPr>
        <w:t>00 „Servicii de transport”</w:t>
      </w:r>
      <w:r w:rsidRPr="004D2FF7">
        <w:rPr>
          <w:rFonts w:ascii="Times New Roman" w:eastAsia="Times New Roman" w:hAnsi="Times New Roman" w:cs="Times New Roman"/>
          <w:sz w:val="24"/>
          <w:szCs w:val="24"/>
          <w:lang w:eastAsia="ru-RU"/>
        </w:rPr>
        <w:t xml:space="preserve"> s</w:t>
      </w:r>
      <w:r w:rsidR="002265AD">
        <w:rPr>
          <w:rFonts w:ascii="Times New Roman" w:eastAsia="Times New Roman" w:hAnsi="Times New Roman" w:cs="Times New Roman"/>
          <w:sz w:val="24"/>
          <w:szCs w:val="24"/>
          <w:lang w:eastAsia="ru-RU"/>
        </w:rPr>
        <w:t>-</w:t>
      </w:r>
      <w:r w:rsidRPr="004D2FF7">
        <w:rPr>
          <w:rFonts w:ascii="Times New Roman" w:eastAsia="Times New Roman" w:hAnsi="Times New Roman" w:cs="Times New Roman"/>
          <w:sz w:val="24"/>
          <w:szCs w:val="24"/>
          <w:lang w:eastAsia="ru-RU"/>
        </w:rPr>
        <w:t>au planificat 84,3 mii lei pentru procurarea abonamentelor în transportul public pentru angajați, însă de fapt</w:t>
      </w:r>
      <w:r w:rsidR="00750E68">
        <w:rPr>
          <w:rFonts w:ascii="Times New Roman" w:eastAsia="Times New Roman" w:hAnsi="Times New Roman" w:cs="Times New Roman"/>
          <w:sz w:val="24"/>
          <w:szCs w:val="24"/>
          <w:lang w:eastAsia="ru-RU"/>
        </w:rPr>
        <w:t xml:space="preserve"> au fost </w:t>
      </w:r>
      <w:r w:rsidRPr="004D2FF7">
        <w:rPr>
          <w:rFonts w:ascii="Times New Roman" w:eastAsia="Times New Roman" w:hAnsi="Times New Roman" w:cs="Times New Roman"/>
          <w:sz w:val="24"/>
          <w:szCs w:val="24"/>
          <w:lang w:eastAsia="ru-RU"/>
        </w:rPr>
        <w:t>cheltuit</w:t>
      </w:r>
      <w:r w:rsidR="00750E68">
        <w:rPr>
          <w:rFonts w:ascii="Times New Roman" w:eastAsia="Times New Roman" w:hAnsi="Times New Roman" w:cs="Times New Roman"/>
          <w:sz w:val="24"/>
          <w:szCs w:val="24"/>
          <w:lang w:eastAsia="ru-RU"/>
        </w:rPr>
        <w:t>e</w:t>
      </w:r>
      <w:r w:rsidRPr="004D2FF7">
        <w:rPr>
          <w:rFonts w:ascii="Times New Roman" w:eastAsia="Times New Roman" w:hAnsi="Times New Roman" w:cs="Times New Roman"/>
          <w:sz w:val="24"/>
          <w:szCs w:val="24"/>
          <w:lang w:eastAsia="ru-RU"/>
        </w:rPr>
        <w:t xml:space="preserve"> 28,8 mii lei, fiind planificat un surplus de mijloace bugetare de 2,9 ori mai mult.  </w:t>
      </w:r>
      <w:r w:rsidR="002F1725" w:rsidRPr="004D2FF7">
        <w:rPr>
          <w:rFonts w:ascii="Times New Roman" w:eastAsia="Times New Roman" w:hAnsi="Times New Roman" w:cs="Times New Roman"/>
          <w:sz w:val="24"/>
          <w:szCs w:val="24"/>
          <w:lang w:eastAsia="ru-RU"/>
        </w:rPr>
        <w:t xml:space="preserve"> </w:t>
      </w:r>
    </w:p>
    <w:p w14:paraId="1FACF655" w14:textId="5CEB4C0F" w:rsidR="00C6336B" w:rsidRPr="004D2FF7" w:rsidRDefault="00F02647" w:rsidP="005A1B02">
      <w:pPr>
        <w:spacing w:after="120"/>
        <w:jc w:val="both"/>
        <w:rPr>
          <w:rFonts w:ascii="Times New Roman" w:eastAsia="Times New Roman" w:hAnsi="Times New Roman" w:cs="Times New Roman"/>
          <w:sz w:val="24"/>
          <w:szCs w:val="24"/>
          <w:lang w:eastAsia="ru-RU"/>
        </w:rPr>
      </w:pPr>
      <w:r w:rsidRPr="004D2FF7">
        <w:rPr>
          <w:rFonts w:ascii="Times New Roman" w:eastAsia="Times New Roman" w:hAnsi="Times New Roman" w:cs="Times New Roman"/>
          <w:sz w:val="24"/>
          <w:szCs w:val="24"/>
          <w:lang w:eastAsia="ru-RU"/>
        </w:rPr>
        <w:t>Analogic</w:t>
      </w:r>
      <w:r w:rsidR="00F1325E" w:rsidRPr="004D2FF7">
        <w:rPr>
          <w:rFonts w:ascii="Times New Roman" w:eastAsia="Times New Roman" w:hAnsi="Times New Roman" w:cs="Times New Roman"/>
          <w:sz w:val="24"/>
          <w:szCs w:val="24"/>
          <w:lang w:eastAsia="ru-RU"/>
        </w:rPr>
        <w:t>,</w:t>
      </w:r>
      <w:r w:rsidRPr="004D2FF7">
        <w:rPr>
          <w:rFonts w:ascii="Times New Roman" w:eastAsia="Times New Roman" w:hAnsi="Times New Roman" w:cs="Times New Roman"/>
          <w:sz w:val="24"/>
          <w:szCs w:val="24"/>
          <w:lang w:eastAsia="ru-RU"/>
        </w:rPr>
        <w:t xml:space="preserve"> </w:t>
      </w:r>
      <w:r w:rsidR="00FF5091" w:rsidRPr="004D2FF7">
        <w:rPr>
          <w:rFonts w:ascii="Times New Roman" w:eastAsia="Times New Roman" w:hAnsi="Times New Roman" w:cs="Times New Roman"/>
          <w:sz w:val="24"/>
          <w:szCs w:val="24"/>
          <w:lang w:eastAsia="ru-RU"/>
        </w:rPr>
        <w:t xml:space="preserve">la capitolul </w:t>
      </w:r>
      <w:r w:rsidR="00F1325E" w:rsidRPr="004D2FF7">
        <w:rPr>
          <w:rFonts w:ascii="Times New Roman" w:eastAsia="Times New Roman" w:hAnsi="Times New Roman" w:cs="Times New Roman"/>
          <w:sz w:val="24"/>
          <w:szCs w:val="24"/>
          <w:lang w:eastAsia="ru-RU"/>
        </w:rPr>
        <w:t>„A</w:t>
      </w:r>
      <w:r w:rsidR="00FF5091" w:rsidRPr="004D2FF7">
        <w:rPr>
          <w:rFonts w:ascii="Times New Roman" w:eastAsia="Times New Roman" w:hAnsi="Times New Roman" w:cs="Times New Roman"/>
          <w:sz w:val="24"/>
          <w:szCs w:val="24"/>
          <w:lang w:eastAsia="ru-RU"/>
        </w:rPr>
        <w:t>ctive nefinanciare</w:t>
      </w:r>
      <w:r w:rsidR="00F1325E" w:rsidRPr="004D2FF7">
        <w:rPr>
          <w:rFonts w:ascii="Times New Roman" w:eastAsia="Times New Roman" w:hAnsi="Times New Roman" w:cs="Times New Roman"/>
          <w:sz w:val="24"/>
          <w:szCs w:val="24"/>
          <w:lang w:eastAsia="ru-RU"/>
        </w:rPr>
        <w:t>”</w:t>
      </w:r>
      <w:r w:rsidR="00ED4C45" w:rsidRPr="004D2FF7">
        <w:rPr>
          <w:rFonts w:ascii="Times New Roman" w:eastAsia="Times New Roman" w:hAnsi="Times New Roman" w:cs="Times New Roman"/>
          <w:sz w:val="24"/>
          <w:szCs w:val="24"/>
          <w:lang w:eastAsia="ru-RU"/>
        </w:rPr>
        <w:t xml:space="preserve"> inițial</w:t>
      </w:r>
      <w:r w:rsidRPr="004D2FF7">
        <w:rPr>
          <w:rFonts w:ascii="Times New Roman" w:eastAsia="Times New Roman" w:hAnsi="Times New Roman" w:cs="Times New Roman"/>
          <w:sz w:val="24"/>
          <w:szCs w:val="24"/>
          <w:lang w:eastAsia="ru-RU"/>
        </w:rPr>
        <w:t xml:space="preserve"> </w:t>
      </w:r>
      <w:r w:rsidR="00FF5091" w:rsidRPr="004D2FF7">
        <w:rPr>
          <w:rFonts w:ascii="Times New Roman" w:eastAsia="Times New Roman" w:hAnsi="Times New Roman" w:cs="Times New Roman"/>
          <w:sz w:val="24"/>
          <w:szCs w:val="24"/>
          <w:lang w:eastAsia="ru-RU"/>
        </w:rPr>
        <w:t xml:space="preserve">au fost </w:t>
      </w:r>
      <w:r w:rsidR="00ED4C45" w:rsidRPr="004D2FF7">
        <w:rPr>
          <w:rFonts w:ascii="Times New Roman" w:eastAsia="Times New Roman" w:hAnsi="Times New Roman" w:cs="Times New Roman"/>
          <w:sz w:val="24"/>
          <w:szCs w:val="24"/>
          <w:lang w:val="ro-RO" w:eastAsia="ru-RU"/>
        </w:rPr>
        <w:t xml:space="preserve">planificate alocații </w:t>
      </w:r>
      <w:r w:rsidR="00ED4C45" w:rsidRPr="004D2FF7">
        <w:rPr>
          <w:rFonts w:ascii="Times New Roman" w:eastAsia="Times New Roman" w:hAnsi="Times New Roman" w:cs="Times New Roman"/>
          <w:sz w:val="24"/>
          <w:szCs w:val="24"/>
          <w:lang w:eastAsia="ru-RU"/>
        </w:rPr>
        <w:t xml:space="preserve">în sumă de </w:t>
      </w:r>
      <w:r w:rsidR="00643D0C" w:rsidRPr="004D2FF7">
        <w:rPr>
          <w:rFonts w:ascii="Times New Roman" w:eastAsia="Times New Roman" w:hAnsi="Times New Roman" w:cs="Times New Roman"/>
          <w:sz w:val="24"/>
          <w:szCs w:val="24"/>
          <w:lang w:eastAsia="ru-RU"/>
        </w:rPr>
        <w:t>2</w:t>
      </w:r>
      <w:r w:rsidR="002265AD">
        <w:rPr>
          <w:rFonts w:ascii="Times New Roman" w:eastAsia="Times New Roman" w:hAnsi="Times New Roman" w:cs="Times New Roman"/>
          <w:sz w:val="24"/>
          <w:szCs w:val="24"/>
          <w:lang w:eastAsia="ru-RU"/>
        </w:rPr>
        <w:t>.</w:t>
      </w:r>
      <w:r w:rsidR="00643D0C" w:rsidRPr="004D2FF7">
        <w:rPr>
          <w:rFonts w:ascii="Times New Roman" w:eastAsia="Times New Roman" w:hAnsi="Times New Roman" w:cs="Times New Roman"/>
          <w:sz w:val="24"/>
          <w:szCs w:val="24"/>
          <w:lang w:eastAsia="ru-RU"/>
        </w:rPr>
        <w:t>278,3</w:t>
      </w:r>
      <w:r w:rsidR="00ED4C45" w:rsidRPr="004D2FF7">
        <w:rPr>
          <w:rFonts w:ascii="Times New Roman" w:eastAsia="Times New Roman" w:hAnsi="Times New Roman" w:cs="Times New Roman"/>
          <w:sz w:val="24"/>
          <w:szCs w:val="24"/>
          <w:lang w:eastAsia="ru-RU"/>
        </w:rPr>
        <w:t xml:space="preserve"> mii lei</w:t>
      </w:r>
      <w:r w:rsidR="002C55E9" w:rsidRPr="004D2FF7">
        <w:rPr>
          <w:rFonts w:ascii="Times New Roman" w:eastAsia="Times New Roman" w:hAnsi="Times New Roman" w:cs="Times New Roman"/>
          <w:sz w:val="24"/>
          <w:szCs w:val="24"/>
          <w:lang w:eastAsia="ru-RU"/>
        </w:rPr>
        <w:t xml:space="preserve">, ulterior </w:t>
      </w:r>
      <w:r w:rsidR="00FF5091" w:rsidRPr="004D2FF7">
        <w:rPr>
          <w:rFonts w:ascii="Times New Roman" w:eastAsia="Times New Roman" w:hAnsi="Times New Roman" w:cs="Times New Roman"/>
          <w:sz w:val="24"/>
          <w:szCs w:val="24"/>
          <w:lang w:eastAsia="ru-RU"/>
        </w:rPr>
        <w:t>precizate</w:t>
      </w:r>
      <w:r w:rsidR="00AB3738" w:rsidRPr="004D2FF7">
        <w:rPr>
          <w:rFonts w:ascii="Times New Roman" w:eastAsia="Times New Roman" w:hAnsi="Times New Roman" w:cs="Times New Roman"/>
          <w:sz w:val="24"/>
          <w:szCs w:val="24"/>
          <w:lang w:eastAsia="ru-RU"/>
        </w:rPr>
        <w:t xml:space="preserve"> și majorate</w:t>
      </w:r>
      <w:r w:rsidR="00FF5091" w:rsidRPr="004D2FF7">
        <w:rPr>
          <w:rFonts w:ascii="Times New Roman" w:eastAsia="Times New Roman" w:hAnsi="Times New Roman" w:cs="Times New Roman"/>
          <w:sz w:val="24"/>
          <w:szCs w:val="24"/>
          <w:lang w:eastAsia="ru-RU"/>
        </w:rPr>
        <w:t xml:space="preserve"> în sumă de 3</w:t>
      </w:r>
      <w:r w:rsidR="002265AD">
        <w:rPr>
          <w:rFonts w:ascii="Times New Roman" w:eastAsia="Times New Roman" w:hAnsi="Times New Roman" w:cs="Times New Roman"/>
          <w:sz w:val="24"/>
          <w:szCs w:val="24"/>
          <w:lang w:eastAsia="ru-RU"/>
        </w:rPr>
        <w:t>.</w:t>
      </w:r>
      <w:r w:rsidR="00FF5091" w:rsidRPr="004D2FF7">
        <w:rPr>
          <w:rFonts w:ascii="Times New Roman" w:eastAsia="Times New Roman" w:hAnsi="Times New Roman" w:cs="Times New Roman"/>
          <w:sz w:val="24"/>
          <w:szCs w:val="24"/>
          <w:lang w:eastAsia="ru-RU"/>
        </w:rPr>
        <w:t>990,3 mii lei</w:t>
      </w:r>
      <w:r w:rsidR="00AB3738" w:rsidRPr="004D2FF7">
        <w:rPr>
          <w:rFonts w:ascii="Times New Roman" w:eastAsia="Times New Roman" w:hAnsi="Times New Roman" w:cs="Times New Roman"/>
          <w:sz w:val="24"/>
          <w:szCs w:val="24"/>
          <w:lang w:eastAsia="ru-RU"/>
        </w:rPr>
        <w:t>,</w:t>
      </w:r>
      <w:r w:rsidR="00651392" w:rsidRPr="004D2FF7">
        <w:rPr>
          <w:rFonts w:ascii="Times New Roman" w:eastAsia="Times New Roman" w:hAnsi="Times New Roman" w:cs="Times New Roman"/>
          <w:sz w:val="24"/>
          <w:szCs w:val="24"/>
          <w:lang w:eastAsia="ru-RU"/>
        </w:rPr>
        <w:t xml:space="preserve"> sau cu 1</w:t>
      </w:r>
      <w:r w:rsidR="002265AD">
        <w:rPr>
          <w:rFonts w:ascii="Times New Roman" w:eastAsia="Times New Roman" w:hAnsi="Times New Roman" w:cs="Times New Roman"/>
          <w:sz w:val="24"/>
          <w:szCs w:val="24"/>
          <w:lang w:eastAsia="ru-RU"/>
        </w:rPr>
        <w:t>.</w:t>
      </w:r>
      <w:r w:rsidR="00651392" w:rsidRPr="004D2FF7">
        <w:rPr>
          <w:rFonts w:ascii="Times New Roman" w:eastAsia="Times New Roman" w:hAnsi="Times New Roman" w:cs="Times New Roman"/>
          <w:sz w:val="24"/>
          <w:szCs w:val="24"/>
          <w:lang w:eastAsia="ru-RU"/>
        </w:rPr>
        <w:t>712,0 mii lei (75,1%) mai mult,</w:t>
      </w:r>
      <w:r w:rsidR="002C55E9" w:rsidRPr="004D2FF7">
        <w:rPr>
          <w:rFonts w:ascii="Times New Roman" w:eastAsia="Times New Roman" w:hAnsi="Times New Roman" w:cs="Times New Roman"/>
          <w:sz w:val="24"/>
          <w:szCs w:val="24"/>
          <w:lang w:eastAsia="ru-RU"/>
        </w:rPr>
        <w:t xml:space="preserve"> </w:t>
      </w:r>
      <w:r w:rsidR="00643D0C" w:rsidRPr="004D2FF7">
        <w:rPr>
          <w:rFonts w:ascii="Times New Roman" w:eastAsia="Times New Roman" w:hAnsi="Times New Roman" w:cs="Times New Roman"/>
          <w:sz w:val="24"/>
          <w:szCs w:val="24"/>
          <w:lang w:eastAsia="ru-RU"/>
        </w:rPr>
        <w:t xml:space="preserve">însă de fapt </w:t>
      </w:r>
      <w:r w:rsidR="002C55E9" w:rsidRPr="004D2FF7">
        <w:rPr>
          <w:rFonts w:ascii="Times New Roman" w:eastAsia="Times New Roman" w:hAnsi="Times New Roman" w:cs="Times New Roman"/>
          <w:sz w:val="24"/>
          <w:szCs w:val="24"/>
          <w:lang w:eastAsia="ru-RU"/>
        </w:rPr>
        <w:t>cheltuielile e</w:t>
      </w:r>
      <w:r w:rsidR="000425E9" w:rsidRPr="004D2FF7">
        <w:rPr>
          <w:rFonts w:ascii="Times New Roman" w:eastAsia="Times New Roman" w:hAnsi="Times New Roman" w:cs="Times New Roman"/>
          <w:sz w:val="24"/>
          <w:szCs w:val="24"/>
          <w:lang w:eastAsia="ru-RU"/>
        </w:rPr>
        <w:t>xecutate</w:t>
      </w:r>
      <w:r w:rsidR="002C55E9" w:rsidRPr="004D2FF7">
        <w:rPr>
          <w:rFonts w:ascii="Times New Roman" w:eastAsia="Times New Roman" w:hAnsi="Times New Roman" w:cs="Times New Roman"/>
          <w:sz w:val="24"/>
          <w:szCs w:val="24"/>
          <w:lang w:eastAsia="ru-RU"/>
        </w:rPr>
        <w:t xml:space="preserve"> au însumat </w:t>
      </w:r>
      <w:r w:rsidR="00AB3738" w:rsidRPr="004D2FF7">
        <w:rPr>
          <w:rFonts w:ascii="Times New Roman" w:eastAsia="Times New Roman" w:hAnsi="Times New Roman" w:cs="Times New Roman"/>
          <w:sz w:val="24"/>
          <w:szCs w:val="24"/>
          <w:lang w:eastAsia="ru-RU"/>
        </w:rPr>
        <w:t>2</w:t>
      </w:r>
      <w:r w:rsidR="002265AD">
        <w:rPr>
          <w:rFonts w:ascii="Times New Roman" w:eastAsia="Times New Roman" w:hAnsi="Times New Roman" w:cs="Times New Roman"/>
          <w:sz w:val="24"/>
          <w:szCs w:val="24"/>
          <w:lang w:eastAsia="ru-RU"/>
        </w:rPr>
        <w:t>.</w:t>
      </w:r>
      <w:r w:rsidR="00AB3738" w:rsidRPr="004D2FF7">
        <w:rPr>
          <w:rFonts w:ascii="Times New Roman" w:eastAsia="Times New Roman" w:hAnsi="Times New Roman" w:cs="Times New Roman"/>
          <w:sz w:val="24"/>
          <w:szCs w:val="24"/>
          <w:lang w:eastAsia="ru-RU"/>
        </w:rPr>
        <w:t>813,6</w:t>
      </w:r>
      <w:r w:rsidR="002C55E9" w:rsidRPr="004D2FF7">
        <w:rPr>
          <w:rFonts w:ascii="Times New Roman" w:eastAsia="Times New Roman" w:hAnsi="Times New Roman" w:cs="Times New Roman"/>
          <w:sz w:val="24"/>
          <w:szCs w:val="24"/>
          <w:lang w:eastAsia="ru-RU"/>
        </w:rPr>
        <w:t xml:space="preserve"> mii lei</w:t>
      </w:r>
      <w:r w:rsidR="002265AD">
        <w:rPr>
          <w:rFonts w:ascii="Times New Roman" w:eastAsia="Times New Roman" w:hAnsi="Times New Roman" w:cs="Times New Roman"/>
          <w:sz w:val="24"/>
          <w:szCs w:val="24"/>
          <w:lang w:eastAsia="ru-RU"/>
        </w:rPr>
        <w:t>,</w:t>
      </w:r>
      <w:r w:rsidR="00643D0C" w:rsidRPr="004D2FF7">
        <w:rPr>
          <w:rFonts w:ascii="Times New Roman" w:eastAsia="Times New Roman" w:hAnsi="Times New Roman" w:cs="Times New Roman"/>
          <w:sz w:val="24"/>
          <w:szCs w:val="24"/>
          <w:lang w:eastAsia="ru-RU"/>
        </w:rPr>
        <w:t xml:space="preserve"> </w:t>
      </w:r>
      <w:r w:rsidR="00AB3738" w:rsidRPr="004D2FF7">
        <w:rPr>
          <w:rFonts w:ascii="Times New Roman" w:eastAsia="Times New Roman" w:hAnsi="Times New Roman" w:cs="Times New Roman"/>
          <w:sz w:val="24"/>
          <w:szCs w:val="24"/>
          <w:lang w:eastAsia="ru-RU"/>
        </w:rPr>
        <w:t>sau cu 1</w:t>
      </w:r>
      <w:r w:rsidR="002265AD">
        <w:rPr>
          <w:rFonts w:ascii="Times New Roman" w:eastAsia="Times New Roman" w:hAnsi="Times New Roman" w:cs="Times New Roman"/>
          <w:sz w:val="24"/>
          <w:szCs w:val="24"/>
          <w:lang w:eastAsia="ru-RU"/>
        </w:rPr>
        <w:t>.</w:t>
      </w:r>
      <w:r w:rsidR="00AB3738" w:rsidRPr="004D2FF7">
        <w:rPr>
          <w:rFonts w:ascii="Times New Roman" w:eastAsia="Times New Roman" w:hAnsi="Times New Roman" w:cs="Times New Roman"/>
          <w:sz w:val="24"/>
          <w:szCs w:val="24"/>
          <w:lang w:eastAsia="ru-RU"/>
        </w:rPr>
        <w:t xml:space="preserve">176,7 mii lei (51,6%) mai puțin </w:t>
      </w:r>
      <w:r w:rsidRPr="004D2FF7">
        <w:rPr>
          <w:rFonts w:ascii="Times New Roman" w:eastAsia="Times New Roman" w:hAnsi="Times New Roman" w:cs="Times New Roman"/>
          <w:sz w:val="24"/>
          <w:szCs w:val="24"/>
          <w:lang w:eastAsia="ru-RU"/>
        </w:rPr>
        <w:t>decât</w:t>
      </w:r>
      <w:r w:rsidR="00AB3738" w:rsidRPr="004D2FF7">
        <w:rPr>
          <w:rFonts w:ascii="Times New Roman" w:eastAsia="Times New Roman" w:hAnsi="Times New Roman" w:cs="Times New Roman"/>
          <w:sz w:val="24"/>
          <w:szCs w:val="24"/>
          <w:lang w:eastAsia="ru-RU"/>
        </w:rPr>
        <w:t xml:space="preserve"> suma planificată. </w:t>
      </w:r>
      <w:r w:rsidR="00651392" w:rsidRPr="004D2FF7">
        <w:rPr>
          <w:rFonts w:ascii="Times New Roman" w:eastAsia="Times New Roman" w:hAnsi="Times New Roman" w:cs="Times New Roman"/>
          <w:sz w:val="24"/>
          <w:szCs w:val="24"/>
          <w:lang w:eastAsia="ru-RU"/>
        </w:rPr>
        <w:t>Astfel, e</w:t>
      </w:r>
      <w:r w:rsidR="005E31E4" w:rsidRPr="004D2FF7">
        <w:rPr>
          <w:rFonts w:ascii="Times New Roman" w:eastAsia="Times New Roman" w:hAnsi="Times New Roman" w:cs="Times New Roman"/>
          <w:sz w:val="24"/>
          <w:szCs w:val="24"/>
          <w:lang w:eastAsia="ru-RU"/>
        </w:rPr>
        <w:t>xagerat au fost planificate cheltuielile la grupa de conturi 331110 „</w:t>
      </w:r>
      <w:r w:rsidR="00F81701">
        <w:rPr>
          <w:rFonts w:ascii="Times New Roman" w:eastAsia="Times New Roman" w:hAnsi="Times New Roman" w:cs="Times New Roman"/>
          <w:sz w:val="24"/>
          <w:szCs w:val="24"/>
          <w:lang w:eastAsia="ru-RU"/>
        </w:rPr>
        <w:t>Carburanți</w:t>
      </w:r>
      <w:r w:rsidR="002265AD">
        <w:rPr>
          <w:rFonts w:ascii="Times New Roman" w:eastAsia="Times New Roman" w:hAnsi="Times New Roman" w:cs="Times New Roman"/>
          <w:sz w:val="24"/>
          <w:szCs w:val="24"/>
          <w:lang w:eastAsia="ru-RU"/>
        </w:rPr>
        <w:t>,</w:t>
      </w:r>
      <w:r w:rsidR="005E31E4" w:rsidRPr="004D2FF7">
        <w:rPr>
          <w:rFonts w:ascii="Times New Roman" w:eastAsia="Times New Roman" w:hAnsi="Times New Roman" w:cs="Times New Roman"/>
          <w:sz w:val="24"/>
          <w:szCs w:val="24"/>
          <w:lang w:eastAsia="ru-RU"/>
        </w:rPr>
        <w:t xml:space="preserve"> carburanți și lubrifianți” în sumă de 643,7 mii lei, de fapt fiind valorificate numai 242,1 mii lei din suma planificată</w:t>
      </w:r>
      <w:r w:rsidR="002265AD">
        <w:rPr>
          <w:rFonts w:ascii="Times New Roman" w:eastAsia="Times New Roman" w:hAnsi="Times New Roman" w:cs="Times New Roman"/>
          <w:sz w:val="24"/>
          <w:szCs w:val="24"/>
          <w:lang w:eastAsia="ru-RU"/>
        </w:rPr>
        <w:t>,</w:t>
      </w:r>
      <w:r w:rsidR="005E31E4" w:rsidRPr="004D2FF7">
        <w:rPr>
          <w:rFonts w:ascii="Times New Roman" w:eastAsia="Times New Roman" w:hAnsi="Times New Roman" w:cs="Times New Roman"/>
          <w:sz w:val="24"/>
          <w:szCs w:val="24"/>
          <w:lang w:eastAsia="ru-RU"/>
        </w:rPr>
        <w:t xml:space="preserve"> sau cu 401,6 mii lei (62,4%) mai puțin față</w:t>
      </w:r>
      <w:r w:rsidR="000425E9" w:rsidRPr="004D2FF7">
        <w:rPr>
          <w:rFonts w:ascii="Times New Roman" w:eastAsia="Times New Roman" w:hAnsi="Times New Roman" w:cs="Times New Roman"/>
          <w:sz w:val="24"/>
          <w:szCs w:val="24"/>
          <w:lang w:eastAsia="ru-RU"/>
        </w:rPr>
        <w:t xml:space="preserve"> de</w:t>
      </w:r>
      <w:r w:rsidR="005E31E4" w:rsidRPr="004D2FF7">
        <w:rPr>
          <w:rFonts w:ascii="Times New Roman" w:eastAsia="Times New Roman" w:hAnsi="Times New Roman" w:cs="Times New Roman"/>
          <w:sz w:val="24"/>
          <w:szCs w:val="24"/>
          <w:lang w:eastAsia="ru-RU"/>
        </w:rPr>
        <w:t xml:space="preserve"> necesar</w:t>
      </w:r>
      <w:r w:rsidRPr="004D2FF7">
        <w:rPr>
          <w:rFonts w:ascii="Times New Roman" w:eastAsia="Times New Roman" w:hAnsi="Times New Roman" w:cs="Times New Roman"/>
          <w:sz w:val="24"/>
          <w:szCs w:val="24"/>
          <w:lang w:eastAsia="ru-RU"/>
        </w:rPr>
        <w:t>ul planificat</w:t>
      </w:r>
      <w:r w:rsidR="005E31E4" w:rsidRPr="004D2FF7">
        <w:rPr>
          <w:rFonts w:ascii="Times New Roman" w:eastAsia="Times New Roman" w:hAnsi="Times New Roman" w:cs="Times New Roman"/>
          <w:sz w:val="24"/>
          <w:szCs w:val="24"/>
          <w:lang w:eastAsia="ru-RU"/>
        </w:rPr>
        <w:t>.</w:t>
      </w:r>
      <w:r w:rsidR="001B7DB5" w:rsidRPr="004D2FF7">
        <w:rPr>
          <w:rFonts w:ascii="Times New Roman" w:eastAsia="Times New Roman" w:hAnsi="Times New Roman" w:cs="Times New Roman"/>
          <w:sz w:val="24"/>
          <w:szCs w:val="24"/>
          <w:lang w:eastAsia="ru-RU"/>
        </w:rPr>
        <w:t xml:space="preserve"> D</w:t>
      </w:r>
      <w:r w:rsidR="00AB3738" w:rsidRPr="004D2FF7">
        <w:rPr>
          <w:rFonts w:ascii="Times New Roman" w:eastAsia="Times New Roman" w:hAnsi="Times New Roman" w:cs="Times New Roman"/>
          <w:sz w:val="24"/>
          <w:szCs w:val="24"/>
          <w:lang w:eastAsia="ru-RU"/>
        </w:rPr>
        <w:t>evieri</w:t>
      </w:r>
      <w:r w:rsidR="001B7DB5" w:rsidRPr="004D2FF7">
        <w:rPr>
          <w:rFonts w:ascii="Times New Roman" w:eastAsia="Times New Roman" w:hAnsi="Times New Roman" w:cs="Times New Roman"/>
          <w:sz w:val="24"/>
          <w:szCs w:val="24"/>
          <w:lang w:eastAsia="ru-RU"/>
        </w:rPr>
        <w:t xml:space="preserve"> semnificative</w:t>
      </w:r>
      <w:r w:rsidR="00AB3738" w:rsidRPr="004D2FF7">
        <w:rPr>
          <w:rFonts w:ascii="Times New Roman" w:eastAsia="Times New Roman" w:hAnsi="Times New Roman" w:cs="Times New Roman"/>
          <w:sz w:val="24"/>
          <w:szCs w:val="24"/>
          <w:lang w:eastAsia="ru-RU"/>
        </w:rPr>
        <w:t xml:space="preserve"> au fost stabilite la</w:t>
      </w:r>
      <w:r w:rsidR="005E31E4" w:rsidRPr="004D2FF7">
        <w:rPr>
          <w:rFonts w:ascii="Times New Roman" w:eastAsia="Times New Roman" w:hAnsi="Times New Roman" w:cs="Times New Roman"/>
          <w:sz w:val="24"/>
          <w:szCs w:val="24"/>
          <w:lang w:eastAsia="ru-RU"/>
        </w:rPr>
        <w:t xml:space="preserve"> grupa de conturi 317110 „P</w:t>
      </w:r>
      <w:r w:rsidR="00AB3738" w:rsidRPr="004D2FF7">
        <w:rPr>
          <w:rFonts w:ascii="Times New Roman" w:eastAsia="Times New Roman" w:hAnsi="Times New Roman" w:cs="Times New Roman"/>
          <w:sz w:val="24"/>
          <w:szCs w:val="24"/>
          <w:lang w:eastAsia="ru-RU"/>
        </w:rPr>
        <w:t>rocurarea activelor nemateriale</w:t>
      </w:r>
      <w:r w:rsidR="005E31E4" w:rsidRPr="004D2FF7">
        <w:rPr>
          <w:rFonts w:ascii="Times New Roman" w:eastAsia="Times New Roman" w:hAnsi="Times New Roman" w:cs="Times New Roman"/>
          <w:sz w:val="24"/>
          <w:szCs w:val="24"/>
          <w:lang w:eastAsia="ru-RU"/>
        </w:rPr>
        <w:t>”</w:t>
      </w:r>
      <w:r w:rsidR="00AB3738" w:rsidRPr="004D2FF7">
        <w:rPr>
          <w:rStyle w:val="FootnoteReference"/>
          <w:rFonts w:ascii="Times New Roman" w:eastAsia="Times New Roman" w:hAnsi="Times New Roman" w:cs="Times New Roman"/>
          <w:sz w:val="24"/>
          <w:szCs w:val="24"/>
          <w:lang w:eastAsia="ru-RU"/>
        </w:rPr>
        <w:footnoteReference w:id="29"/>
      </w:r>
      <w:r w:rsidR="00AB3738" w:rsidRPr="004D2FF7">
        <w:rPr>
          <w:rFonts w:ascii="Times New Roman" w:eastAsia="Times New Roman" w:hAnsi="Times New Roman" w:cs="Times New Roman"/>
          <w:sz w:val="24"/>
          <w:szCs w:val="24"/>
          <w:lang w:eastAsia="ru-RU"/>
        </w:rPr>
        <w:t xml:space="preserve"> și </w:t>
      </w:r>
      <w:r w:rsidR="005E31E4" w:rsidRPr="004D2FF7">
        <w:rPr>
          <w:rFonts w:ascii="Times New Roman" w:eastAsia="Times New Roman" w:hAnsi="Times New Roman" w:cs="Times New Roman"/>
          <w:sz w:val="24"/>
          <w:szCs w:val="24"/>
          <w:lang w:eastAsia="ru-RU"/>
        </w:rPr>
        <w:t xml:space="preserve">la grupa de conturi 314110 </w:t>
      </w:r>
      <w:r w:rsidRPr="004D2FF7">
        <w:rPr>
          <w:rFonts w:ascii="Times New Roman" w:eastAsia="Times New Roman" w:hAnsi="Times New Roman" w:cs="Times New Roman"/>
          <w:sz w:val="24"/>
          <w:szCs w:val="24"/>
          <w:lang w:eastAsia="ru-RU"/>
        </w:rPr>
        <w:t>„</w:t>
      </w:r>
      <w:r w:rsidR="005E31E4" w:rsidRPr="004D2FF7">
        <w:rPr>
          <w:rFonts w:ascii="Times New Roman" w:eastAsia="Times New Roman" w:hAnsi="Times New Roman" w:cs="Times New Roman"/>
          <w:sz w:val="24"/>
          <w:szCs w:val="24"/>
          <w:lang w:eastAsia="ru-RU"/>
        </w:rPr>
        <w:t>Procurarea mașinilor și utilajelor</w:t>
      </w:r>
      <w:r w:rsidRPr="004D2FF7">
        <w:rPr>
          <w:rFonts w:ascii="Times New Roman" w:eastAsia="Times New Roman" w:hAnsi="Times New Roman" w:cs="Times New Roman"/>
          <w:sz w:val="24"/>
          <w:szCs w:val="24"/>
          <w:lang w:eastAsia="ru-RU"/>
        </w:rPr>
        <w:t>”</w:t>
      </w:r>
      <w:r w:rsidR="005E31E4" w:rsidRPr="004D2FF7">
        <w:rPr>
          <w:rStyle w:val="FootnoteReference"/>
          <w:rFonts w:ascii="Times New Roman" w:eastAsia="Times New Roman" w:hAnsi="Times New Roman" w:cs="Times New Roman"/>
          <w:sz w:val="24"/>
          <w:szCs w:val="24"/>
          <w:lang w:eastAsia="ru-RU"/>
        </w:rPr>
        <w:footnoteReference w:id="30"/>
      </w:r>
      <w:r w:rsidR="005E31E4" w:rsidRPr="004D2FF7">
        <w:rPr>
          <w:rFonts w:ascii="Times New Roman" w:eastAsia="Times New Roman" w:hAnsi="Times New Roman" w:cs="Times New Roman"/>
          <w:sz w:val="24"/>
          <w:szCs w:val="24"/>
          <w:lang w:eastAsia="ru-RU"/>
        </w:rPr>
        <w:t>,</w:t>
      </w:r>
      <w:r w:rsidR="001B7DB5" w:rsidRPr="004D2FF7">
        <w:rPr>
          <w:rFonts w:ascii="Times New Roman" w:eastAsia="Times New Roman" w:hAnsi="Times New Roman" w:cs="Times New Roman"/>
          <w:sz w:val="24"/>
          <w:szCs w:val="24"/>
          <w:lang w:eastAsia="ru-RU"/>
        </w:rPr>
        <w:t xml:space="preserve"> per ansamblu</w:t>
      </w:r>
      <w:r w:rsidR="005E31E4" w:rsidRPr="004D2FF7">
        <w:rPr>
          <w:rFonts w:ascii="Times New Roman" w:eastAsia="Times New Roman" w:hAnsi="Times New Roman" w:cs="Times New Roman"/>
          <w:noProof/>
          <w:sz w:val="24"/>
          <w:szCs w:val="24"/>
        </w:rPr>
        <w:t xml:space="preserve"> </w:t>
      </w:r>
      <w:r w:rsidR="000425E9" w:rsidRPr="004D2FF7">
        <w:rPr>
          <w:rFonts w:ascii="Times New Roman" w:hAnsi="Times New Roman" w:cs="Times New Roman"/>
          <w:sz w:val="24"/>
          <w:szCs w:val="24"/>
        </w:rPr>
        <w:t>atestându</w:t>
      </w:r>
      <w:r w:rsidR="005E31E4" w:rsidRPr="004D2FF7">
        <w:rPr>
          <w:rFonts w:ascii="Times New Roman" w:hAnsi="Times New Roman" w:cs="Times New Roman"/>
          <w:sz w:val="24"/>
          <w:szCs w:val="24"/>
        </w:rPr>
        <w:t xml:space="preserve">-se o planificare </w:t>
      </w:r>
      <w:r w:rsidR="00DD183A" w:rsidRPr="004D2FF7">
        <w:rPr>
          <w:rFonts w:ascii="Times New Roman" w:hAnsi="Times New Roman" w:cs="Times New Roman"/>
          <w:sz w:val="24"/>
          <w:szCs w:val="24"/>
        </w:rPr>
        <w:t>inexactă</w:t>
      </w:r>
      <w:r w:rsidR="005E31E4" w:rsidRPr="004D2FF7">
        <w:rPr>
          <w:rFonts w:ascii="Times New Roman" w:eastAsia="Times New Roman" w:hAnsi="Times New Roman" w:cs="Times New Roman"/>
          <w:sz w:val="24"/>
          <w:szCs w:val="24"/>
          <w:lang w:eastAsia="ru-RU"/>
        </w:rPr>
        <w:t>.</w:t>
      </w:r>
    </w:p>
    <w:p w14:paraId="4972D134" w14:textId="2D6E7A57" w:rsidR="00827D0D" w:rsidRPr="004D2FF7" w:rsidRDefault="00750E68" w:rsidP="00684011">
      <w:pPr>
        <w:spacing w:after="120"/>
        <w:jc w:val="both"/>
        <w:rPr>
          <w:rFonts w:ascii="Times New Roman" w:hAnsi="Times New Roman" w:cs="Times New Roman"/>
          <w:color w:val="000000" w:themeColor="text1"/>
          <w:sz w:val="24"/>
          <w:szCs w:val="24"/>
        </w:rPr>
      </w:pPr>
      <w:r>
        <w:rPr>
          <w:rFonts w:ascii="Times New Roman" w:hAnsi="Times New Roman" w:cs="Times New Roman"/>
          <w:sz w:val="24"/>
          <w:szCs w:val="24"/>
        </w:rPr>
        <w:t>Astfel, auditul</w:t>
      </w:r>
      <w:r w:rsidR="00827D0D" w:rsidRPr="004D2FF7">
        <w:rPr>
          <w:rFonts w:ascii="Times New Roman" w:hAnsi="Times New Roman" w:cs="Times New Roman"/>
          <w:sz w:val="24"/>
          <w:szCs w:val="24"/>
        </w:rPr>
        <w:t xml:space="preserve"> relevă că în anii 2018-2022, per total, </w:t>
      </w:r>
      <w:r w:rsidR="002265AD">
        <w:rPr>
          <w:rFonts w:ascii="Times New Roman" w:hAnsi="Times New Roman" w:cs="Times New Roman"/>
          <w:sz w:val="24"/>
          <w:szCs w:val="24"/>
        </w:rPr>
        <w:t xml:space="preserve">ca </w:t>
      </w:r>
      <w:r>
        <w:rPr>
          <w:rFonts w:ascii="Times New Roman" w:hAnsi="Times New Roman" w:cs="Times New Roman"/>
          <w:sz w:val="24"/>
          <w:szCs w:val="24"/>
        </w:rPr>
        <w:t xml:space="preserve">urmare </w:t>
      </w:r>
      <w:r w:rsidR="002265AD">
        <w:rPr>
          <w:rFonts w:ascii="Times New Roman" w:hAnsi="Times New Roman" w:cs="Times New Roman"/>
          <w:sz w:val="24"/>
          <w:szCs w:val="24"/>
        </w:rPr>
        <w:t xml:space="preserve">a </w:t>
      </w:r>
      <w:r>
        <w:rPr>
          <w:rFonts w:ascii="Times New Roman" w:hAnsi="Times New Roman" w:cs="Times New Roman"/>
          <w:sz w:val="24"/>
          <w:szCs w:val="24"/>
        </w:rPr>
        <w:t>unei planificări exagerate</w:t>
      </w:r>
      <w:r w:rsidR="002265AD">
        <w:rPr>
          <w:rFonts w:ascii="Times New Roman" w:hAnsi="Times New Roman" w:cs="Times New Roman"/>
          <w:sz w:val="24"/>
          <w:szCs w:val="24"/>
        </w:rPr>
        <w:t>,</w:t>
      </w:r>
      <w:r>
        <w:rPr>
          <w:rFonts w:ascii="Times New Roman" w:hAnsi="Times New Roman" w:cs="Times New Roman"/>
          <w:sz w:val="24"/>
          <w:szCs w:val="24"/>
        </w:rPr>
        <w:t xml:space="preserve"> </w:t>
      </w:r>
      <w:r w:rsidR="00955172" w:rsidRPr="004D2FF7">
        <w:rPr>
          <w:rFonts w:ascii="Times New Roman" w:hAnsi="Times New Roman" w:cs="Times New Roman"/>
          <w:sz w:val="24"/>
          <w:szCs w:val="24"/>
        </w:rPr>
        <w:t>cheltuielile</w:t>
      </w:r>
      <w:r w:rsidR="00827D0D" w:rsidRPr="004D2FF7">
        <w:rPr>
          <w:rFonts w:ascii="Times New Roman" w:hAnsi="Times New Roman" w:cs="Times New Roman"/>
          <w:sz w:val="24"/>
          <w:szCs w:val="24"/>
        </w:rPr>
        <w:t xml:space="preserve"> bugetare pentru întreținerea </w:t>
      </w:r>
      <w:r w:rsidR="00C3558B" w:rsidRPr="004D2FF7">
        <w:rPr>
          <w:rFonts w:ascii="Times New Roman" w:hAnsi="Times New Roman" w:cs="Times New Roman"/>
          <w:sz w:val="24"/>
          <w:szCs w:val="24"/>
        </w:rPr>
        <w:t>CNPDCP</w:t>
      </w:r>
      <w:r w:rsidR="00827D0D" w:rsidRPr="004D2FF7">
        <w:rPr>
          <w:rFonts w:ascii="Times New Roman" w:hAnsi="Times New Roman" w:cs="Times New Roman"/>
          <w:sz w:val="24"/>
          <w:szCs w:val="24"/>
        </w:rPr>
        <w:t xml:space="preserve"> au fost executate la nivel de </w:t>
      </w:r>
      <w:r w:rsidR="00C3558B" w:rsidRPr="004D2FF7">
        <w:rPr>
          <w:rFonts w:ascii="Times New Roman" w:hAnsi="Times New Roman" w:cs="Times New Roman"/>
          <w:sz w:val="24"/>
          <w:szCs w:val="24"/>
        </w:rPr>
        <w:t>86,7</w:t>
      </w:r>
      <w:r w:rsidR="00827D0D" w:rsidRPr="004D2FF7">
        <w:rPr>
          <w:rFonts w:ascii="Times New Roman" w:hAnsi="Times New Roman" w:cs="Times New Roman"/>
          <w:sz w:val="24"/>
          <w:szCs w:val="24"/>
        </w:rPr>
        <w:t xml:space="preserve">%, comparativ cu planul precizat, sau în perioada respectivă </w:t>
      </w:r>
      <w:r>
        <w:rPr>
          <w:rFonts w:ascii="Times New Roman" w:hAnsi="Times New Roman" w:cs="Times New Roman"/>
          <w:sz w:val="24"/>
          <w:szCs w:val="24"/>
        </w:rPr>
        <w:t xml:space="preserve">nefiind </w:t>
      </w:r>
      <w:r w:rsidR="00827D0D" w:rsidRPr="004D2FF7">
        <w:rPr>
          <w:rFonts w:ascii="Times New Roman" w:hAnsi="Times New Roman" w:cs="Times New Roman"/>
          <w:sz w:val="24"/>
          <w:szCs w:val="24"/>
        </w:rPr>
        <w:t>valorific</w:t>
      </w:r>
      <w:r>
        <w:rPr>
          <w:rFonts w:ascii="Times New Roman" w:hAnsi="Times New Roman" w:cs="Times New Roman"/>
          <w:sz w:val="24"/>
          <w:szCs w:val="24"/>
        </w:rPr>
        <w:t>ate</w:t>
      </w:r>
      <w:r w:rsidR="00827D0D" w:rsidRPr="004D2FF7">
        <w:rPr>
          <w:rFonts w:ascii="Times New Roman" w:hAnsi="Times New Roman" w:cs="Times New Roman"/>
          <w:sz w:val="24"/>
          <w:szCs w:val="24"/>
        </w:rPr>
        <w:t xml:space="preserve"> mijloace bugetare în sumă totală de </w:t>
      </w:r>
      <w:r w:rsidR="00C3558B" w:rsidRPr="004D2FF7">
        <w:rPr>
          <w:rFonts w:ascii="Times New Roman" w:eastAsia="Times New Roman" w:hAnsi="Times New Roman" w:cs="Times New Roman"/>
          <w:sz w:val="24"/>
          <w:szCs w:val="24"/>
          <w:lang w:eastAsia="ru-RU"/>
        </w:rPr>
        <w:t>5</w:t>
      </w:r>
      <w:r w:rsidR="002265AD">
        <w:rPr>
          <w:rFonts w:ascii="Times New Roman" w:eastAsia="Times New Roman" w:hAnsi="Times New Roman" w:cs="Times New Roman"/>
          <w:sz w:val="24"/>
          <w:szCs w:val="24"/>
          <w:lang w:eastAsia="ru-RU"/>
        </w:rPr>
        <w:t>.</w:t>
      </w:r>
      <w:r w:rsidR="00C3558B" w:rsidRPr="004D2FF7">
        <w:rPr>
          <w:rFonts w:ascii="Times New Roman" w:eastAsia="Times New Roman" w:hAnsi="Times New Roman" w:cs="Times New Roman"/>
          <w:sz w:val="24"/>
          <w:szCs w:val="24"/>
          <w:lang w:eastAsia="ru-RU"/>
        </w:rPr>
        <w:t>842,2</w:t>
      </w:r>
      <w:r w:rsidR="00C3558B" w:rsidRPr="004D2FF7">
        <w:rPr>
          <w:rFonts w:ascii="Times New Roman" w:eastAsia="Times New Roman" w:hAnsi="Times New Roman" w:cs="Times New Roman"/>
          <w:noProof/>
          <w:sz w:val="24"/>
          <w:szCs w:val="24"/>
          <w:lang w:eastAsia="ru-RU"/>
        </w:rPr>
        <w:t xml:space="preserve"> mii lei</w:t>
      </w:r>
      <w:r w:rsidR="00970257" w:rsidRPr="004D2FF7">
        <w:rPr>
          <w:rFonts w:ascii="Times New Roman" w:hAnsi="Times New Roman" w:cs="Times New Roman"/>
          <w:noProof/>
          <w:sz w:val="24"/>
          <w:szCs w:val="24"/>
        </w:rPr>
        <w:t>.</w:t>
      </w:r>
      <w:r w:rsidR="00970257" w:rsidRPr="004D2FF7">
        <w:rPr>
          <w:rFonts w:ascii="Times New Roman" w:hAnsi="Times New Roman" w:cs="Times New Roman"/>
          <w:sz w:val="24"/>
          <w:szCs w:val="24"/>
          <w:lang w:val="ro-RO"/>
        </w:rPr>
        <w:t xml:space="preserve"> De menționat că, </w:t>
      </w:r>
      <w:r w:rsidR="002265AD">
        <w:rPr>
          <w:rFonts w:ascii="Times New Roman" w:hAnsi="Times New Roman" w:cs="Times New Roman"/>
          <w:sz w:val="24"/>
          <w:szCs w:val="24"/>
          <w:lang w:val="ro-RO"/>
        </w:rPr>
        <w:t>din cauza</w:t>
      </w:r>
      <w:r w:rsidR="002265AD" w:rsidRPr="004D2FF7">
        <w:rPr>
          <w:rFonts w:ascii="Times New Roman" w:hAnsi="Times New Roman" w:cs="Times New Roman"/>
          <w:sz w:val="24"/>
          <w:szCs w:val="24"/>
          <w:lang w:val="ro-RO"/>
        </w:rPr>
        <w:t xml:space="preserve"> </w:t>
      </w:r>
      <w:r w:rsidR="00970257" w:rsidRPr="004D2FF7">
        <w:rPr>
          <w:rFonts w:ascii="Times New Roman" w:hAnsi="Times New Roman" w:cs="Times New Roman"/>
          <w:sz w:val="24"/>
          <w:szCs w:val="24"/>
          <w:lang w:val="ro-RO"/>
        </w:rPr>
        <w:t>nivelului inexact de planificare a bugetului, partea de cheltuieli nu a fost executată cu 4</w:t>
      </w:r>
      <w:r w:rsidR="002265AD">
        <w:rPr>
          <w:rFonts w:ascii="Times New Roman" w:hAnsi="Times New Roman" w:cs="Times New Roman"/>
          <w:sz w:val="24"/>
          <w:szCs w:val="24"/>
          <w:lang w:val="ro-RO"/>
        </w:rPr>
        <w:t>.</w:t>
      </w:r>
      <w:r w:rsidR="00970257" w:rsidRPr="004D2FF7">
        <w:rPr>
          <w:rFonts w:ascii="Times New Roman" w:hAnsi="Times New Roman" w:cs="Times New Roman"/>
          <w:sz w:val="24"/>
          <w:szCs w:val="24"/>
          <w:lang w:val="ro-RO"/>
        </w:rPr>
        <w:t>665,4 mi</w:t>
      </w:r>
      <w:r w:rsidR="00732C53">
        <w:rPr>
          <w:rFonts w:ascii="Times New Roman" w:hAnsi="Times New Roman" w:cs="Times New Roman"/>
          <w:sz w:val="24"/>
          <w:szCs w:val="24"/>
          <w:lang w:val="ro-RO"/>
        </w:rPr>
        <w:t>i</w:t>
      </w:r>
      <w:r w:rsidR="00970257" w:rsidRPr="004D2FF7">
        <w:rPr>
          <w:rFonts w:ascii="Times New Roman" w:hAnsi="Times New Roman" w:cs="Times New Roman"/>
          <w:sz w:val="24"/>
          <w:szCs w:val="24"/>
          <w:lang w:val="ro-RO"/>
        </w:rPr>
        <w:t xml:space="preserve"> lei</w:t>
      </w:r>
      <w:r w:rsidR="00C0536F" w:rsidRPr="004D2FF7">
        <w:rPr>
          <w:rFonts w:ascii="Times New Roman" w:hAnsi="Times New Roman" w:cs="Times New Roman"/>
          <w:sz w:val="24"/>
          <w:szCs w:val="24"/>
          <w:lang w:val="ro-RO"/>
        </w:rPr>
        <w:t>,</w:t>
      </w:r>
      <w:r w:rsidR="00970257" w:rsidRPr="004D2FF7">
        <w:rPr>
          <w:rFonts w:ascii="Times New Roman" w:hAnsi="Times New Roman" w:cs="Times New Roman"/>
          <w:sz w:val="24"/>
          <w:szCs w:val="24"/>
          <w:lang w:val="ro-RO"/>
        </w:rPr>
        <w:t xml:space="preserve"> iar activele nefinanciare </w:t>
      </w:r>
      <w:r w:rsidR="002265AD">
        <w:rPr>
          <w:rFonts w:ascii="Times New Roman" w:hAnsi="Times New Roman" w:cs="Times New Roman"/>
          <w:sz w:val="24"/>
          <w:szCs w:val="24"/>
          <w:lang w:val="ro-RO"/>
        </w:rPr>
        <w:t>–</w:t>
      </w:r>
      <w:r w:rsidR="00970257" w:rsidRPr="004D2FF7">
        <w:rPr>
          <w:rFonts w:ascii="Times New Roman" w:hAnsi="Times New Roman" w:cs="Times New Roman"/>
          <w:sz w:val="24"/>
          <w:szCs w:val="24"/>
          <w:lang w:val="ro-RO"/>
        </w:rPr>
        <w:t xml:space="preserve"> cu 1</w:t>
      </w:r>
      <w:r w:rsidR="002265AD">
        <w:rPr>
          <w:rFonts w:ascii="Times New Roman" w:hAnsi="Times New Roman" w:cs="Times New Roman"/>
          <w:sz w:val="24"/>
          <w:szCs w:val="24"/>
          <w:lang w:val="ro-RO"/>
        </w:rPr>
        <w:t>.</w:t>
      </w:r>
      <w:r w:rsidR="00970257" w:rsidRPr="004D2FF7">
        <w:rPr>
          <w:rFonts w:ascii="Times New Roman" w:hAnsi="Times New Roman" w:cs="Times New Roman"/>
          <w:sz w:val="24"/>
          <w:szCs w:val="24"/>
          <w:lang w:val="ro-RO"/>
        </w:rPr>
        <w:t xml:space="preserve">176,7 mii lei, </w:t>
      </w:r>
      <w:r w:rsidR="00827D0D" w:rsidRPr="004D2FF7">
        <w:rPr>
          <w:rFonts w:ascii="Times New Roman" w:hAnsi="Times New Roman" w:cs="Times New Roman"/>
          <w:sz w:val="24"/>
          <w:szCs w:val="24"/>
        </w:rPr>
        <w:t>din următoarele motive:</w:t>
      </w:r>
      <w:r w:rsidR="00A32FE2" w:rsidRPr="004D2FF7">
        <w:rPr>
          <w:rFonts w:ascii="Times New Roman" w:hAnsi="Times New Roman" w:cs="Times New Roman"/>
          <w:sz w:val="24"/>
          <w:szCs w:val="24"/>
        </w:rPr>
        <w:t xml:space="preserve"> </w:t>
      </w:r>
      <w:r w:rsidR="00C3558B" w:rsidRPr="004D2FF7">
        <w:rPr>
          <w:rFonts w:ascii="Times New Roman" w:hAnsi="Times New Roman" w:cs="Times New Roman"/>
          <w:color w:val="000000" w:themeColor="text1"/>
          <w:sz w:val="24"/>
          <w:szCs w:val="24"/>
        </w:rPr>
        <w:t>lipsa unor estimări realiste ale cheltuielilor bugetare</w:t>
      </w:r>
      <w:r w:rsidR="00827D0D" w:rsidRPr="004D2FF7">
        <w:rPr>
          <w:rFonts w:ascii="Times New Roman" w:hAnsi="Times New Roman" w:cs="Times New Roman"/>
          <w:color w:val="000000" w:themeColor="text1"/>
          <w:sz w:val="24"/>
          <w:szCs w:val="24"/>
        </w:rPr>
        <w:t>;</w:t>
      </w:r>
      <w:r w:rsidR="00C3558B" w:rsidRPr="004D2FF7">
        <w:rPr>
          <w:rFonts w:ascii="Times New Roman" w:hAnsi="Times New Roman" w:cs="Times New Roman"/>
          <w:color w:val="000000" w:themeColor="text1"/>
          <w:sz w:val="24"/>
          <w:szCs w:val="24"/>
        </w:rPr>
        <w:t xml:space="preserve"> </w:t>
      </w:r>
      <w:r w:rsidR="00827D0D" w:rsidRPr="004D2FF7">
        <w:rPr>
          <w:rFonts w:ascii="Times New Roman" w:hAnsi="Times New Roman" w:cs="Times New Roman"/>
          <w:color w:val="000000" w:themeColor="text1"/>
          <w:sz w:val="24"/>
          <w:szCs w:val="24"/>
        </w:rPr>
        <w:t>existența unor funcții vacante,</w:t>
      </w:r>
      <w:r w:rsidR="00C3558B" w:rsidRPr="004D2FF7">
        <w:rPr>
          <w:rFonts w:ascii="Times New Roman" w:hAnsi="Times New Roman" w:cs="Times New Roman"/>
          <w:color w:val="000000" w:themeColor="text1"/>
          <w:sz w:val="24"/>
          <w:szCs w:val="24"/>
        </w:rPr>
        <w:t xml:space="preserve"> </w:t>
      </w:r>
      <w:r w:rsidR="00827D0D" w:rsidRPr="004D2FF7">
        <w:rPr>
          <w:rFonts w:ascii="Times New Roman" w:hAnsi="Times New Roman" w:cs="Times New Roman"/>
          <w:color w:val="000000" w:themeColor="text1"/>
          <w:sz w:val="24"/>
          <w:szCs w:val="24"/>
        </w:rPr>
        <w:t>procesul de angajare a personalului</w:t>
      </w:r>
      <w:r w:rsidR="00B83709" w:rsidRPr="004D2FF7">
        <w:rPr>
          <w:rFonts w:ascii="Times New Roman" w:hAnsi="Times New Roman" w:cs="Times New Roman"/>
          <w:color w:val="000000" w:themeColor="text1"/>
          <w:sz w:val="24"/>
          <w:szCs w:val="24"/>
        </w:rPr>
        <w:t xml:space="preserve"> fiind unul dificil de realizat</w:t>
      </w:r>
      <w:r w:rsidR="002265AD">
        <w:rPr>
          <w:rFonts w:ascii="Times New Roman" w:hAnsi="Times New Roman" w:cs="Times New Roman"/>
          <w:color w:val="000000" w:themeColor="text1"/>
          <w:sz w:val="24"/>
          <w:szCs w:val="24"/>
        </w:rPr>
        <w:t>,</w:t>
      </w:r>
      <w:r w:rsidR="00B83709" w:rsidRPr="004D2FF7">
        <w:rPr>
          <w:rFonts w:ascii="Times New Roman" w:hAnsi="Times New Roman" w:cs="Times New Roman"/>
          <w:color w:val="000000" w:themeColor="text1"/>
          <w:sz w:val="24"/>
          <w:szCs w:val="24"/>
        </w:rPr>
        <w:t xml:space="preserve"> și </w:t>
      </w:r>
      <w:r w:rsidR="00C3558B" w:rsidRPr="004D2FF7">
        <w:rPr>
          <w:rFonts w:ascii="Times New Roman" w:hAnsi="Times New Roman" w:cs="Times New Roman"/>
          <w:color w:val="000000" w:themeColor="text1"/>
          <w:sz w:val="24"/>
          <w:szCs w:val="24"/>
        </w:rPr>
        <w:t xml:space="preserve">tergiversarea unor proceduri de achiziții publice </w:t>
      </w:r>
      <w:r w:rsidR="00827D0D" w:rsidRPr="004D2FF7">
        <w:rPr>
          <w:rFonts w:ascii="Times New Roman" w:hAnsi="Times New Roman" w:cs="Times New Roman"/>
          <w:color w:val="000000" w:themeColor="text1"/>
          <w:sz w:val="24"/>
          <w:szCs w:val="24"/>
        </w:rPr>
        <w:t>care a</w:t>
      </w:r>
      <w:r w:rsidR="002265AD">
        <w:rPr>
          <w:rFonts w:ascii="Times New Roman" w:hAnsi="Times New Roman" w:cs="Times New Roman"/>
          <w:color w:val="000000" w:themeColor="text1"/>
          <w:sz w:val="24"/>
          <w:szCs w:val="24"/>
        </w:rPr>
        <w:t>u</w:t>
      </w:r>
      <w:r w:rsidR="00827D0D" w:rsidRPr="004D2FF7">
        <w:rPr>
          <w:rFonts w:ascii="Times New Roman" w:hAnsi="Times New Roman" w:cs="Times New Roman"/>
          <w:color w:val="000000" w:themeColor="text1"/>
          <w:sz w:val="24"/>
          <w:szCs w:val="24"/>
        </w:rPr>
        <w:t xml:space="preserve"> influențat procesul achizițiilor de bunuri și servicii planificate</w:t>
      </w:r>
      <w:r w:rsidR="002265AD">
        <w:rPr>
          <w:rFonts w:ascii="Times New Roman" w:hAnsi="Times New Roman" w:cs="Times New Roman"/>
          <w:color w:val="000000" w:themeColor="text1"/>
          <w:sz w:val="24"/>
          <w:szCs w:val="24"/>
        </w:rPr>
        <w:t>,</w:t>
      </w:r>
      <w:r w:rsidR="005F7DFC" w:rsidRPr="004D2FF7">
        <w:rPr>
          <w:rFonts w:ascii="Times New Roman" w:hAnsi="Times New Roman" w:cs="Times New Roman"/>
          <w:color w:val="000000" w:themeColor="text1"/>
          <w:sz w:val="24"/>
          <w:szCs w:val="24"/>
        </w:rPr>
        <w:t xml:space="preserve"> soldate cu</w:t>
      </w:r>
      <w:r w:rsidR="00C357D8" w:rsidRPr="004D2FF7">
        <w:rPr>
          <w:rFonts w:ascii="Times New Roman" w:hAnsi="Times New Roman" w:cs="Times New Roman"/>
          <w:color w:val="000000" w:themeColor="text1"/>
          <w:sz w:val="24"/>
          <w:szCs w:val="24"/>
        </w:rPr>
        <w:t xml:space="preserve"> </w:t>
      </w:r>
      <w:r w:rsidR="005F7DFC" w:rsidRPr="004D2FF7">
        <w:rPr>
          <w:rFonts w:ascii="Times New Roman" w:hAnsi="Times New Roman" w:cs="Times New Roman"/>
          <w:color w:val="000000" w:themeColor="text1"/>
          <w:sz w:val="24"/>
          <w:szCs w:val="24"/>
        </w:rPr>
        <w:t>ne</w:t>
      </w:r>
      <w:r w:rsidR="00C357D8" w:rsidRPr="004D2FF7">
        <w:rPr>
          <w:rFonts w:ascii="Times New Roman" w:hAnsi="Times New Roman" w:cs="Times New Roman"/>
          <w:color w:val="000000" w:themeColor="text1"/>
          <w:sz w:val="24"/>
          <w:szCs w:val="24"/>
        </w:rPr>
        <w:t>valorificarea alocațiilor</w:t>
      </w:r>
      <w:r w:rsidR="00827D0D" w:rsidRPr="004D2FF7">
        <w:rPr>
          <w:rFonts w:ascii="Times New Roman" w:hAnsi="Times New Roman" w:cs="Times New Roman"/>
          <w:color w:val="000000" w:themeColor="text1"/>
          <w:sz w:val="24"/>
          <w:szCs w:val="24"/>
        </w:rPr>
        <w:t>.</w:t>
      </w:r>
    </w:p>
    <w:p w14:paraId="54D085D1" w14:textId="09E52C2C" w:rsidR="00A653C2" w:rsidRPr="00A653C2" w:rsidRDefault="00DB0097" w:rsidP="00A653C2">
      <w:pPr>
        <w:spacing w:after="120" w:line="276" w:lineRule="auto"/>
        <w:jc w:val="both"/>
        <w:rPr>
          <w:rFonts w:ascii="Times New Roman" w:eastAsia="Times New Roman" w:hAnsi="Times New Roman" w:cs="Times New Roman"/>
          <w:b/>
          <w:sz w:val="24"/>
          <w:szCs w:val="24"/>
        </w:rPr>
      </w:pPr>
      <w:r w:rsidRPr="004D2FF7">
        <w:rPr>
          <w:rFonts w:ascii="Times New Roman" w:hAnsi="Times New Roman" w:cs="Times New Roman"/>
          <w:color w:val="333333"/>
          <w:sz w:val="24"/>
          <w:szCs w:val="24"/>
          <w:shd w:val="clear" w:color="auto" w:fill="FFFFFF"/>
        </w:rPr>
        <w:t>Î</w:t>
      </w:r>
      <w:r w:rsidR="00C141F0" w:rsidRPr="004D2FF7">
        <w:rPr>
          <w:rFonts w:ascii="Times New Roman" w:hAnsi="Times New Roman" w:cs="Times New Roman"/>
          <w:color w:val="333333"/>
          <w:sz w:val="24"/>
          <w:szCs w:val="24"/>
          <w:shd w:val="clear" w:color="auto" w:fill="FFFFFF"/>
        </w:rPr>
        <w:t xml:space="preserve">n pofida faptului că </w:t>
      </w:r>
      <w:r w:rsidR="00C141F0" w:rsidRPr="004D2FF7">
        <w:rPr>
          <w:rFonts w:ascii="Times New Roman" w:hAnsi="Times New Roman" w:cs="Times New Roman"/>
          <w:sz w:val="24"/>
          <w:szCs w:val="24"/>
        </w:rPr>
        <w:t>în</w:t>
      </w:r>
      <w:r w:rsidRPr="004D2FF7">
        <w:rPr>
          <w:rFonts w:ascii="Times New Roman" w:hAnsi="Times New Roman" w:cs="Times New Roman"/>
          <w:sz w:val="24"/>
          <w:szCs w:val="24"/>
        </w:rPr>
        <w:t xml:space="preserve"> perioada </w:t>
      </w:r>
      <w:r w:rsidR="00C141F0" w:rsidRPr="004D2FF7">
        <w:rPr>
          <w:rFonts w:ascii="Times New Roman" w:hAnsi="Times New Roman" w:cs="Times New Roman"/>
          <w:sz w:val="24"/>
          <w:szCs w:val="24"/>
        </w:rPr>
        <w:t xml:space="preserve">2018-2022 </w:t>
      </w:r>
      <w:r w:rsidR="00C141F0" w:rsidRPr="004D2FF7">
        <w:rPr>
          <w:rFonts w:ascii="Times New Roman" w:hAnsi="Times New Roman" w:cs="Times New Roman"/>
          <w:color w:val="333333"/>
          <w:sz w:val="24"/>
          <w:szCs w:val="24"/>
          <w:shd w:val="clear" w:color="auto" w:fill="FFFFFF"/>
        </w:rPr>
        <w:t>cheltuielile bugetare</w:t>
      </w:r>
      <w:r w:rsidR="00C141F0" w:rsidRPr="004D2FF7">
        <w:rPr>
          <w:rFonts w:ascii="Times New Roman" w:hAnsi="Times New Roman" w:cs="Times New Roman"/>
          <w:sz w:val="24"/>
          <w:szCs w:val="24"/>
        </w:rPr>
        <w:t xml:space="preserve"> au fost precizate de mai multe ori</w:t>
      </w:r>
      <w:r w:rsidR="00A22D10" w:rsidRPr="004D2FF7">
        <w:rPr>
          <w:rFonts w:ascii="Times New Roman" w:hAnsi="Times New Roman" w:cs="Times New Roman"/>
          <w:sz w:val="24"/>
          <w:szCs w:val="24"/>
        </w:rPr>
        <w:t xml:space="preserve"> în perioada de gestiune</w:t>
      </w:r>
      <w:r w:rsidR="00C141F0" w:rsidRPr="004D2FF7">
        <w:rPr>
          <w:rFonts w:ascii="Times New Roman" w:hAnsi="Times New Roman" w:cs="Times New Roman"/>
          <w:sz w:val="24"/>
          <w:szCs w:val="24"/>
        </w:rPr>
        <w:t xml:space="preserve">, </w:t>
      </w:r>
      <w:r w:rsidR="00352A16" w:rsidRPr="004D2FF7">
        <w:rPr>
          <w:rFonts w:ascii="Times New Roman" w:hAnsi="Times New Roman" w:cs="Times New Roman"/>
          <w:color w:val="333333"/>
          <w:sz w:val="24"/>
          <w:szCs w:val="24"/>
          <w:shd w:val="clear" w:color="auto" w:fill="FFFFFF"/>
        </w:rPr>
        <w:t xml:space="preserve">potrivit explicațiilor </w:t>
      </w:r>
      <w:r w:rsidR="00C141F0" w:rsidRPr="004D2FF7">
        <w:rPr>
          <w:rFonts w:ascii="Times New Roman" w:hAnsi="Times New Roman" w:cs="Times New Roman"/>
          <w:color w:val="333333"/>
          <w:sz w:val="24"/>
          <w:szCs w:val="24"/>
          <w:shd w:val="clear" w:color="auto" w:fill="FFFFFF"/>
        </w:rPr>
        <w:t xml:space="preserve">CNPDCP </w:t>
      </w:r>
      <w:r w:rsidR="00352A16" w:rsidRPr="004D2FF7">
        <w:rPr>
          <w:rFonts w:ascii="Times New Roman" w:hAnsi="Times New Roman" w:cs="Times New Roman"/>
          <w:color w:val="333333"/>
          <w:sz w:val="24"/>
          <w:szCs w:val="24"/>
          <w:shd w:val="clear" w:color="auto" w:fill="FFFFFF"/>
        </w:rPr>
        <w:t>„</w:t>
      </w:r>
      <w:r w:rsidR="00C141F0" w:rsidRPr="004D2FF7">
        <w:rPr>
          <w:rFonts w:ascii="Times New Roman" w:hAnsi="Times New Roman" w:cs="Times New Roman"/>
          <w:color w:val="333333"/>
          <w:sz w:val="24"/>
          <w:szCs w:val="24"/>
          <w:shd w:val="clear" w:color="auto" w:fill="FFFFFF"/>
        </w:rPr>
        <w:t>nivelul de executare a bugetului</w:t>
      </w:r>
      <w:r w:rsidRPr="004D2FF7">
        <w:rPr>
          <w:rFonts w:ascii="Times New Roman" w:hAnsi="Times New Roman" w:cs="Times New Roman"/>
          <w:color w:val="333333"/>
          <w:sz w:val="24"/>
          <w:szCs w:val="24"/>
          <w:shd w:val="clear" w:color="auto" w:fill="FFFFFF"/>
        </w:rPr>
        <w:t xml:space="preserve"> în perioada auditată</w:t>
      </w:r>
      <w:r w:rsidR="00C141F0" w:rsidRPr="004D2FF7">
        <w:rPr>
          <w:rFonts w:ascii="Times New Roman" w:hAnsi="Times New Roman" w:cs="Times New Roman"/>
          <w:color w:val="333333"/>
          <w:sz w:val="24"/>
          <w:szCs w:val="24"/>
          <w:shd w:val="clear" w:color="auto" w:fill="FFFFFF"/>
        </w:rPr>
        <w:t xml:space="preserve"> a fost influențată</w:t>
      </w:r>
      <w:r w:rsidRPr="004D2FF7">
        <w:rPr>
          <w:rFonts w:ascii="Times New Roman" w:hAnsi="Times New Roman" w:cs="Times New Roman"/>
          <w:color w:val="333333"/>
          <w:sz w:val="24"/>
          <w:szCs w:val="24"/>
          <w:shd w:val="clear" w:color="auto" w:fill="FFFFFF"/>
        </w:rPr>
        <w:t xml:space="preserve"> </w:t>
      </w:r>
      <w:r w:rsidR="00C141F0" w:rsidRPr="004D2FF7">
        <w:rPr>
          <w:rFonts w:ascii="Times New Roman" w:hAnsi="Times New Roman" w:cs="Times New Roman"/>
          <w:color w:val="333333"/>
          <w:sz w:val="24"/>
          <w:szCs w:val="24"/>
          <w:shd w:val="clear" w:color="auto" w:fill="FFFFFF"/>
        </w:rPr>
        <w:t>de restricțiile aplicate în pandemia COVID-19</w:t>
      </w:r>
      <w:r w:rsidR="002846FF" w:rsidRPr="004D2FF7">
        <w:rPr>
          <w:rFonts w:ascii="Times New Roman" w:hAnsi="Times New Roman" w:cs="Times New Roman"/>
          <w:color w:val="333333"/>
          <w:sz w:val="24"/>
          <w:szCs w:val="24"/>
          <w:shd w:val="clear" w:color="auto" w:fill="FFFFFF"/>
        </w:rPr>
        <w:t>, fluctuația prețurilor, precum și funcțiile vacante existente”</w:t>
      </w:r>
      <w:r w:rsidR="00C141F0" w:rsidRPr="004D2FF7">
        <w:rPr>
          <w:rFonts w:ascii="Times New Roman" w:hAnsi="Times New Roman" w:cs="Times New Roman"/>
          <w:color w:val="333333"/>
          <w:sz w:val="24"/>
          <w:szCs w:val="24"/>
          <w:shd w:val="clear" w:color="auto" w:fill="FFFFFF"/>
        </w:rPr>
        <w:t>.</w:t>
      </w:r>
    </w:p>
    <w:p w14:paraId="5EAA792B" w14:textId="104E9403" w:rsidR="00A653C2" w:rsidRDefault="00A653C2" w:rsidP="00BB2633">
      <w:pPr>
        <w:spacing w:after="120" w:line="276" w:lineRule="auto"/>
        <w:ind w:firstLine="720"/>
        <w:jc w:val="both"/>
        <w:rPr>
          <w:rFonts w:ascii="Times New Roman" w:hAnsi="Times New Roman" w:cs="Times New Roman"/>
          <w:i/>
          <w:sz w:val="24"/>
          <w:szCs w:val="24"/>
        </w:rPr>
      </w:pPr>
      <w:r w:rsidRPr="00150002">
        <w:rPr>
          <w:rFonts w:ascii="Times New Roman" w:eastAsia="Times New Roman" w:hAnsi="Times New Roman" w:cs="Times New Roman"/>
          <w:b/>
          <w:i/>
          <w:sz w:val="24"/>
          <w:szCs w:val="24"/>
        </w:rPr>
        <w:lastRenderedPageBreak/>
        <w:t xml:space="preserve">Notă: </w:t>
      </w:r>
      <w:r w:rsidRPr="00B820D9">
        <w:rPr>
          <w:rFonts w:ascii="Times New Roman" w:eastAsia="Times New Roman" w:hAnsi="Times New Roman" w:cs="Times New Roman"/>
          <w:i/>
          <w:sz w:val="24"/>
          <w:szCs w:val="24"/>
        </w:rPr>
        <w:t>Prin</w:t>
      </w:r>
      <w:r w:rsidR="00BB2633" w:rsidRPr="00B820D9">
        <w:rPr>
          <w:rFonts w:ascii="Times New Roman" w:eastAsia="Times New Roman" w:hAnsi="Times New Roman" w:cs="Times New Roman"/>
          <w:i/>
          <w:sz w:val="24"/>
          <w:szCs w:val="24"/>
        </w:rPr>
        <w:t xml:space="preserve"> scrisoarea </w:t>
      </w:r>
      <w:r w:rsidR="00757738" w:rsidRPr="00B820D9">
        <w:rPr>
          <w:rFonts w:ascii="Times New Roman" w:eastAsia="Times New Roman" w:hAnsi="Times New Roman" w:cs="Times New Roman"/>
          <w:i/>
          <w:sz w:val="24"/>
          <w:szCs w:val="24"/>
        </w:rPr>
        <w:t>M</w:t>
      </w:r>
      <w:r w:rsidR="00BB2633" w:rsidRPr="00B820D9">
        <w:rPr>
          <w:rFonts w:ascii="Times New Roman" w:eastAsia="Times New Roman" w:hAnsi="Times New Roman" w:cs="Times New Roman"/>
          <w:i/>
          <w:sz w:val="24"/>
          <w:szCs w:val="24"/>
        </w:rPr>
        <w:t>inist</w:t>
      </w:r>
      <w:r w:rsidR="00344250" w:rsidRPr="00B820D9">
        <w:rPr>
          <w:rFonts w:ascii="Times New Roman" w:eastAsia="Times New Roman" w:hAnsi="Times New Roman" w:cs="Times New Roman"/>
          <w:i/>
          <w:sz w:val="24"/>
          <w:szCs w:val="24"/>
        </w:rPr>
        <w:t>e</w:t>
      </w:r>
      <w:r w:rsidR="00BB2633" w:rsidRPr="00B820D9">
        <w:rPr>
          <w:rFonts w:ascii="Times New Roman" w:eastAsia="Times New Roman" w:hAnsi="Times New Roman" w:cs="Times New Roman"/>
          <w:i/>
          <w:sz w:val="24"/>
          <w:szCs w:val="24"/>
        </w:rPr>
        <w:t xml:space="preserve">rului </w:t>
      </w:r>
      <w:r w:rsidR="00757738" w:rsidRPr="00B820D9">
        <w:rPr>
          <w:rFonts w:ascii="Times New Roman" w:eastAsia="Times New Roman" w:hAnsi="Times New Roman" w:cs="Times New Roman"/>
          <w:i/>
          <w:sz w:val="24"/>
          <w:szCs w:val="24"/>
        </w:rPr>
        <w:t>F</w:t>
      </w:r>
      <w:r w:rsidR="00BB2633" w:rsidRPr="00B820D9">
        <w:rPr>
          <w:rFonts w:ascii="Times New Roman" w:eastAsia="Times New Roman" w:hAnsi="Times New Roman" w:cs="Times New Roman"/>
          <w:i/>
          <w:sz w:val="24"/>
          <w:szCs w:val="24"/>
        </w:rPr>
        <w:t>inanțelor nr.05-10/07 din 17.01.2014, Curtea de Conturi a fost informată că</w:t>
      </w:r>
      <w:r w:rsidR="00D23403">
        <w:rPr>
          <w:rFonts w:ascii="Times New Roman" w:eastAsia="Times New Roman" w:hAnsi="Times New Roman" w:cs="Times New Roman"/>
          <w:i/>
          <w:sz w:val="24"/>
          <w:szCs w:val="24"/>
        </w:rPr>
        <w:t>,</w:t>
      </w:r>
      <w:r w:rsidR="003F4FA2" w:rsidRPr="00B820D9">
        <w:rPr>
          <w:rFonts w:ascii="Times New Roman" w:eastAsia="Times New Roman" w:hAnsi="Times New Roman" w:cs="Times New Roman"/>
          <w:i/>
          <w:sz w:val="24"/>
          <w:szCs w:val="24"/>
        </w:rPr>
        <w:t xml:space="preserve"> </w:t>
      </w:r>
      <w:r w:rsidR="003F4FA2" w:rsidRPr="00B820D9">
        <w:rPr>
          <w:rFonts w:ascii="Times New Roman" w:hAnsi="Times New Roman" w:cs="Times New Roman"/>
          <w:i/>
          <w:sz w:val="24"/>
          <w:szCs w:val="24"/>
        </w:rPr>
        <w:t xml:space="preserve">prin Ordinul </w:t>
      </w:r>
      <w:r w:rsidR="00757738" w:rsidRPr="00B820D9">
        <w:rPr>
          <w:rFonts w:ascii="Times New Roman" w:hAnsi="Times New Roman" w:cs="Times New Roman"/>
          <w:i/>
          <w:sz w:val="24"/>
          <w:szCs w:val="24"/>
        </w:rPr>
        <w:t>m</w:t>
      </w:r>
      <w:r w:rsidR="003F4FA2" w:rsidRPr="00B820D9">
        <w:rPr>
          <w:rFonts w:ascii="Times New Roman" w:hAnsi="Times New Roman" w:cs="Times New Roman"/>
          <w:i/>
          <w:sz w:val="24"/>
          <w:szCs w:val="24"/>
        </w:rPr>
        <w:t xml:space="preserve">inistrului </w:t>
      </w:r>
      <w:r w:rsidR="00D23403">
        <w:rPr>
          <w:rFonts w:ascii="Times New Roman" w:hAnsi="Times New Roman" w:cs="Times New Roman"/>
          <w:i/>
          <w:sz w:val="24"/>
          <w:szCs w:val="24"/>
        </w:rPr>
        <w:t>F</w:t>
      </w:r>
      <w:r w:rsidR="003F4FA2" w:rsidRPr="00B820D9">
        <w:rPr>
          <w:rFonts w:ascii="Times New Roman" w:hAnsi="Times New Roman" w:cs="Times New Roman"/>
          <w:i/>
          <w:sz w:val="24"/>
          <w:szCs w:val="24"/>
        </w:rPr>
        <w:t>inanțelor nr.124 din 21.12.2023</w:t>
      </w:r>
      <w:r w:rsidR="00D23403">
        <w:rPr>
          <w:rFonts w:ascii="Times New Roman" w:hAnsi="Times New Roman" w:cs="Times New Roman"/>
          <w:i/>
          <w:sz w:val="24"/>
          <w:szCs w:val="24"/>
        </w:rPr>
        <w:t>,</w:t>
      </w:r>
      <w:r w:rsidR="003F4FA2" w:rsidRPr="00B820D9">
        <w:rPr>
          <w:rFonts w:ascii="Times New Roman" w:hAnsi="Times New Roman" w:cs="Times New Roman"/>
          <w:i/>
          <w:sz w:val="24"/>
          <w:szCs w:val="24"/>
        </w:rPr>
        <w:t xml:space="preserve"> a</w:t>
      </w:r>
      <w:r w:rsidR="00757738" w:rsidRPr="00B820D9">
        <w:rPr>
          <w:rFonts w:ascii="Times New Roman" w:hAnsi="Times New Roman" w:cs="Times New Roman"/>
          <w:i/>
          <w:sz w:val="24"/>
          <w:szCs w:val="24"/>
        </w:rPr>
        <w:t xml:space="preserve"> fost</w:t>
      </w:r>
      <w:r w:rsidR="003F4FA2" w:rsidRPr="00B820D9">
        <w:rPr>
          <w:rFonts w:ascii="Times New Roman" w:hAnsi="Times New Roman" w:cs="Times New Roman"/>
          <w:i/>
          <w:sz w:val="24"/>
          <w:szCs w:val="24"/>
        </w:rPr>
        <w:t xml:space="preserve"> aprobat </w:t>
      </w:r>
      <w:r w:rsidR="00BB2633" w:rsidRPr="00B820D9">
        <w:rPr>
          <w:rFonts w:ascii="Times New Roman" w:hAnsi="Times New Roman" w:cs="Times New Roman"/>
          <w:i/>
          <w:iCs/>
          <w:sz w:val="24"/>
          <w:szCs w:val="24"/>
        </w:rPr>
        <w:t>Setul metodologic privind elaborarea, aprobarea și modificarea bugetului</w:t>
      </w:r>
      <w:r w:rsidR="00BB2633" w:rsidRPr="00B820D9">
        <w:rPr>
          <w:rFonts w:ascii="Times New Roman" w:hAnsi="Times New Roman" w:cs="Times New Roman"/>
          <w:i/>
          <w:sz w:val="24"/>
          <w:szCs w:val="24"/>
        </w:rPr>
        <w:t xml:space="preserve">, fiind publicat în </w:t>
      </w:r>
      <w:r w:rsidR="00BB2633" w:rsidRPr="00B820D9">
        <w:rPr>
          <w:rFonts w:ascii="Times New Roman" w:hAnsi="Times New Roman" w:cs="Times New Roman"/>
          <w:i/>
          <w:iCs/>
          <w:sz w:val="24"/>
          <w:szCs w:val="24"/>
        </w:rPr>
        <w:t>Monitorul Oficial al R</w:t>
      </w:r>
      <w:r w:rsidR="00D23403">
        <w:rPr>
          <w:rFonts w:ascii="Times New Roman" w:hAnsi="Times New Roman" w:cs="Times New Roman"/>
          <w:i/>
          <w:iCs/>
          <w:sz w:val="24"/>
          <w:szCs w:val="24"/>
        </w:rPr>
        <w:t>epublicii</w:t>
      </w:r>
      <w:r w:rsidR="00BB2633" w:rsidRPr="00B820D9">
        <w:rPr>
          <w:rFonts w:ascii="Times New Roman" w:hAnsi="Times New Roman" w:cs="Times New Roman"/>
          <w:i/>
          <w:iCs/>
          <w:sz w:val="24"/>
          <w:szCs w:val="24"/>
        </w:rPr>
        <w:t xml:space="preserve"> Moldova nr.5-8</w:t>
      </w:r>
      <w:r w:rsidR="00D23403">
        <w:rPr>
          <w:rFonts w:ascii="Times New Roman" w:hAnsi="Times New Roman" w:cs="Times New Roman"/>
          <w:i/>
          <w:iCs/>
          <w:sz w:val="24"/>
          <w:szCs w:val="24"/>
        </w:rPr>
        <w:t>,</w:t>
      </w:r>
      <w:r w:rsidR="00BB2633" w:rsidRPr="00B820D9">
        <w:rPr>
          <w:rFonts w:ascii="Times New Roman" w:hAnsi="Times New Roman" w:cs="Times New Roman"/>
          <w:i/>
          <w:iCs/>
          <w:sz w:val="24"/>
          <w:szCs w:val="24"/>
        </w:rPr>
        <w:t xml:space="preserve"> art.5 din 10.01.2024,</w:t>
      </w:r>
      <w:r w:rsidR="00BB2633" w:rsidRPr="00B820D9">
        <w:rPr>
          <w:rFonts w:ascii="Times New Roman" w:hAnsi="Times New Roman" w:cs="Times New Roman"/>
          <w:i/>
          <w:sz w:val="24"/>
          <w:szCs w:val="24"/>
        </w:rPr>
        <w:t xml:space="preserve"> care include reglementări privind elaborarea proiectelor de buget pentru autoritățil</w:t>
      </w:r>
      <w:r w:rsidR="00D23403">
        <w:rPr>
          <w:rFonts w:ascii="Times New Roman" w:hAnsi="Times New Roman" w:cs="Times New Roman"/>
          <w:i/>
          <w:sz w:val="24"/>
          <w:szCs w:val="24"/>
        </w:rPr>
        <w:t>e</w:t>
      </w:r>
      <w:r w:rsidR="00BB2633" w:rsidRPr="00B820D9">
        <w:rPr>
          <w:rFonts w:ascii="Times New Roman" w:hAnsi="Times New Roman" w:cs="Times New Roman"/>
          <w:i/>
          <w:sz w:val="24"/>
          <w:szCs w:val="24"/>
        </w:rPr>
        <w:t xml:space="preserve"> bugetare independente/autonome.</w:t>
      </w:r>
    </w:p>
    <w:p w14:paraId="3190F548" w14:textId="77777777" w:rsidR="00E56BB6" w:rsidRDefault="00E56BB6" w:rsidP="00BB2633">
      <w:pPr>
        <w:spacing w:after="120" w:line="276" w:lineRule="auto"/>
        <w:ind w:firstLine="720"/>
        <w:jc w:val="both"/>
        <w:rPr>
          <w:rFonts w:ascii="Times New Roman" w:hAnsi="Times New Roman" w:cs="Times New Roman"/>
          <w:i/>
          <w:sz w:val="24"/>
          <w:szCs w:val="24"/>
        </w:rPr>
      </w:pPr>
    </w:p>
    <w:p w14:paraId="4CF74315" w14:textId="0539B1CE" w:rsidR="00CF1C43" w:rsidRPr="004D2FF7" w:rsidRDefault="00CF1C43" w:rsidP="00CF1C43">
      <w:pPr>
        <w:spacing w:after="120" w:line="276" w:lineRule="auto"/>
        <w:jc w:val="both"/>
        <w:outlineLvl w:val="2"/>
        <w:rPr>
          <w:rFonts w:ascii="Times New Roman" w:hAnsi="Times New Roman" w:cs="Times New Roman"/>
          <w:b/>
          <w:i/>
          <w:color w:val="2E74B5" w:themeColor="accent1" w:themeShade="BF"/>
          <w:sz w:val="24"/>
          <w:szCs w:val="24"/>
        </w:rPr>
      </w:pPr>
      <w:bookmarkStart w:id="29" w:name="_Toc157776091"/>
      <w:r w:rsidRPr="004D2FF7">
        <w:rPr>
          <w:rFonts w:ascii="Times New Roman" w:eastAsia="Times New Roman" w:hAnsi="Times New Roman" w:cs="Times New Roman"/>
          <w:b/>
          <w:i/>
          <w:color w:val="2E74B5" w:themeColor="accent1" w:themeShade="BF"/>
          <w:sz w:val="24"/>
          <w:szCs w:val="24"/>
        </w:rPr>
        <w:t xml:space="preserve">4.1.2. Unii indicatori de performanță </w:t>
      </w:r>
      <w:r w:rsidR="0071457B">
        <w:rPr>
          <w:rFonts w:ascii="Times New Roman" w:eastAsia="Times New Roman" w:hAnsi="Times New Roman" w:cs="Times New Roman"/>
          <w:b/>
          <w:i/>
          <w:color w:val="2E74B5" w:themeColor="accent1" w:themeShade="BF"/>
          <w:sz w:val="24"/>
          <w:szCs w:val="24"/>
        </w:rPr>
        <w:t xml:space="preserve">planificați, </w:t>
      </w:r>
      <w:r w:rsidRPr="004D2FF7">
        <w:rPr>
          <w:rFonts w:ascii="Times New Roman" w:eastAsia="Times New Roman" w:hAnsi="Times New Roman" w:cs="Times New Roman"/>
          <w:b/>
          <w:i/>
          <w:color w:val="2E74B5" w:themeColor="accent1" w:themeShade="BF"/>
          <w:sz w:val="24"/>
          <w:szCs w:val="24"/>
        </w:rPr>
        <w:t>aferenți activității desfășurate de către CNPDCP</w:t>
      </w:r>
      <w:r w:rsidR="007123B4">
        <w:rPr>
          <w:rFonts w:ascii="Times New Roman" w:eastAsia="Times New Roman" w:hAnsi="Times New Roman" w:cs="Times New Roman"/>
          <w:b/>
          <w:i/>
          <w:color w:val="2E74B5" w:themeColor="accent1" w:themeShade="BF"/>
          <w:sz w:val="24"/>
          <w:szCs w:val="24"/>
        </w:rPr>
        <w:t>,</w:t>
      </w:r>
      <w:r w:rsidRPr="004D2FF7">
        <w:rPr>
          <w:rFonts w:ascii="Times New Roman" w:eastAsia="Times New Roman" w:hAnsi="Times New Roman" w:cs="Times New Roman"/>
          <w:b/>
          <w:i/>
          <w:color w:val="2E74B5" w:themeColor="accent1" w:themeShade="BF"/>
          <w:sz w:val="24"/>
          <w:szCs w:val="24"/>
        </w:rPr>
        <w:t xml:space="preserve"> </w:t>
      </w:r>
      <w:r w:rsidRPr="004D2FF7">
        <w:rPr>
          <w:rFonts w:ascii="Times New Roman" w:hAnsi="Times New Roman" w:cs="Times New Roman"/>
          <w:b/>
          <w:i/>
          <w:color w:val="2E74B5" w:themeColor="accent1" w:themeShade="BF"/>
          <w:sz w:val="24"/>
          <w:szCs w:val="24"/>
        </w:rPr>
        <w:t>nu au fost executați, iar alții au fost supraestimați,</w:t>
      </w:r>
      <w:r w:rsidR="005814B1" w:rsidRPr="004D2FF7">
        <w:rPr>
          <w:rFonts w:ascii="Times New Roman" w:hAnsi="Times New Roman" w:cs="Times New Roman"/>
          <w:b/>
          <w:i/>
          <w:color w:val="2E74B5" w:themeColor="accent1" w:themeShade="BF"/>
          <w:sz w:val="24"/>
          <w:szCs w:val="24"/>
        </w:rPr>
        <w:t xml:space="preserve"> </w:t>
      </w:r>
      <w:r w:rsidR="00536FC5" w:rsidRPr="004D2FF7">
        <w:rPr>
          <w:rFonts w:ascii="Times New Roman" w:hAnsi="Times New Roman" w:cs="Times New Roman"/>
          <w:b/>
          <w:i/>
          <w:color w:val="2E74B5" w:themeColor="accent1" w:themeShade="BF"/>
          <w:sz w:val="24"/>
          <w:szCs w:val="24"/>
        </w:rPr>
        <w:t xml:space="preserve">având </w:t>
      </w:r>
      <w:r w:rsidRPr="004D2FF7">
        <w:rPr>
          <w:rFonts w:ascii="Times New Roman" w:hAnsi="Times New Roman" w:cs="Times New Roman"/>
          <w:b/>
          <w:i/>
          <w:color w:val="2E74B5" w:themeColor="accent1" w:themeShade="BF"/>
          <w:sz w:val="24"/>
          <w:szCs w:val="24"/>
        </w:rPr>
        <w:t>un caracter formal</w:t>
      </w:r>
      <w:r w:rsidR="007123B4">
        <w:rPr>
          <w:rFonts w:ascii="Times New Roman" w:hAnsi="Times New Roman" w:cs="Times New Roman"/>
          <w:b/>
          <w:i/>
          <w:color w:val="2E74B5" w:themeColor="accent1" w:themeShade="BF"/>
          <w:sz w:val="24"/>
          <w:szCs w:val="24"/>
        </w:rPr>
        <w:t>,</w:t>
      </w:r>
      <w:r w:rsidR="00536FC5" w:rsidRPr="004D2FF7">
        <w:rPr>
          <w:rFonts w:ascii="Times New Roman" w:hAnsi="Times New Roman" w:cs="Times New Roman"/>
          <w:b/>
          <w:i/>
          <w:color w:val="2E74B5" w:themeColor="accent1" w:themeShade="BF"/>
          <w:sz w:val="24"/>
          <w:szCs w:val="24"/>
        </w:rPr>
        <w:t xml:space="preserve"> fără a</w:t>
      </w:r>
      <w:r w:rsidRPr="004D2FF7">
        <w:rPr>
          <w:rFonts w:ascii="Times New Roman" w:hAnsi="Times New Roman" w:cs="Times New Roman"/>
          <w:b/>
          <w:i/>
          <w:color w:val="2E74B5" w:themeColor="accent1" w:themeShade="BF"/>
          <w:sz w:val="24"/>
          <w:szCs w:val="24"/>
        </w:rPr>
        <w:t xml:space="preserve"> demonstr</w:t>
      </w:r>
      <w:r w:rsidR="00536FC5" w:rsidRPr="004D2FF7">
        <w:rPr>
          <w:rFonts w:ascii="Times New Roman" w:hAnsi="Times New Roman" w:cs="Times New Roman"/>
          <w:b/>
          <w:i/>
          <w:color w:val="2E74B5" w:themeColor="accent1" w:themeShade="BF"/>
          <w:sz w:val="24"/>
          <w:szCs w:val="24"/>
        </w:rPr>
        <w:t>a</w:t>
      </w:r>
      <w:r w:rsidRPr="004D2FF7">
        <w:rPr>
          <w:rFonts w:ascii="Times New Roman" w:hAnsi="Times New Roman" w:cs="Times New Roman"/>
          <w:b/>
          <w:i/>
          <w:color w:val="2E74B5" w:themeColor="accent1" w:themeShade="BF"/>
          <w:sz w:val="24"/>
          <w:szCs w:val="24"/>
        </w:rPr>
        <w:t xml:space="preserve"> implementarea obiectivelor asumate de entitate și</w:t>
      </w:r>
      <w:r w:rsidRPr="004D2FF7">
        <w:rPr>
          <w:rFonts w:ascii="Times New Roman" w:eastAsia="Times New Roman" w:hAnsi="Times New Roman" w:cs="Times New Roman"/>
          <w:b/>
          <w:i/>
          <w:color w:val="2E74B5" w:themeColor="accent1" w:themeShade="BF"/>
          <w:sz w:val="24"/>
          <w:szCs w:val="24"/>
        </w:rPr>
        <w:t xml:space="preserve"> nu sunt </w:t>
      </w:r>
      <w:r w:rsidRPr="004D2FF7">
        <w:rPr>
          <w:rFonts w:ascii="Times New Roman" w:hAnsi="Times New Roman" w:cs="Times New Roman"/>
          <w:b/>
          <w:i/>
          <w:color w:val="2E74B5" w:themeColor="accent1" w:themeShade="BF"/>
          <w:sz w:val="24"/>
          <w:szCs w:val="24"/>
        </w:rPr>
        <w:t>formulați în baza principiului SMART.</w:t>
      </w:r>
      <w:bookmarkEnd w:id="29"/>
    </w:p>
    <w:p w14:paraId="44D55C03" w14:textId="6129D7EF" w:rsidR="00F25A4D" w:rsidRPr="004D2FF7" w:rsidRDefault="00280524" w:rsidP="00684011">
      <w:pPr>
        <w:spacing w:after="120" w:line="276" w:lineRule="auto"/>
        <w:jc w:val="both"/>
        <w:rPr>
          <w:rFonts w:ascii="Times New Roman" w:hAnsi="Times New Roman" w:cs="Times New Roman"/>
          <w:color w:val="000000"/>
          <w:sz w:val="24"/>
          <w:szCs w:val="24"/>
          <w:lang w:val="ro-RO"/>
        </w:rPr>
      </w:pPr>
      <w:r w:rsidRPr="004D2FF7">
        <w:rPr>
          <w:rFonts w:ascii="Times New Roman" w:hAnsi="Times New Roman" w:cs="Times New Roman"/>
          <w:sz w:val="24"/>
          <w:szCs w:val="24"/>
        </w:rPr>
        <w:t>O altă observație de audit relevă că, deși în procesul de elaborare a bugetului CNPDCP pentru perioada verificată instituția și-a stabilit scopul</w:t>
      </w:r>
      <w:r w:rsidRPr="004D2FF7">
        <w:rPr>
          <w:rFonts w:ascii="Times New Roman" w:hAnsi="Times New Roman" w:cs="Times New Roman"/>
          <w:sz w:val="24"/>
          <w:szCs w:val="24"/>
          <w:vertAlign w:val="superscript"/>
        </w:rPr>
        <w:footnoteReference w:id="31"/>
      </w:r>
      <w:r w:rsidRPr="004D2FF7">
        <w:rPr>
          <w:rFonts w:ascii="Times New Roman" w:hAnsi="Times New Roman" w:cs="Times New Roman"/>
          <w:sz w:val="24"/>
          <w:szCs w:val="24"/>
        </w:rPr>
        <w:t>, obiectivele operaționale și indicatorii de performanță, de fapt</w:t>
      </w:r>
      <w:r w:rsidR="002D43A1" w:rsidRPr="004D2FF7">
        <w:rPr>
          <w:rFonts w:ascii="Times New Roman" w:hAnsi="Times New Roman" w:cs="Times New Roman"/>
          <w:sz w:val="24"/>
          <w:szCs w:val="24"/>
        </w:rPr>
        <w:t xml:space="preserve"> o parte din</w:t>
      </w:r>
      <w:r w:rsidRPr="004D2FF7">
        <w:rPr>
          <w:rFonts w:ascii="Times New Roman" w:hAnsi="Times New Roman" w:cs="Times New Roman"/>
          <w:sz w:val="24"/>
          <w:szCs w:val="24"/>
        </w:rPr>
        <w:t xml:space="preserve"> indicatorii stabiliți</w:t>
      </w:r>
      <w:r w:rsidR="00A057FF" w:rsidRPr="004D2FF7">
        <w:rPr>
          <w:rFonts w:ascii="Times New Roman" w:hAnsi="Times New Roman" w:cs="Times New Roman"/>
          <w:sz w:val="24"/>
          <w:szCs w:val="24"/>
        </w:rPr>
        <w:t xml:space="preserve"> în perioada 2018-2022</w:t>
      </w:r>
      <w:r w:rsidR="002D43A1" w:rsidRPr="004D2FF7">
        <w:rPr>
          <w:rFonts w:ascii="Times New Roman" w:hAnsi="Times New Roman" w:cs="Times New Roman"/>
          <w:sz w:val="24"/>
          <w:szCs w:val="24"/>
        </w:rPr>
        <w:t xml:space="preserve"> nu au fost executați</w:t>
      </w:r>
      <w:r w:rsidR="000670BA" w:rsidRPr="004D2FF7">
        <w:rPr>
          <w:rFonts w:ascii="Times New Roman" w:hAnsi="Times New Roman" w:cs="Times New Roman"/>
          <w:sz w:val="24"/>
          <w:szCs w:val="24"/>
        </w:rPr>
        <w:t>,</w:t>
      </w:r>
      <w:r w:rsidR="002D43A1" w:rsidRPr="004D2FF7">
        <w:rPr>
          <w:rFonts w:ascii="Times New Roman" w:hAnsi="Times New Roman" w:cs="Times New Roman"/>
          <w:sz w:val="24"/>
          <w:szCs w:val="24"/>
        </w:rPr>
        <w:t xml:space="preserve"> </w:t>
      </w:r>
      <w:r w:rsidR="000670BA" w:rsidRPr="004D2FF7">
        <w:rPr>
          <w:rFonts w:ascii="Times New Roman" w:hAnsi="Times New Roman" w:cs="Times New Roman"/>
          <w:sz w:val="24"/>
          <w:szCs w:val="24"/>
        </w:rPr>
        <w:t>alții</w:t>
      </w:r>
      <w:r w:rsidRPr="004D2FF7">
        <w:rPr>
          <w:rFonts w:ascii="Times New Roman" w:hAnsi="Times New Roman" w:cs="Times New Roman"/>
          <w:sz w:val="24"/>
          <w:szCs w:val="24"/>
        </w:rPr>
        <w:t xml:space="preserve"> poartă un caracter formal și nu demonstrează implementarea obiectivelor asumate de entitate</w:t>
      </w:r>
      <w:r w:rsidR="00C927A5" w:rsidRPr="004D2FF7">
        <w:rPr>
          <w:rFonts w:ascii="Times New Roman" w:hAnsi="Times New Roman" w:cs="Times New Roman"/>
          <w:sz w:val="24"/>
          <w:szCs w:val="24"/>
        </w:rPr>
        <w:t>,</w:t>
      </w:r>
      <w:r w:rsidR="00D60DF2" w:rsidRPr="004D2FF7">
        <w:rPr>
          <w:rFonts w:ascii="Times New Roman" w:hAnsi="Times New Roman" w:cs="Times New Roman"/>
          <w:sz w:val="24"/>
          <w:szCs w:val="24"/>
        </w:rPr>
        <w:t xml:space="preserve"> </w:t>
      </w:r>
      <w:r w:rsidR="00C927A5" w:rsidRPr="004D2FF7">
        <w:rPr>
          <w:rFonts w:ascii="Times New Roman" w:hAnsi="Times New Roman" w:cs="Times New Roman"/>
          <w:sz w:val="24"/>
          <w:szCs w:val="24"/>
        </w:rPr>
        <w:t>deoarece</w:t>
      </w:r>
      <w:r w:rsidR="00D60DF2" w:rsidRPr="004D2FF7">
        <w:rPr>
          <w:rFonts w:ascii="Times New Roman" w:hAnsi="Times New Roman" w:cs="Times New Roman"/>
          <w:sz w:val="24"/>
          <w:szCs w:val="24"/>
        </w:rPr>
        <w:t xml:space="preserve"> până în prezent</w:t>
      </w:r>
      <w:r w:rsidR="002D43A1" w:rsidRPr="004D2FF7">
        <w:rPr>
          <w:rFonts w:ascii="Times New Roman" w:hAnsi="Times New Roman" w:cs="Times New Roman"/>
          <w:sz w:val="24"/>
          <w:szCs w:val="24"/>
        </w:rPr>
        <w:t xml:space="preserve"> </w:t>
      </w:r>
      <w:r w:rsidR="00D60DF2" w:rsidRPr="004D2FF7">
        <w:rPr>
          <w:rFonts w:ascii="Times New Roman" w:hAnsi="Times New Roman" w:cs="Times New Roman"/>
          <w:sz w:val="24"/>
          <w:szCs w:val="24"/>
        </w:rPr>
        <w:t>legislația națională</w:t>
      </w:r>
      <w:r w:rsidR="004869F6" w:rsidRPr="004D2FF7">
        <w:rPr>
          <w:rFonts w:ascii="Times New Roman" w:hAnsi="Times New Roman" w:cs="Times New Roman"/>
          <w:sz w:val="24"/>
          <w:szCs w:val="24"/>
        </w:rPr>
        <w:t xml:space="preserve"> nu a fost</w:t>
      </w:r>
      <w:r w:rsidR="00256B6F" w:rsidRPr="004D2FF7">
        <w:rPr>
          <w:rFonts w:ascii="Times New Roman" w:hAnsi="Times New Roman" w:cs="Times New Roman"/>
          <w:sz w:val="24"/>
          <w:szCs w:val="24"/>
        </w:rPr>
        <w:t xml:space="preserve"> racordată la acquis-ul Uniunii Europene, inclusiv</w:t>
      </w:r>
      <w:r w:rsidR="00E072AC" w:rsidRPr="004D2FF7">
        <w:rPr>
          <w:rFonts w:ascii="Times New Roman" w:hAnsi="Times New Roman" w:cs="Times New Roman"/>
          <w:sz w:val="24"/>
          <w:szCs w:val="24"/>
        </w:rPr>
        <w:t xml:space="preserve"> la</w:t>
      </w:r>
      <w:r w:rsidR="002543A6" w:rsidRPr="004D2FF7">
        <w:rPr>
          <w:rFonts w:ascii="Times New Roman" w:hAnsi="Times New Roman" w:cs="Times New Roman"/>
          <w:sz w:val="24"/>
          <w:szCs w:val="24"/>
        </w:rPr>
        <w:t xml:space="preserve"> </w:t>
      </w:r>
      <w:r w:rsidR="002543A6" w:rsidRPr="004D2FF7">
        <w:rPr>
          <w:rFonts w:ascii="Times New Roman" w:hAnsi="Times New Roman" w:cs="Times New Roman"/>
          <w:b/>
          <w:color w:val="000000"/>
          <w:sz w:val="24"/>
          <w:szCs w:val="24"/>
          <w:lang w:val="ro-RO"/>
        </w:rPr>
        <w:t>Directiva (UE) 2016/680</w:t>
      </w:r>
      <w:r w:rsidR="002543A6" w:rsidRPr="004D2FF7">
        <w:rPr>
          <w:rFonts w:ascii="Times New Roman" w:hAnsi="Times New Roman" w:cs="Times New Roman"/>
          <w:color w:val="000000"/>
          <w:sz w:val="24"/>
          <w:szCs w:val="24"/>
          <w:lang w:val="ro-RO"/>
        </w:rPr>
        <w:t xml:space="preserve"> și</w:t>
      </w:r>
      <w:r w:rsidR="00E072AC" w:rsidRPr="004D2FF7">
        <w:rPr>
          <w:rFonts w:ascii="Times New Roman" w:hAnsi="Times New Roman" w:cs="Times New Roman"/>
          <w:color w:val="000000"/>
          <w:sz w:val="24"/>
          <w:szCs w:val="24"/>
          <w:lang w:val="ro-RO"/>
        </w:rPr>
        <w:t xml:space="preserve"> </w:t>
      </w:r>
      <w:r w:rsidR="00D60DF2" w:rsidRPr="004D2FF7">
        <w:rPr>
          <w:rFonts w:ascii="Times New Roman" w:hAnsi="Times New Roman" w:cs="Times New Roman"/>
          <w:b/>
          <w:color w:val="000000"/>
          <w:sz w:val="24"/>
          <w:szCs w:val="24"/>
          <w:lang w:val="ro-RO"/>
        </w:rPr>
        <w:t>Regulamentul (UE) 679/2016</w:t>
      </w:r>
      <w:r w:rsidR="00D60DF2" w:rsidRPr="004D2FF7">
        <w:rPr>
          <w:rFonts w:ascii="Times New Roman" w:hAnsi="Times New Roman" w:cs="Times New Roman"/>
          <w:color w:val="000000"/>
          <w:sz w:val="24"/>
          <w:szCs w:val="24"/>
          <w:lang w:val="ro-RO"/>
        </w:rPr>
        <w:t xml:space="preserve"> al Parlamentului European și al Consiliului din 27 aprilie 2016</w:t>
      </w:r>
      <w:r w:rsidR="002543A6" w:rsidRPr="004D2FF7">
        <w:rPr>
          <w:rStyle w:val="FootnoteReference"/>
          <w:rFonts w:ascii="Times New Roman" w:hAnsi="Times New Roman" w:cs="Times New Roman"/>
          <w:color w:val="000000"/>
          <w:sz w:val="24"/>
          <w:szCs w:val="24"/>
          <w:lang w:val="ro-RO"/>
        </w:rPr>
        <w:footnoteReference w:id="32"/>
      </w:r>
      <w:r w:rsidR="00156320" w:rsidRPr="004D2FF7">
        <w:rPr>
          <w:rFonts w:ascii="Times New Roman" w:hAnsi="Times New Roman" w:cs="Times New Roman"/>
          <w:color w:val="000000"/>
          <w:sz w:val="24"/>
          <w:szCs w:val="24"/>
          <w:lang w:val="ro-RO"/>
        </w:rPr>
        <w:t>.</w:t>
      </w:r>
    </w:p>
    <w:p w14:paraId="4837C1B2" w14:textId="77777777" w:rsidR="00F3307D" w:rsidRPr="004D2FF7" w:rsidRDefault="00156320" w:rsidP="00D54F31">
      <w:pPr>
        <w:pStyle w:val="FootnoteText"/>
        <w:spacing w:after="120" w:line="276" w:lineRule="auto"/>
        <w:jc w:val="both"/>
        <w:rPr>
          <w:rFonts w:ascii="Times New Roman" w:hAnsi="Times New Roman" w:cs="Times New Roman"/>
          <w:sz w:val="24"/>
          <w:szCs w:val="24"/>
          <w:lang w:val="ro-RO"/>
        </w:rPr>
      </w:pPr>
      <w:r w:rsidRPr="004D2FF7">
        <w:rPr>
          <w:rFonts w:ascii="Times New Roman" w:hAnsi="Times New Roman" w:cs="Times New Roman"/>
          <w:color w:val="000000"/>
          <w:sz w:val="24"/>
          <w:szCs w:val="24"/>
          <w:lang w:val="ro-RO"/>
        </w:rPr>
        <w:t xml:space="preserve"> </w:t>
      </w:r>
      <w:r w:rsidR="0098430C" w:rsidRPr="004D2FF7">
        <w:rPr>
          <w:rFonts w:ascii="Times New Roman" w:hAnsi="Times New Roman" w:cs="Times New Roman"/>
          <w:color w:val="000000"/>
          <w:sz w:val="24"/>
          <w:szCs w:val="24"/>
          <w:lang w:val="ro-RO"/>
        </w:rPr>
        <w:t>Se relevă</w:t>
      </w:r>
      <w:r w:rsidRPr="004D2FF7">
        <w:rPr>
          <w:rFonts w:ascii="Times New Roman" w:hAnsi="Times New Roman" w:cs="Times New Roman"/>
          <w:color w:val="000000"/>
          <w:sz w:val="24"/>
          <w:szCs w:val="24"/>
          <w:lang w:val="ro-RO"/>
        </w:rPr>
        <w:t xml:space="preserve"> că</w:t>
      </w:r>
      <w:r w:rsidR="007123B4">
        <w:rPr>
          <w:rFonts w:ascii="Times New Roman" w:hAnsi="Times New Roman" w:cs="Times New Roman"/>
          <w:color w:val="000000"/>
          <w:sz w:val="24"/>
          <w:szCs w:val="24"/>
          <w:lang w:val="ro-RO"/>
        </w:rPr>
        <w:t>,</w:t>
      </w:r>
      <w:r w:rsidR="0098430C" w:rsidRPr="004D2FF7">
        <w:rPr>
          <w:rFonts w:ascii="Times New Roman" w:hAnsi="Times New Roman" w:cs="Times New Roman"/>
          <w:color w:val="000000"/>
          <w:sz w:val="24"/>
          <w:szCs w:val="24"/>
          <w:lang w:val="ro-RO"/>
        </w:rPr>
        <w:t xml:space="preserve"> deși</w:t>
      </w:r>
      <w:r w:rsidRPr="004D2FF7">
        <w:rPr>
          <w:rFonts w:ascii="Times New Roman" w:hAnsi="Times New Roman" w:cs="Times New Roman"/>
          <w:color w:val="000000"/>
          <w:sz w:val="24"/>
          <w:szCs w:val="24"/>
          <w:lang w:val="ro-RO"/>
        </w:rPr>
        <w:t xml:space="preserve"> </w:t>
      </w:r>
      <w:r w:rsidR="00A057FF" w:rsidRPr="004D2FF7">
        <w:rPr>
          <w:rFonts w:ascii="Times New Roman" w:hAnsi="Times New Roman" w:cs="Times New Roman"/>
          <w:color w:val="000000"/>
          <w:sz w:val="24"/>
          <w:szCs w:val="24"/>
          <w:lang w:val="ro-RO"/>
        </w:rPr>
        <w:t xml:space="preserve">în </w:t>
      </w:r>
      <w:r w:rsidR="00CD426B" w:rsidRPr="004D2FF7">
        <w:rPr>
          <w:rFonts w:ascii="Times New Roman" w:hAnsi="Times New Roman" w:cs="Times New Roman"/>
          <w:color w:val="000000"/>
          <w:sz w:val="24"/>
          <w:szCs w:val="24"/>
          <w:lang w:val="ro-RO"/>
        </w:rPr>
        <w:t>r</w:t>
      </w:r>
      <w:r w:rsidR="00A057FF" w:rsidRPr="004D2FF7">
        <w:rPr>
          <w:rFonts w:ascii="Times New Roman" w:hAnsi="Times New Roman" w:cs="Times New Roman"/>
          <w:color w:val="000000"/>
          <w:sz w:val="24"/>
          <w:szCs w:val="24"/>
          <w:lang w:val="ro-RO"/>
        </w:rPr>
        <w:t>apo</w:t>
      </w:r>
      <w:r w:rsidR="00CD426B" w:rsidRPr="004D2FF7">
        <w:rPr>
          <w:rFonts w:ascii="Times New Roman" w:hAnsi="Times New Roman" w:cs="Times New Roman"/>
          <w:color w:val="000000"/>
          <w:sz w:val="24"/>
          <w:szCs w:val="24"/>
          <w:lang w:val="ro-RO"/>
        </w:rPr>
        <w:t>a</w:t>
      </w:r>
      <w:r w:rsidR="00A057FF" w:rsidRPr="004D2FF7">
        <w:rPr>
          <w:rFonts w:ascii="Times New Roman" w:hAnsi="Times New Roman" w:cs="Times New Roman"/>
          <w:color w:val="000000"/>
          <w:sz w:val="24"/>
          <w:szCs w:val="24"/>
          <w:lang w:val="ro-RO"/>
        </w:rPr>
        <w:t>rt</w:t>
      </w:r>
      <w:r w:rsidR="00CD426B" w:rsidRPr="004D2FF7">
        <w:rPr>
          <w:rFonts w:ascii="Times New Roman" w:hAnsi="Times New Roman" w:cs="Times New Roman"/>
          <w:color w:val="000000"/>
          <w:sz w:val="24"/>
          <w:szCs w:val="24"/>
          <w:lang w:val="ro-RO"/>
        </w:rPr>
        <w:t>ele de performanță pe anii</w:t>
      </w:r>
      <w:r w:rsidR="00A057FF" w:rsidRPr="004D2FF7">
        <w:rPr>
          <w:rFonts w:ascii="Times New Roman" w:hAnsi="Times New Roman" w:cs="Times New Roman"/>
          <w:color w:val="000000"/>
          <w:sz w:val="24"/>
          <w:szCs w:val="24"/>
          <w:lang w:val="ro-RO"/>
        </w:rPr>
        <w:t xml:space="preserve"> </w:t>
      </w:r>
      <w:r w:rsidR="00CD426B" w:rsidRPr="004D2FF7">
        <w:rPr>
          <w:rFonts w:ascii="Times New Roman" w:hAnsi="Times New Roman" w:cs="Times New Roman"/>
          <w:sz w:val="24"/>
          <w:szCs w:val="24"/>
        </w:rPr>
        <w:t>2018-2022</w:t>
      </w:r>
      <w:r w:rsidR="00D25F4E" w:rsidRPr="004D2FF7">
        <w:rPr>
          <w:rFonts w:ascii="Times New Roman" w:hAnsi="Times New Roman" w:cs="Times New Roman"/>
          <w:color w:val="000000"/>
          <w:sz w:val="24"/>
          <w:szCs w:val="24"/>
          <w:lang w:val="ro-RO"/>
        </w:rPr>
        <w:t xml:space="preserve"> prezentate Ministerului Finanțelor</w:t>
      </w:r>
      <w:r w:rsidR="00DA571E" w:rsidRPr="004D2FF7">
        <w:rPr>
          <w:rFonts w:ascii="Times New Roman" w:hAnsi="Times New Roman" w:cs="Times New Roman"/>
          <w:color w:val="000000"/>
          <w:sz w:val="24"/>
          <w:szCs w:val="24"/>
          <w:lang w:val="ro-RO"/>
        </w:rPr>
        <w:t>,</w:t>
      </w:r>
      <w:r w:rsidR="00CD426B" w:rsidRPr="004D2FF7">
        <w:rPr>
          <w:rFonts w:ascii="Times New Roman" w:hAnsi="Times New Roman" w:cs="Times New Roman"/>
          <w:sz w:val="24"/>
          <w:szCs w:val="24"/>
        </w:rPr>
        <w:t xml:space="preserve"> </w:t>
      </w:r>
      <w:r w:rsidR="00403455" w:rsidRPr="004D2FF7">
        <w:rPr>
          <w:rFonts w:ascii="Times New Roman" w:hAnsi="Times New Roman" w:cs="Times New Roman"/>
          <w:color w:val="000000"/>
          <w:sz w:val="24"/>
          <w:szCs w:val="24"/>
          <w:lang w:val="ro-RO"/>
        </w:rPr>
        <w:t xml:space="preserve">prin </w:t>
      </w:r>
      <w:r w:rsidR="005516E5" w:rsidRPr="004D2FF7">
        <w:rPr>
          <w:rFonts w:ascii="Times New Roman" w:hAnsi="Times New Roman" w:cs="Times New Roman"/>
          <w:color w:val="000000"/>
          <w:sz w:val="24"/>
          <w:szCs w:val="24"/>
          <w:lang w:val="ro-RO"/>
        </w:rPr>
        <w:t>descri</w:t>
      </w:r>
      <w:r w:rsidR="00403455" w:rsidRPr="004D2FF7">
        <w:rPr>
          <w:rFonts w:ascii="Times New Roman" w:hAnsi="Times New Roman" w:cs="Times New Roman"/>
          <w:color w:val="000000"/>
          <w:sz w:val="24"/>
          <w:szCs w:val="24"/>
          <w:lang w:val="ro-RO"/>
        </w:rPr>
        <w:t>erea</w:t>
      </w:r>
      <w:r w:rsidR="005516E5" w:rsidRPr="004D2FF7">
        <w:rPr>
          <w:rFonts w:ascii="Times New Roman" w:hAnsi="Times New Roman" w:cs="Times New Roman"/>
          <w:color w:val="000000"/>
          <w:sz w:val="24"/>
          <w:szCs w:val="24"/>
          <w:lang w:val="ro-RO"/>
        </w:rPr>
        <w:t xml:space="preserve"> narativ</w:t>
      </w:r>
      <w:r w:rsidR="00403455" w:rsidRPr="004D2FF7">
        <w:rPr>
          <w:rFonts w:ascii="Times New Roman" w:hAnsi="Times New Roman" w:cs="Times New Roman"/>
          <w:color w:val="000000"/>
          <w:sz w:val="24"/>
          <w:szCs w:val="24"/>
          <w:lang w:val="ro-RO"/>
        </w:rPr>
        <w:t>ă a subprogramului</w:t>
      </w:r>
      <w:r w:rsidRPr="004D2FF7">
        <w:rPr>
          <w:rFonts w:ascii="Times New Roman" w:hAnsi="Times New Roman" w:cs="Times New Roman"/>
          <w:color w:val="000000"/>
          <w:sz w:val="24"/>
          <w:szCs w:val="24"/>
          <w:lang w:val="ro-RO"/>
        </w:rPr>
        <w:t xml:space="preserve"> </w:t>
      </w:r>
      <w:r w:rsidR="00C94F0D" w:rsidRPr="004D2FF7">
        <w:rPr>
          <w:rFonts w:ascii="Times New Roman" w:hAnsi="Times New Roman" w:cs="Times New Roman"/>
          <w:color w:val="000000"/>
          <w:sz w:val="24"/>
          <w:szCs w:val="24"/>
          <w:lang w:val="ro-RO"/>
        </w:rPr>
        <w:t>„Protecția datelor cu caracter personal”</w:t>
      </w:r>
      <w:r w:rsidR="00C207B0" w:rsidRPr="004D2FF7">
        <w:rPr>
          <w:rFonts w:ascii="Times New Roman" w:hAnsi="Times New Roman" w:cs="Times New Roman"/>
          <w:color w:val="000000"/>
          <w:sz w:val="24"/>
          <w:szCs w:val="24"/>
          <w:lang w:val="ro-RO"/>
        </w:rPr>
        <w:t xml:space="preserve"> </w:t>
      </w:r>
      <w:r w:rsidR="00F3307D" w:rsidRPr="004D2FF7">
        <w:rPr>
          <w:rFonts w:ascii="Times New Roman" w:hAnsi="Times New Roman" w:cs="Times New Roman"/>
          <w:color w:val="000000"/>
          <w:sz w:val="24"/>
          <w:szCs w:val="24"/>
          <w:lang w:val="ro-RO"/>
        </w:rPr>
        <w:t>cu</w:t>
      </w:r>
      <w:r w:rsidR="00C207B0" w:rsidRPr="004D2FF7">
        <w:rPr>
          <w:rFonts w:ascii="Times New Roman" w:hAnsi="Times New Roman" w:cs="Times New Roman"/>
          <w:color w:val="000000"/>
          <w:sz w:val="24"/>
          <w:szCs w:val="24"/>
          <w:lang w:val="ro-RO"/>
        </w:rPr>
        <w:t xml:space="preserve"> </w:t>
      </w:r>
      <w:r w:rsidR="008740B1" w:rsidRPr="004D2FF7">
        <w:rPr>
          <w:rFonts w:ascii="Times New Roman" w:hAnsi="Times New Roman" w:cs="Times New Roman"/>
          <w:color w:val="000000"/>
          <w:sz w:val="24"/>
          <w:szCs w:val="24"/>
          <w:lang w:val="ro-RO"/>
        </w:rPr>
        <w:t>utilizarea</w:t>
      </w:r>
      <w:r w:rsidR="00F3307D" w:rsidRPr="004D2FF7">
        <w:rPr>
          <w:rFonts w:ascii="Times New Roman" w:hAnsi="Times New Roman" w:cs="Times New Roman"/>
          <w:color w:val="000000"/>
          <w:sz w:val="24"/>
          <w:szCs w:val="24"/>
          <w:lang w:val="ro-RO"/>
        </w:rPr>
        <w:t xml:space="preserve"> mijloacelor</w:t>
      </w:r>
      <w:r w:rsidR="008740B1" w:rsidRPr="004D2FF7">
        <w:rPr>
          <w:rFonts w:ascii="Times New Roman" w:hAnsi="Times New Roman" w:cs="Times New Roman"/>
          <w:color w:val="000000"/>
          <w:sz w:val="24"/>
          <w:szCs w:val="24"/>
          <w:lang w:val="ro-RO"/>
        </w:rPr>
        <w:t xml:space="preserve"> </w:t>
      </w:r>
      <w:r w:rsidR="00F3307D" w:rsidRPr="004D2FF7">
        <w:rPr>
          <w:rFonts w:ascii="Times New Roman" w:hAnsi="Times New Roman" w:cs="Times New Roman"/>
          <w:color w:val="000000"/>
          <w:sz w:val="24"/>
          <w:szCs w:val="24"/>
          <w:lang w:val="ro-RO"/>
        </w:rPr>
        <w:t>bugetare</w:t>
      </w:r>
      <w:r w:rsidR="009521E0" w:rsidRPr="004D2FF7">
        <w:rPr>
          <w:rFonts w:ascii="Times New Roman" w:hAnsi="Times New Roman" w:cs="Times New Roman"/>
          <w:color w:val="000000"/>
          <w:sz w:val="24"/>
          <w:szCs w:val="24"/>
          <w:lang w:val="ro-RO"/>
        </w:rPr>
        <w:t xml:space="preserve"> în sumă de </w:t>
      </w:r>
      <w:r w:rsidR="009521E0" w:rsidRPr="004D2FF7">
        <w:rPr>
          <w:rFonts w:ascii="Times New Roman" w:hAnsi="Times New Roman" w:cs="Times New Roman"/>
          <w:sz w:val="24"/>
          <w:szCs w:val="24"/>
        </w:rPr>
        <w:t>38</w:t>
      </w:r>
      <w:r w:rsidR="007123B4">
        <w:rPr>
          <w:rFonts w:ascii="Times New Roman" w:hAnsi="Times New Roman" w:cs="Times New Roman"/>
          <w:sz w:val="24"/>
          <w:szCs w:val="24"/>
        </w:rPr>
        <w:t>.</w:t>
      </w:r>
      <w:r w:rsidR="009521E0" w:rsidRPr="004D2FF7">
        <w:rPr>
          <w:rFonts w:ascii="Times New Roman" w:hAnsi="Times New Roman" w:cs="Times New Roman"/>
          <w:sz w:val="24"/>
          <w:szCs w:val="24"/>
        </w:rPr>
        <w:t>230,4 mii lei</w:t>
      </w:r>
      <w:r w:rsidR="00BB1BE7" w:rsidRPr="004D2FF7">
        <w:rPr>
          <w:rFonts w:ascii="Times New Roman" w:hAnsi="Times New Roman" w:cs="Times New Roman"/>
          <w:sz w:val="24"/>
          <w:szCs w:val="24"/>
        </w:rPr>
        <w:t>,</w:t>
      </w:r>
      <w:r w:rsidR="008740B1" w:rsidRPr="004D2FF7">
        <w:rPr>
          <w:rFonts w:ascii="Times New Roman" w:hAnsi="Times New Roman" w:cs="Times New Roman"/>
          <w:color w:val="000000"/>
          <w:sz w:val="24"/>
          <w:szCs w:val="24"/>
          <w:lang w:val="ro-RO"/>
        </w:rPr>
        <w:t xml:space="preserve"> </w:t>
      </w:r>
      <w:r w:rsidR="00DD74F8" w:rsidRPr="004D2FF7">
        <w:rPr>
          <w:rFonts w:ascii="Times New Roman" w:hAnsi="Times New Roman" w:cs="Times New Roman"/>
          <w:color w:val="000000"/>
          <w:sz w:val="24"/>
          <w:szCs w:val="24"/>
          <w:lang w:val="ro-RO"/>
        </w:rPr>
        <w:t xml:space="preserve">CNPDCP </w:t>
      </w:r>
      <w:r w:rsidRPr="004D2FF7">
        <w:rPr>
          <w:rFonts w:ascii="Times New Roman" w:hAnsi="Times New Roman" w:cs="Times New Roman"/>
          <w:color w:val="000000"/>
          <w:sz w:val="24"/>
          <w:szCs w:val="24"/>
          <w:lang w:val="ro-RO"/>
        </w:rPr>
        <w:t>face trimitere</w:t>
      </w:r>
      <w:r w:rsidR="00A057FF" w:rsidRPr="004D2FF7">
        <w:rPr>
          <w:rFonts w:ascii="Times New Roman" w:hAnsi="Times New Roman" w:cs="Times New Roman"/>
          <w:color w:val="000000"/>
          <w:sz w:val="24"/>
          <w:szCs w:val="24"/>
          <w:lang w:val="ro-RO"/>
        </w:rPr>
        <w:t xml:space="preserve"> la </w:t>
      </w:r>
      <w:r w:rsidR="002543A6" w:rsidRPr="004D2FF7">
        <w:rPr>
          <w:rFonts w:ascii="Times New Roman" w:hAnsi="Times New Roman" w:cs="Times New Roman"/>
          <w:color w:val="000000"/>
          <w:sz w:val="24"/>
          <w:szCs w:val="24"/>
          <w:lang w:val="ro-RO"/>
        </w:rPr>
        <w:t>Directiva (UE) 2016/680 și Regulamentul (UE) 679/2016 a</w:t>
      </w:r>
      <w:r w:rsidR="00A12973">
        <w:rPr>
          <w:rFonts w:ascii="Times New Roman" w:hAnsi="Times New Roman" w:cs="Times New Roman"/>
          <w:color w:val="000000"/>
          <w:sz w:val="24"/>
          <w:szCs w:val="24"/>
          <w:lang w:val="ro-RO"/>
        </w:rPr>
        <w:t>l</w:t>
      </w:r>
      <w:r w:rsidR="002543A6" w:rsidRPr="004D2FF7">
        <w:rPr>
          <w:rFonts w:ascii="Times New Roman" w:hAnsi="Times New Roman" w:cs="Times New Roman"/>
          <w:color w:val="000000"/>
          <w:sz w:val="24"/>
          <w:szCs w:val="24"/>
          <w:lang w:val="ro-RO"/>
        </w:rPr>
        <w:t xml:space="preserve"> Parlamentului European și a</w:t>
      </w:r>
      <w:r w:rsidR="00A12973">
        <w:rPr>
          <w:rFonts w:ascii="Times New Roman" w:hAnsi="Times New Roman" w:cs="Times New Roman"/>
          <w:color w:val="000000"/>
          <w:sz w:val="24"/>
          <w:szCs w:val="24"/>
          <w:lang w:val="ro-RO"/>
        </w:rPr>
        <w:t>l</w:t>
      </w:r>
      <w:r w:rsidR="002543A6" w:rsidRPr="004D2FF7">
        <w:rPr>
          <w:rFonts w:ascii="Times New Roman" w:hAnsi="Times New Roman" w:cs="Times New Roman"/>
          <w:color w:val="000000"/>
          <w:sz w:val="24"/>
          <w:szCs w:val="24"/>
          <w:lang w:val="ro-RO"/>
        </w:rPr>
        <w:t xml:space="preserve"> Consiliului din 27 aprilie 2016</w:t>
      </w:r>
      <w:r w:rsidR="00AF5563" w:rsidRPr="004D2FF7">
        <w:rPr>
          <w:rFonts w:ascii="Times New Roman" w:hAnsi="Times New Roman" w:cs="Times New Roman"/>
          <w:color w:val="000000"/>
          <w:sz w:val="24"/>
          <w:szCs w:val="24"/>
          <w:lang w:val="ro-RO"/>
        </w:rPr>
        <w:t>, în vigoare din anul 2018</w:t>
      </w:r>
      <w:r w:rsidR="00684011" w:rsidRPr="004D2FF7">
        <w:rPr>
          <w:rFonts w:ascii="Times New Roman" w:hAnsi="Times New Roman" w:cs="Times New Roman"/>
          <w:color w:val="000000"/>
          <w:sz w:val="24"/>
          <w:szCs w:val="24"/>
          <w:lang w:val="ro-RO"/>
        </w:rPr>
        <w:t>,</w:t>
      </w:r>
      <w:r w:rsidRPr="004D2FF7">
        <w:rPr>
          <w:rFonts w:ascii="Times New Roman" w:hAnsi="Times New Roman" w:cs="Times New Roman"/>
          <w:color w:val="000000"/>
          <w:sz w:val="24"/>
          <w:szCs w:val="24"/>
          <w:lang w:val="ro-RO"/>
        </w:rPr>
        <w:t xml:space="preserve"> </w:t>
      </w:r>
      <w:r w:rsidR="00BB1BE7" w:rsidRPr="004D2FF7">
        <w:rPr>
          <w:rFonts w:ascii="Times New Roman" w:hAnsi="Times New Roman" w:cs="Times New Roman"/>
          <w:color w:val="000000"/>
          <w:sz w:val="24"/>
          <w:szCs w:val="24"/>
          <w:lang w:val="ro-RO"/>
        </w:rPr>
        <w:t xml:space="preserve">acestea </w:t>
      </w:r>
      <w:r w:rsidR="00DA571E" w:rsidRPr="004D2FF7">
        <w:rPr>
          <w:rFonts w:ascii="Times New Roman" w:hAnsi="Times New Roman" w:cs="Times New Roman"/>
          <w:color w:val="000000"/>
          <w:sz w:val="24"/>
          <w:szCs w:val="24"/>
          <w:lang w:val="ro-RO"/>
        </w:rPr>
        <w:t xml:space="preserve">de fapt </w:t>
      </w:r>
      <w:r w:rsidRPr="004D2FF7">
        <w:rPr>
          <w:rFonts w:ascii="Times New Roman" w:hAnsi="Times New Roman" w:cs="Times New Roman"/>
          <w:color w:val="000000"/>
          <w:sz w:val="24"/>
          <w:szCs w:val="24"/>
          <w:lang w:val="ro-RO"/>
        </w:rPr>
        <w:t>nu a</w:t>
      </w:r>
      <w:r w:rsidR="00A14675" w:rsidRPr="004D2FF7">
        <w:rPr>
          <w:rFonts w:ascii="Times New Roman" w:hAnsi="Times New Roman" w:cs="Times New Roman"/>
          <w:color w:val="000000"/>
          <w:sz w:val="24"/>
          <w:szCs w:val="24"/>
          <w:lang w:val="ro-RO"/>
        </w:rPr>
        <w:t>u</w:t>
      </w:r>
      <w:r w:rsidRPr="004D2FF7">
        <w:rPr>
          <w:rFonts w:ascii="Times New Roman" w:hAnsi="Times New Roman" w:cs="Times New Roman"/>
          <w:color w:val="000000"/>
          <w:sz w:val="24"/>
          <w:szCs w:val="24"/>
          <w:lang w:val="ro-RO"/>
        </w:rPr>
        <w:t xml:space="preserve"> fost </w:t>
      </w:r>
      <w:r w:rsidR="00DD6403" w:rsidRPr="004D2FF7">
        <w:rPr>
          <w:rFonts w:ascii="Times New Roman" w:hAnsi="Times New Roman" w:cs="Times New Roman"/>
          <w:color w:val="000000"/>
          <w:sz w:val="24"/>
          <w:szCs w:val="24"/>
          <w:lang w:val="ro-RO"/>
        </w:rPr>
        <w:t>transpus</w:t>
      </w:r>
      <w:r w:rsidR="00A14675" w:rsidRPr="004D2FF7">
        <w:rPr>
          <w:rFonts w:ascii="Times New Roman" w:hAnsi="Times New Roman" w:cs="Times New Roman"/>
          <w:color w:val="000000"/>
          <w:sz w:val="24"/>
          <w:szCs w:val="24"/>
          <w:lang w:val="ro-RO"/>
        </w:rPr>
        <w:t>e</w:t>
      </w:r>
      <w:r w:rsidR="00DD6403" w:rsidRPr="004D2FF7">
        <w:rPr>
          <w:rFonts w:ascii="Times New Roman" w:hAnsi="Times New Roman" w:cs="Times New Roman"/>
          <w:color w:val="000000"/>
          <w:sz w:val="24"/>
          <w:szCs w:val="24"/>
          <w:lang w:val="ro-RO"/>
        </w:rPr>
        <w:t xml:space="preserve"> în legislația națională</w:t>
      </w:r>
      <w:r w:rsidR="00DD74F8" w:rsidRPr="004D2FF7">
        <w:rPr>
          <w:rFonts w:ascii="Times New Roman" w:hAnsi="Times New Roman" w:cs="Times New Roman"/>
          <w:color w:val="000000"/>
          <w:sz w:val="24"/>
          <w:szCs w:val="24"/>
          <w:lang w:val="ro-RO"/>
        </w:rPr>
        <w:t>, prin urmare</w:t>
      </w:r>
      <w:r w:rsidR="00A12973">
        <w:rPr>
          <w:rFonts w:ascii="Times New Roman" w:hAnsi="Times New Roman" w:cs="Times New Roman"/>
          <w:color w:val="000000"/>
          <w:sz w:val="24"/>
          <w:szCs w:val="24"/>
          <w:lang w:val="ro-RO"/>
        </w:rPr>
        <w:t>,</w:t>
      </w:r>
      <w:r w:rsidR="00750E68">
        <w:rPr>
          <w:rFonts w:ascii="Times New Roman" w:hAnsi="Times New Roman" w:cs="Times New Roman"/>
          <w:color w:val="000000"/>
          <w:sz w:val="24"/>
          <w:szCs w:val="24"/>
          <w:lang w:val="ro-RO"/>
        </w:rPr>
        <w:t xml:space="preserve"> în opinia auditului</w:t>
      </w:r>
      <w:r w:rsidR="00A12973">
        <w:rPr>
          <w:rFonts w:ascii="Times New Roman" w:hAnsi="Times New Roman" w:cs="Times New Roman"/>
          <w:color w:val="000000"/>
          <w:sz w:val="24"/>
          <w:szCs w:val="24"/>
          <w:lang w:val="ro-RO"/>
        </w:rPr>
        <w:t>,</w:t>
      </w:r>
      <w:r w:rsidR="00F3307D" w:rsidRPr="004D2FF7">
        <w:rPr>
          <w:rFonts w:ascii="Times New Roman" w:hAnsi="Times New Roman" w:cs="Times New Roman"/>
          <w:color w:val="000000"/>
          <w:sz w:val="24"/>
          <w:szCs w:val="24"/>
          <w:lang w:val="ro-RO"/>
        </w:rPr>
        <w:t xml:space="preserve"> s</w:t>
      </w:r>
      <w:r w:rsidR="00F3307D" w:rsidRPr="004D2FF7">
        <w:rPr>
          <w:rFonts w:ascii="Times New Roman" w:hAnsi="Times New Roman" w:cs="Times New Roman"/>
          <w:sz w:val="24"/>
          <w:szCs w:val="24"/>
          <w:lang w:val="ro-RO"/>
        </w:rPr>
        <w:t>copul programului „Asigurarea unui nivel adecvat de protecție a datelor cu caracter personal în Republica Moldova, conform standardelor europene” nu a fost atins</w:t>
      </w:r>
      <w:r w:rsidR="00F3307D" w:rsidRPr="004D2FF7">
        <w:rPr>
          <w:rFonts w:ascii="Times New Roman" w:hAnsi="Times New Roman" w:cs="Times New Roman"/>
          <w:sz w:val="24"/>
          <w:szCs w:val="24"/>
        </w:rPr>
        <w:t>.</w:t>
      </w:r>
    </w:p>
    <w:p w14:paraId="1E0EA501" w14:textId="4EE0B72F" w:rsidR="004E42ED" w:rsidRPr="004D2FF7" w:rsidRDefault="00F3307D" w:rsidP="00D54F31">
      <w:pPr>
        <w:spacing w:after="120" w:line="276" w:lineRule="auto"/>
        <w:jc w:val="both"/>
        <w:rPr>
          <w:rFonts w:ascii="Times New Roman" w:hAnsi="Times New Roman" w:cs="Times New Roman"/>
          <w:sz w:val="24"/>
          <w:szCs w:val="24"/>
        </w:rPr>
      </w:pPr>
      <w:r w:rsidRPr="004D2FF7">
        <w:rPr>
          <w:rFonts w:ascii="Times New Roman" w:hAnsi="Times New Roman" w:cs="Times New Roman"/>
          <w:sz w:val="24"/>
          <w:szCs w:val="24"/>
          <w:lang w:val="ro-RO"/>
        </w:rPr>
        <w:t xml:space="preserve">De menționat că </w:t>
      </w:r>
      <w:r w:rsidRPr="00FD0F81">
        <w:rPr>
          <w:rFonts w:ascii="Times New Roman" w:hAnsi="Times New Roman" w:cs="Times New Roman"/>
          <w:sz w:val="24"/>
          <w:szCs w:val="24"/>
          <w:lang w:val="ro-RO"/>
        </w:rPr>
        <w:t>u</w:t>
      </w:r>
      <w:r w:rsidR="004E42ED" w:rsidRPr="00FD0F81">
        <w:rPr>
          <w:rFonts w:ascii="Times New Roman" w:hAnsi="Times New Roman" w:cs="Times New Roman"/>
          <w:sz w:val="24"/>
          <w:szCs w:val="24"/>
          <w:lang w:val="ro-RO"/>
        </w:rPr>
        <w:t xml:space="preserve">nele </w:t>
      </w:r>
      <w:r w:rsidR="004E42ED" w:rsidRPr="004D2FF7">
        <w:rPr>
          <w:rFonts w:ascii="Times New Roman" w:hAnsi="Times New Roman" w:cs="Times New Roman"/>
          <w:sz w:val="24"/>
          <w:szCs w:val="24"/>
        </w:rPr>
        <w:t>obiective operaționale nu au fost formula</w:t>
      </w:r>
      <w:r w:rsidR="008612A7" w:rsidRPr="004D2FF7">
        <w:rPr>
          <w:rFonts w:ascii="Times New Roman" w:hAnsi="Times New Roman" w:cs="Times New Roman"/>
          <w:sz w:val="24"/>
          <w:szCs w:val="24"/>
        </w:rPr>
        <w:t>te</w:t>
      </w:r>
      <w:r w:rsidR="004E42ED" w:rsidRPr="004D2FF7">
        <w:rPr>
          <w:rFonts w:ascii="Times New Roman" w:hAnsi="Times New Roman" w:cs="Times New Roman"/>
          <w:sz w:val="24"/>
          <w:szCs w:val="24"/>
        </w:rPr>
        <w:t xml:space="preserve"> în baza principiului SMART</w:t>
      </w:r>
      <w:r w:rsidR="008637E0" w:rsidRPr="004D2FF7">
        <w:rPr>
          <w:rFonts w:ascii="Times New Roman" w:hAnsi="Times New Roman" w:cs="Times New Roman"/>
          <w:sz w:val="24"/>
          <w:szCs w:val="24"/>
        </w:rPr>
        <w:t xml:space="preserve">, iar </w:t>
      </w:r>
      <w:r w:rsidR="008612A7" w:rsidRPr="004D2FF7">
        <w:rPr>
          <w:rFonts w:ascii="Times New Roman" w:hAnsi="Times New Roman" w:cs="Times New Roman"/>
          <w:sz w:val="24"/>
          <w:szCs w:val="24"/>
        </w:rPr>
        <w:t xml:space="preserve">unii </w:t>
      </w:r>
      <w:r w:rsidR="008637E0" w:rsidRPr="004D2FF7">
        <w:rPr>
          <w:rFonts w:ascii="Times New Roman" w:hAnsi="Times New Roman" w:cs="Times New Roman"/>
          <w:sz w:val="24"/>
          <w:szCs w:val="24"/>
        </w:rPr>
        <w:t>indicatori de evaluare și m</w:t>
      </w:r>
      <w:r w:rsidR="00CF116E" w:rsidRPr="004D2FF7">
        <w:rPr>
          <w:rFonts w:ascii="Times New Roman" w:hAnsi="Times New Roman" w:cs="Times New Roman"/>
          <w:sz w:val="24"/>
          <w:szCs w:val="24"/>
        </w:rPr>
        <w:t>onitorizare nu au fost stabiliți</w:t>
      </w:r>
      <w:r w:rsidR="00C05C14" w:rsidRPr="004D2FF7">
        <w:rPr>
          <w:rFonts w:ascii="Times New Roman" w:hAnsi="Times New Roman" w:cs="Times New Roman"/>
          <w:sz w:val="24"/>
          <w:szCs w:val="24"/>
        </w:rPr>
        <w:t xml:space="preserve"> conform</w:t>
      </w:r>
      <w:r w:rsidR="00E8686D" w:rsidRPr="004D2FF7">
        <w:rPr>
          <w:rFonts w:ascii="Times New Roman" w:hAnsi="Times New Roman" w:cs="Times New Roman"/>
          <w:sz w:val="24"/>
          <w:szCs w:val="24"/>
        </w:rPr>
        <w:t xml:space="preserve"> prevederilor</w:t>
      </w:r>
      <w:r w:rsidR="008612A7" w:rsidRPr="004D2FF7">
        <w:rPr>
          <w:rFonts w:ascii="Times New Roman" w:hAnsi="Times New Roman" w:cs="Times New Roman"/>
          <w:sz w:val="24"/>
          <w:szCs w:val="24"/>
        </w:rPr>
        <w:t xml:space="preserve"> </w:t>
      </w:r>
      <w:r w:rsidR="00C05C14" w:rsidRPr="004D2FF7">
        <w:rPr>
          <w:rFonts w:ascii="Times New Roman" w:hAnsi="Times New Roman" w:cs="Times New Roman"/>
          <w:sz w:val="24"/>
          <w:szCs w:val="24"/>
        </w:rPr>
        <w:t>Standardelor naționale de control intern în sectorul public și</w:t>
      </w:r>
      <w:r w:rsidR="00CF116E" w:rsidRPr="004D2FF7">
        <w:rPr>
          <w:rFonts w:ascii="Times New Roman" w:hAnsi="Times New Roman" w:cs="Times New Roman"/>
          <w:sz w:val="24"/>
          <w:szCs w:val="24"/>
        </w:rPr>
        <w:t xml:space="preserve"> </w:t>
      </w:r>
      <w:r w:rsidR="00127573">
        <w:rPr>
          <w:rFonts w:ascii="Times New Roman" w:hAnsi="Times New Roman" w:cs="Times New Roman"/>
          <w:sz w:val="24"/>
          <w:szCs w:val="24"/>
        </w:rPr>
        <w:t xml:space="preserve">nu sunt </w:t>
      </w:r>
      <w:r w:rsidR="00CF116E" w:rsidRPr="004D2FF7">
        <w:rPr>
          <w:rFonts w:ascii="Times New Roman" w:hAnsi="Times New Roman" w:cs="Times New Roman"/>
          <w:sz w:val="24"/>
          <w:szCs w:val="24"/>
        </w:rPr>
        <w:t xml:space="preserve">relevanți </w:t>
      </w:r>
      <w:r w:rsidR="008637E0" w:rsidRPr="004D2FF7">
        <w:rPr>
          <w:rFonts w:ascii="Times New Roman" w:hAnsi="Times New Roman" w:cs="Times New Roman"/>
          <w:sz w:val="24"/>
          <w:szCs w:val="24"/>
        </w:rPr>
        <w:t>cerințelor</w:t>
      </w:r>
      <w:r w:rsidR="004E42ED" w:rsidRPr="004D2FF7">
        <w:rPr>
          <w:rFonts w:ascii="Times New Roman" w:hAnsi="Times New Roman" w:cs="Times New Roman"/>
          <w:sz w:val="24"/>
          <w:szCs w:val="24"/>
        </w:rPr>
        <w:t xml:space="preserve"> Ghidului metodologic privind integrarea prevederilor Strategiei naționale de dezvoltare în documentele de planificare și documentele de politici publice la nivel național</w:t>
      </w:r>
      <w:r w:rsidR="00C05C14" w:rsidRPr="004D2FF7">
        <w:rPr>
          <w:rFonts w:ascii="Times New Roman" w:eastAsia="Times New Roman" w:hAnsi="Times New Roman" w:cs="Times New Roman"/>
          <w:color w:val="000000" w:themeColor="text1"/>
          <w:sz w:val="24"/>
          <w:szCs w:val="24"/>
          <w:vertAlign w:val="superscript"/>
        </w:rPr>
        <w:footnoteReference w:id="33"/>
      </w:r>
      <w:r w:rsidR="004E42ED" w:rsidRPr="004D2FF7">
        <w:rPr>
          <w:rFonts w:ascii="Times New Roman" w:hAnsi="Times New Roman" w:cs="Times New Roman"/>
          <w:sz w:val="24"/>
          <w:szCs w:val="24"/>
        </w:rPr>
        <w:t>.</w:t>
      </w:r>
    </w:p>
    <w:p w14:paraId="32DCDAF3" w14:textId="468C5EC2" w:rsidR="00280524" w:rsidRPr="0077171B" w:rsidRDefault="00280524" w:rsidP="00280524">
      <w:pPr>
        <w:spacing w:after="120" w:line="276" w:lineRule="auto"/>
        <w:jc w:val="both"/>
        <w:rPr>
          <w:rFonts w:ascii="Times New Roman" w:hAnsi="Times New Roman" w:cs="Times New Roman"/>
          <w:i/>
          <w:sz w:val="24"/>
          <w:szCs w:val="24"/>
        </w:rPr>
      </w:pPr>
      <w:r w:rsidRPr="004D2FF7">
        <w:rPr>
          <w:rFonts w:ascii="Times New Roman" w:hAnsi="Times New Roman" w:cs="Times New Roman"/>
          <w:sz w:val="24"/>
          <w:szCs w:val="24"/>
        </w:rPr>
        <w:t>Drept exemplu, se menționează situația constatată în anul 202</w:t>
      </w:r>
      <w:r w:rsidR="00687867" w:rsidRPr="004D2FF7">
        <w:rPr>
          <w:rFonts w:ascii="Times New Roman" w:hAnsi="Times New Roman" w:cs="Times New Roman"/>
          <w:sz w:val="24"/>
          <w:szCs w:val="24"/>
        </w:rPr>
        <w:t>2</w:t>
      </w:r>
      <w:r w:rsidRPr="004D2FF7">
        <w:rPr>
          <w:rFonts w:ascii="Times New Roman" w:hAnsi="Times New Roman" w:cs="Times New Roman"/>
          <w:sz w:val="24"/>
          <w:szCs w:val="24"/>
        </w:rPr>
        <w:t>, care este caracteristică pentru toată perioada verificată. Astfel, la elaborarea bugetului pentru anul 202</w:t>
      </w:r>
      <w:r w:rsidR="00687867" w:rsidRPr="004D2FF7">
        <w:rPr>
          <w:rFonts w:ascii="Times New Roman" w:hAnsi="Times New Roman" w:cs="Times New Roman"/>
          <w:sz w:val="24"/>
          <w:szCs w:val="24"/>
        </w:rPr>
        <w:t>2</w:t>
      </w:r>
      <w:r w:rsidRPr="004D2FF7">
        <w:rPr>
          <w:rFonts w:ascii="Times New Roman" w:hAnsi="Times New Roman" w:cs="Times New Roman"/>
          <w:sz w:val="24"/>
          <w:szCs w:val="24"/>
        </w:rPr>
        <w:t xml:space="preserve">, instituția și-a stabilit </w:t>
      </w:r>
      <w:r w:rsidR="009A3965" w:rsidRPr="004D2FF7">
        <w:rPr>
          <w:rFonts w:ascii="Times New Roman" w:hAnsi="Times New Roman" w:cs="Times New Roman"/>
          <w:sz w:val="24"/>
          <w:szCs w:val="24"/>
        </w:rPr>
        <w:t>4</w:t>
      </w:r>
      <w:r w:rsidRPr="004D2FF7">
        <w:rPr>
          <w:rFonts w:ascii="Times New Roman" w:hAnsi="Times New Roman" w:cs="Times New Roman"/>
          <w:sz w:val="24"/>
          <w:szCs w:val="24"/>
        </w:rPr>
        <w:t xml:space="preserve"> obiective operaționale</w:t>
      </w:r>
      <w:r w:rsidRPr="004D2FF7">
        <w:rPr>
          <w:rFonts w:ascii="Times New Roman" w:hAnsi="Times New Roman" w:cs="Times New Roman"/>
          <w:sz w:val="24"/>
          <w:szCs w:val="24"/>
          <w:vertAlign w:val="superscript"/>
        </w:rPr>
        <w:footnoteReference w:id="34"/>
      </w:r>
      <w:r w:rsidRPr="004D2FF7">
        <w:rPr>
          <w:rFonts w:ascii="Times New Roman" w:hAnsi="Times New Roman" w:cs="Times New Roman"/>
          <w:sz w:val="24"/>
          <w:szCs w:val="24"/>
        </w:rPr>
        <w:t xml:space="preserve"> și </w:t>
      </w:r>
      <w:r w:rsidR="009A3965" w:rsidRPr="004D2FF7">
        <w:rPr>
          <w:rFonts w:ascii="Times New Roman" w:hAnsi="Times New Roman" w:cs="Times New Roman"/>
          <w:sz w:val="24"/>
          <w:szCs w:val="24"/>
        </w:rPr>
        <w:t>16</w:t>
      </w:r>
      <w:r w:rsidRPr="004D2FF7">
        <w:rPr>
          <w:rFonts w:ascii="Times New Roman" w:hAnsi="Times New Roman" w:cs="Times New Roman"/>
          <w:sz w:val="24"/>
          <w:szCs w:val="24"/>
        </w:rPr>
        <w:t xml:space="preserve"> indicatori de performanță, </w:t>
      </w:r>
      <w:r w:rsidR="009A3965" w:rsidRPr="004D2FF7">
        <w:rPr>
          <w:rFonts w:ascii="Times New Roman" w:hAnsi="Times New Roman" w:cs="Times New Roman"/>
          <w:sz w:val="24"/>
          <w:szCs w:val="24"/>
        </w:rPr>
        <w:t>unii din ei</w:t>
      </w:r>
      <w:r w:rsidRPr="004D2FF7">
        <w:rPr>
          <w:rFonts w:ascii="Times New Roman" w:hAnsi="Times New Roman" w:cs="Times New Roman"/>
          <w:sz w:val="24"/>
          <w:szCs w:val="24"/>
        </w:rPr>
        <w:t xml:space="preserve"> </w:t>
      </w:r>
      <w:r w:rsidR="00D16040" w:rsidRPr="004D2FF7">
        <w:rPr>
          <w:rFonts w:ascii="Times New Roman" w:hAnsi="Times New Roman" w:cs="Times New Roman"/>
          <w:sz w:val="24"/>
          <w:szCs w:val="24"/>
        </w:rPr>
        <w:t>fiind</w:t>
      </w:r>
      <w:r w:rsidRPr="004D2FF7">
        <w:rPr>
          <w:rFonts w:ascii="Times New Roman" w:hAnsi="Times New Roman" w:cs="Times New Roman"/>
          <w:sz w:val="24"/>
          <w:szCs w:val="24"/>
        </w:rPr>
        <w:t xml:space="preserve"> neclari, nerelevanți și nu argumentează </w:t>
      </w:r>
      <w:r w:rsidRPr="004D2FF7">
        <w:rPr>
          <w:rFonts w:ascii="Times New Roman" w:hAnsi="Times New Roman" w:cs="Times New Roman"/>
          <w:sz w:val="24"/>
          <w:szCs w:val="24"/>
        </w:rPr>
        <w:lastRenderedPageBreak/>
        <w:t xml:space="preserve">eficiența utilizării mijloacelor bugetare pentru asigurarea activității </w:t>
      </w:r>
      <w:r w:rsidR="00D60DF2" w:rsidRPr="004D2FF7">
        <w:rPr>
          <w:rFonts w:ascii="Times New Roman" w:hAnsi="Times New Roman" w:cs="Times New Roman"/>
          <w:sz w:val="24"/>
          <w:szCs w:val="24"/>
        </w:rPr>
        <w:t>CNPDCP</w:t>
      </w:r>
      <w:r w:rsidRPr="004D2FF7">
        <w:rPr>
          <w:rFonts w:ascii="Times New Roman" w:hAnsi="Times New Roman" w:cs="Times New Roman"/>
          <w:sz w:val="24"/>
          <w:szCs w:val="24"/>
        </w:rPr>
        <w:t xml:space="preserve"> în perioada</w:t>
      </w:r>
      <w:r w:rsidR="009A3965" w:rsidRPr="004D2FF7">
        <w:rPr>
          <w:rFonts w:ascii="Times New Roman" w:hAnsi="Times New Roman" w:cs="Times New Roman"/>
          <w:sz w:val="24"/>
          <w:szCs w:val="24"/>
        </w:rPr>
        <w:t xml:space="preserve"> 2018-2022</w:t>
      </w:r>
      <w:r w:rsidRPr="004D2FF7">
        <w:rPr>
          <w:rFonts w:ascii="Times New Roman" w:hAnsi="Times New Roman" w:cs="Times New Roman"/>
          <w:sz w:val="24"/>
          <w:szCs w:val="24"/>
        </w:rPr>
        <w:t>.</w:t>
      </w:r>
      <w:r w:rsidR="00475FBC" w:rsidRPr="004D2FF7">
        <w:rPr>
          <w:rFonts w:ascii="Times New Roman" w:hAnsi="Times New Roman" w:cs="Times New Roman"/>
          <w:sz w:val="24"/>
          <w:szCs w:val="24"/>
        </w:rPr>
        <w:t xml:space="preserve"> </w:t>
      </w:r>
      <w:r w:rsidRPr="004D2FF7">
        <w:rPr>
          <w:rFonts w:ascii="Times New Roman" w:hAnsi="Times New Roman" w:cs="Times New Roman"/>
          <w:sz w:val="24"/>
          <w:szCs w:val="24"/>
        </w:rPr>
        <w:t xml:space="preserve">Datele referitor la indicatorii de performanță planificați și raportați de către </w:t>
      </w:r>
      <w:r w:rsidR="00D60DF2" w:rsidRPr="004D2FF7">
        <w:rPr>
          <w:rFonts w:ascii="Times New Roman" w:hAnsi="Times New Roman" w:cs="Times New Roman"/>
          <w:sz w:val="24"/>
          <w:szCs w:val="24"/>
        </w:rPr>
        <w:t>CNPDCP</w:t>
      </w:r>
      <w:r w:rsidRPr="004D2FF7">
        <w:rPr>
          <w:rFonts w:ascii="Times New Roman" w:hAnsi="Times New Roman" w:cs="Times New Roman"/>
          <w:sz w:val="24"/>
          <w:szCs w:val="24"/>
        </w:rPr>
        <w:t xml:space="preserve"> în perioada menționată sunt expuse în </w:t>
      </w:r>
      <w:r w:rsidRPr="004D2FF7">
        <w:rPr>
          <w:rFonts w:ascii="Times New Roman" w:hAnsi="Times New Roman" w:cs="Times New Roman"/>
          <w:i/>
          <w:sz w:val="24"/>
          <w:szCs w:val="24"/>
        </w:rPr>
        <w:t>Anexa nr.</w:t>
      </w:r>
      <w:r w:rsidR="008C3A61" w:rsidRPr="004D2FF7">
        <w:rPr>
          <w:rFonts w:ascii="Times New Roman" w:hAnsi="Times New Roman" w:cs="Times New Roman"/>
          <w:i/>
          <w:sz w:val="24"/>
          <w:szCs w:val="24"/>
        </w:rPr>
        <w:t>6</w:t>
      </w:r>
      <w:r w:rsidRPr="004D2FF7">
        <w:rPr>
          <w:rFonts w:ascii="Times New Roman" w:hAnsi="Times New Roman" w:cs="Times New Roman"/>
          <w:sz w:val="24"/>
          <w:szCs w:val="24"/>
        </w:rPr>
        <w:t xml:space="preserve"> </w:t>
      </w:r>
      <w:r w:rsidRPr="0077171B">
        <w:rPr>
          <w:rFonts w:ascii="Times New Roman" w:hAnsi="Times New Roman" w:cs="Times New Roman"/>
          <w:i/>
          <w:sz w:val="24"/>
          <w:szCs w:val="24"/>
        </w:rPr>
        <w:t>la prezentul Raport de audit.</w:t>
      </w:r>
    </w:p>
    <w:p w14:paraId="5DC86FF9" w14:textId="3062D747" w:rsidR="00AF3AC6" w:rsidRPr="00494A83" w:rsidRDefault="002D43A1" w:rsidP="00BA2AD5">
      <w:pPr>
        <w:spacing w:after="120"/>
        <w:jc w:val="both"/>
        <w:rPr>
          <w:rFonts w:ascii="Times New Roman" w:hAnsi="Times New Roman" w:cs="Times New Roman"/>
          <w:sz w:val="24"/>
          <w:szCs w:val="24"/>
          <w:lang w:val="ro-RO"/>
        </w:rPr>
      </w:pPr>
      <w:r w:rsidRPr="004D2FF7">
        <w:rPr>
          <w:rFonts w:ascii="Times New Roman" w:hAnsi="Times New Roman" w:cs="Times New Roman"/>
          <w:sz w:val="24"/>
          <w:szCs w:val="24"/>
        </w:rPr>
        <w:t>Datele din Anexă indică</w:t>
      </w:r>
      <w:r w:rsidR="00CF7CE5" w:rsidRPr="004D2FF7">
        <w:rPr>
          <w:rFonts w:ascii="Times New Roman" w:hAnsi="Times New Roman" w:cs="Times New Roman"/>
          <w:sz w:val="24"/>
          <w:szCs w:val="24"/>
        </w:rPr>
        <w:t xml:space="preserve"> că</w:t>
      </w:r>
      <w:r w:rsidR="00213E2E" w:rsidRPr="004D2FF7">
        <w:rPr>
          <w:rFonts w:ascii="Times New Roman" w:hAnsi="Times New Roman" w:cs="Times New Roman"/>
          <w:sz w:val="24"/>
          <w:szCs w:val="24"/>
        </w:rPr>
        <w:t xml:space="preserve"> </w:t>
      </w:r>
      <w:r w:rsidR="004A6D08" w:rsidRPr="004D2FF7">
        <w:rPr>
          <w:rFonts w:ascii="Times New Roman" w:hAnsi="Times New Roman" w:cs="Times New Roman"/>
          <w:sz w:val="24"/>
          <w:szCs w:val="24"/>
        </w:rPr>
        <w:t>î</w:t>
      </w:r>
      <w:r w:rsidR="00213E2E" w:rsidRPr="004D2FF7">
        <w:rPr>
          <w:rFonts w:ascii="Times New Roman" w:hAnsi="Times New Roman" w:cs="Times New Roman"/>
          <w:sz w:val="24"/>
          <w:szCs w:val="24"/>
        </w:rPr>
        <w:t xml:space="preserve">n anii 2018-2022 de la 4 </w:t>
      </w:r>
      <w:r w:rsidR="00490804" w:rsidRPr="004D2FF7">
        <w:rPr>
          <w:rFonts w:ascii="Times New Roman" w:hAnsi="Times New Roman" w:cs="Times New Roman"/>
          <w:sz w:val="24"/>
          <w:szCs w:val="24"/>
        </w:rPr>
        <w:t>până</w:t>
      </w:r>
      <w:r w:rsidR="00213E2E" w:rsidRPr="004D2FF7">
        <w:rPr>
          <w:rFonts w:ascii="Times New Roman" w:hAnsi="Times New Roman" w:cs="Times New Roman"/>
          <w:sz w:val="24"/>
          <w:szCs w:val="24"/>
        </w:rPr>
        <w:t xml:space="preserve"> la 10 indicatori </w:t>
      </w:r>
      <w:r w:rsidRPr="004D2FF7">
        <w:rPr>
          <w:rFonts w:ascii="Times New Roman" w:hAnsi="Times New Roman" w:cs="Times New Roman"/>
          <w:sz w:val="24"/>
          <w:szCs w:val="24"/>
        </w:rPr>
        <w:t xml:space="preserve">de performanță planificați </w:t>
      </w:r>
      <w:r w:rsidR="00213E2E" w:rsidRPr="004D2FF7">
        <w:rPr>
          <w:rFonts w:ascii="Times New Roman" w:hAnsi="Times New Roman" w:cs="Times New Roman"/>
          <w:sz w:val="24"/>
          <w:szCs w:val="24"/>
        </w:rPr>
        <w:t>și raportați</w:t>
      </w:r>
      <w:r w:rsidR="00106730" w:rsidRPr="004D2FF7">
        <w:rPr>
          <w:rFonts w:ascii="Times New Roman" w:hAnsi="Times New Roman" w:cs="Times New Roman"/>
          <w:sz w:val="24"/>
          <w:szCs w:val="24"/>
        </w:rPr>
        <w:t xml:space="preserve"> din 16</w:t>
      </w:r>
      <w:r w:rsidR="008D38BF" w:rsidRPr="004D2FF7">
        <w:rPr>
          <w:rFonts w:ascii="Times New Roman" w:hAnsi="Times New Roman" w:cs="Times New Roman"/>
          <w:sz w:val="24"/>
          <w:szCs w:val="24"/>
        </w:rPr>
        <w:t xml:space="preserve"> </w:t>
      </w:r>
      <w:r w:rsidR="00106730" w:rsidRPr="004D2FF7">
        <w:rPr>
          <w:rFonts w:ascii="Times New Roman" w:hAnsi="Times New Roman" w:cs="Times New Roman"/>
          <w:sz w:val="24"/>
          <w:szCs w:val="24"/>
        </w:rPr>
        <w:t>aprobați</w:t>
      </w:r>
      <w:r w:rsidR="00490804" w:rsidRPr="004D2FF7">
        <w:rPr>
          <w:rFonts w:ascii="Times New Roman" w:hAnsi="Times New Roman" w:cs="Times New Roman"/>
          <w:sz w:val="24"/>
          <w:szCs w:val="24"/>
        </w:rPr>
        <w:t>, inclusiv „numărul controalelor efectuate de CNPDCP</w:t>
      </w:r>
      <w:r w:rsidR="004C5879">
        <w:rPr>
          <w:rFonts w:ascii="Times New Roman" w:hAnsi="Times New Roman" w:cs="Times New Roman"/>
          <w:sz w:val="24"/>
          <w:szCs w:val="24"/>
        </w:rPr>
        <w:t xml:space="preserve"> în anii 2021-2022</w:t>
      </w:r>
      <w:r w:rsidR="00490804" w:rsidRPr="004D2FF7">
        <w:rPr>
          <w:rFonts w:ascii="Times New Roman" w:hAnsi="Times New Roman" w:cs="Times New Roman"/>
          <w:sz w:val="24"/>
          <w:szCs w:val="24"/>
        </w:rPr>
        <w:t>”</w:t>
      </w:r>
      <w:r w:rsidR="00BD29DA">
        <w:rPr>
          <w:rFonts w:ascii="Times New Roman" w:hAnsi="Times New Roman" w:cs="Times New Roman"/>
          <w:sz w:val="24"/>
          <w:szCs w:val="24"/>
        </w:rPr>
        <w:t xml:space="preserve"> și</w:t>
      </w:r>
      <w:r w:rsidR="004A6D08" w:rsidRPr="004D2FF7">
        <w:rPr>
          <w:rFonts w:ascii="Times New Roman" w:hAnsi="Times New Roman" w:cs="Times New Roman"/>
          <w:sz w:val="24"/>
          <w:szCs w:val="24"/>
        </w:rPr>
        <w:t xml:space="preserve"> </w:t>
      </w:r>
      <w:r w:rsidR="00BB360C" w:rsidRPr="004D2FF7">
        <w:rPr>
          <w:rFonts w:ascii="Times New Roman" w:hAnsi="Times New Roman" w:cs="Times New Roman"/>
          <w:sz w:val="24"/>
          <w:szCs w:val="24"/>
        </w:rPr>
        <w:t>„</w:t>
      </w:r>
      <w:r w:rsidR="004A6D08" w:rsidRPr="004D2FF7">
        <w:rPr>
          <w:rFonts w:ascii="Times New Roman" w:hAnsi="Times New Roman" w:cs="Times New Roman"/>
          <w:sz w:val="24"/>
          <w:szCs w:val="24"/>
        </w:rPr>
        <w:t>numărul instrucțiunilor executate</w:t>
      </w:r>
      <w:r w:rsidR="00C0536F" w:rsidRPr="004D2FF7">
        <w:rPr>
          <w:rFonts w:ascii="Times New Roman" w:hAnsi="Times New Roman" w:cs="Times New Roman"/>
          <w:sz w:val="24"/>
          <w:szCs w:val="24"/>
        </w:rPr>
        <w:t xml:space="preserve"> (linii directo</w:t>
      </w:r>
      <w:r w:rsidR="00BD29DA">
        <w:rPr>
          <w:rFonts w:ascii="Times New Roman" w:hAnsi="Times New Roman" w:cs="Times New Roman"/>
          <w:sz w:val="24"/>
          <w:szCs w:val="24"/>
        </w:rPr>
        <w:t>a</w:t>
      </w:r>
      <w:r w:rsidR="00C0536F" w:rsidRPr="004D2FF7">
        <w:rPr>
          <w:rFonts w:ascii="Times New Roman" w:hAnsi="Times New Roman" w:cs="Times New Roman"/>
          <w:sz w:val="24"/>
          <w:szCs w:val="24"/>
        </w:rPr>
        <w:t>r</w:t>
      </w:r>
      <w:r w:rsidR="00BD29DA">
        <w:rPr>
          <w:rFonts w:ascii="Times New Roman" w:hAnsi="Times New Roman" w:cs="Times New Roman"/>
          <w:sz w:val="24"/>
          <w:szCs w:val="24"/>
        </w:rPr>
        <w:t>e</w:t>
      </w:r>
      <w:r w:rsidR="00C0536F" w:rsidRPr="004D2FF7">
        <w:rPr>
          <w:rFonts w:ascii="Times New Roman" w:hAnsi="Times New Roman" w:cs="Times New Roman"/>
          <w:sz w:val="24"/>
          <w:szCs w:val="24"/>
        </w:rPr>
        <w:t>)</w:t>
      </w:r>
      <w:r w:rsidR="00BB360C" w:rsidRPr="004D2FF7">
        <w:rPr>
          <w:rFonts w:ascii="Times New Roman" w:hAnsi="Times New Roman" w:cs="Times New Roman"/>
          <w:sz w:val="24"/>
          <w:szCs w:val="24"/>
        </w:rPr>
        <w:t>”</w:t>
      </w:r>
      <w:r w:rsidR="00213E2E" w:rsidRPr="004D2FF7">
        <w:rPr>
          <w:rFonts w:ascii="Times New Roman" w:hAnsi="Times New Roman" w:cs="Times New Roman"/>
          <w:sz w:val="24"/>
          <w:szCs w:val="24"/>
        </w:rPr>
        <w:t xml:space="preserve"> </w:t>
      </w:r>
      <w:r w:rsidR="00CF7CE5" w:rsidRPr="004D2FF7">
        <w:rPr>
          <w:rFonts w:ascii="Times New Roman" w:hAnsi="Times New Roman" w:cs="Times New Roman"/>
          <w:sz w:val="24"/>
          <w:szCs w:val="24"/>
        </w:rPr>
        <w:t>nu au fost executați</w:t>
      </w:r>
      <w:r w:rsidR="001E3AEA" w:rsidRPr="004D2FF7">
        <w:rPr>
          <w:rFonts w:ascii="Times New Roman" w:hAnsi="Times New Roman" w:cs="Times New Roman"/>
          <w:sz w:val="24"/>
          <w:szCs w:val="24"/>
        </w:rPr>
        <w:t>, iar</w:t>
      </w:r>
      <w:r w:rsidR="00CF7CE5" w:rsidRPr="004D2FF7">
        <w:rPr>
          <w:rFonts w:ascii="Times New Roman" w:hAnsi="Times New Roman" w:cs="Times New Roman"/>
          <w:sz w:val="24"/>
          <w:szCs w:val="24"/>
        </w:rPr>
        <w:t xml:space="preserve"> alții</w:t>
      </w:r>
      <w:r w:rsidR="001121F1" w:rsidRPr="004D2FF7">
        <w:rPr>
          <w:rFonts w:ascii="Times New Roman" w:hAnsi="Times New Roman" w:cs="Times New Roman"/>
          <w:sz w:val="24"/>
          <w:szCs w:val="24"/>
        </w:rPr>
        <w:t xml:space="preserve"> sunt supraestimați. Nu există o </w:t>
      </w:r>
      <w:r w:rsidR="00490804" w:rsidRPr="004D2FF7">
        <w:rPr>
          <w:rFonts w:ascii="Times New Roman" w:hAnsi="Times New Roman" w:cs="Times New Roman"/>
          <w:sz w:val="24"/>
          <w:szCs w:val="24"/>
        </w:rPr>
        <w:t>consecvenț</w:t>
      </w:r>
      <w:r w:rsidR="001121F1" w:rsidRPr="004D2FF7">
        <w:rPr>
          <w:rFonts w:ascii="Times New Roman" w:hAnsi="Times New Roman" w:cs="Times New Roman"/>
          <w:sz w:val="24"/>
          <w:szCs w:val="24"/>
        </w:rPr>
        <w:t>ă la stabilirea indicatorilor de performanță la capitolul eficiență</w:t>
      </w:r>
      <w:r w:rsidR="00490804" w:rsidRPr="004D2FF7">
        <w:rPr>
          <w:rFonts w:ascii="Times New Roman" w:hAnsi="Times New Roman" w:cs="Times New Roman"/>
          <w:sz w:val="24"/>
          <w:szCs w:val="24"/>
        </w:rPr>
        <w:t xml:space="preserve"> (stabiliți în zile</w:t>
      </w:r>
      <w:r w:rsidR="001121F1" w:rsidRPr="004D2FF7">
        <w:rPr>
          <w:rFonts w:ascii="Times New Roman" w:hAnsi="Times New Roman" w:cs="Times New Roman"/>
          <w:sz w:val="24"/>
          <w:szCs w:val="24"/>
        </w:rPr>
        <w:t>,</w:t>
      </w:r>
      <w:r w:rsidR="00490804" w:rsidRPr="004D2FF7">
        <w:rPr>
          <w:rFonts w:ascii="Times New Roman" w:hAnsi="Times New Roman" w:cs="Times New Roman"/>
          <w:sz w:val="24"/>
          <w:szCs w:val="24"/>
        </w:rPr>
        <w:t xml:space="preserve"> ulterior în ore)</w:t>
      </w:r>
      <w:r w:rsidR="00AE7950" w:rsidRPr="004D2FF7">
        <w:rPr>
          <w:rFonts w:ascii="Times New Roman" w:hAnsi="Times New Roman" w:cs="Times New Roman"/>
          <w:sz w:val="24"/>
          <w:szCs w:val="24"/>
        </w:rPr>
        <w:t>,</w:t>
      </w:r>
      <w:r w:rsidR="001121F1" w:rsidRPr="004D2FF7">
        <w:rPr>
          <w:rFonts w:ascii="Times New Roman" w:hAnsi="Times New Roman" w:cs="Times New Roman"/>
          <w:sz w:val="24"/>
          <w:szCs w:val="24"/>
        </w:rPr>
        <w:t xml:space="preserve"> unii</w:t>
      </w:r>
      <w:r w:rsidR="00C0536F" w:rsidRPr="004D2FF7">
        <w:rPr>
          <w:rFonts w:ascii="Times New Roman" w:hAnsi="Times New Roman" w:cs="Times New Roman"/>
          <w:sz w:val="24"/>
          <w:szCs w:val="24"/>
        </w:rPr>
        <w:t xml:space="preserve"> și aceiași</w:t>
      </w:r>
      <w:r w:rsidR="001121F1" w:rsidRPr="004D2FF7">
        <w:rPr>
          <w:rFonts w:ascii="Times New Roman" w:hAnsi="Times New Roman" w:cs="Times New Roman"/>
          <w:sz w:val="24"/>
          <w:szCs w:val="24"/>
        </w:rPr>
        <w:t xml:space="preserve"> indicatori </w:t>
      </w:r>
      <w:r w:rsidR="00BB360C" w:rsidRPr="004D2FF7">
        <w:rPr>
          <w:rFonts w:ascii="Times New Roman" w:hAnsi="Times New Roman" w:cs="Times New Roman"/>
          <w:sz w:val="24"/>
          <w:szCs w:val="24"/>
        </w:rPr>
        <w:t>î</w:t>
      </w:r>
      <w:r w:rsidR="001121F1" w:rsidRPr="004D2FF7">
        <w:rPr>
          <w:rFonts w:ascii="Times New Roman" w:hAnsi="Times New Roman" w:cs="Times New Roman"/>
          <w:sz w:val="24"/>
          <w:szCs w:val="24"/>
        </w:rPr>
        <w:t>n anii 2021-2022 fiind de</w:t>
      </w:r>
      <w:r w:rsidR="001E3AEA" w:rsidRPr="004D2FF7">
        <w:rPr>
          <w:rFonts w:ascii="Times New Roman" w:hAnsi="Times New Roman" w:cs="Times New Roman"/>
          <w:sz w:val="24"/>
          <w:szCs w:val="24"/>
        </w:rPr>
        <w:t xml:space="preserve"> la</w:t>
      </w:r>
      <w:r w:rsidR="001121F1" w:rsidRPr="004D2FF7">
        <w:rPr>
          <w:rFonts w:ascii="Times New Roman" w:hAnsi="Times New Roman" w:cs="Times New Roman"/>
          <w:sz w:val="24"/>
          <w:szCs w:val="24"/>
        </w:rPr>
        <w:t xml:space="preserve"> 2</w:t>
      </w:r>
      <w:r w:rsidR="001E3AEA" w:rsidRPr="004D2FF7">
        <w:rPr>
          <w:rFonts w:ascii="Times New Roman" w:hAnsi="Times New Roman" w:cs="Times New Roman"/>
          <w:sz w:val="24"/>
          <w:szCs w:val="24"/>
        </w:rPr>
        <w:t xml:space="preserve"> </w:t>
      </w:r>
      <w:r w:rsidR="002820D0" w:rsidRPr="004D2FF7">
        <w:rPr>
          <w:rFonts w:ascii="Times New Roman" w:hAnsi="Times New Roman" w:cs="Times New Roman"/>
          <w:sz w:val="24"/>
          <w:szCs w:val="24"/>
        </w:rPr>
        <w:t>până</w:t>
      </w:r>
      <w:r w:rsidR="001E3AEA" w:rsidRPr="004D2FF7">
        <w:rPr>
          <w:rFonts w:ascii="Times New Roman" w:hAnsi="Times New Roman" w:cs="Times New Roman"/>
          <w:sz w:val="24"/>
          <w:szCs w:val="24"/>
        </w:rPr>
        <w:t xml:space="preserve"> la </w:t>
      </w:r>
      <w:r w:rsidR="001121F1" w:rsidRPr="004D2FF7">
        <w:rPr>
          <w:rFonts w:ascii="Times New Roman" w:hAnsi="Times New Roman" w:cs="Times New Roman"/>
          <w:sz w:val="24"/>
          <w:szCs w:val="24"/>
        </w:rPr>
        <w:t>7 ori mai mici decât în anii 2018-2019</w:t>
      </w:r>
      <w:r w:rsidR="001E3AEA" w:rsidRPr="004D2FF7">
        <w:rPr>
          <w:rFonts w:ascii="Times New Roman" w:hAnsi="Times New Roman" w:cs="Times New Roman"/>
          <w:sz w:val="24"/>
          <w:szCs w:val="24"/>
        </w:rPr>
        <w:t>,</w:t>
      </w:r>
      <w:r w:rsidR="001833FD" w:rsidRPr="004D2FF7">
        <w:rPr>
          <w:rFonts w:ascii="Times New Roman" w:hAnsi="Times New Roman" w:cs="Times New Roman"/>
          <w:sz w:val="24"/>
          <w:szCs w:val="24"/>
        </w:rPr>
        <w:t xml:space="preserve"> </w:t>
      </w:r>
      <w:r w:rsidR="00BB360C" w:rsidRPr="004D2FF7">
        <w:rPr>
          <w:rFonts w:ascii="Times New Roman" w:hAnsi="Times New Roman" w:cs="Times New Roman"/>
          <w:sz w:val="24"/>
          <w:szCs w:val="24"/>
        </w:rPr>
        <w:t>nerelevând</w:t>
      </w:r>
      <w:r w:rsidR="001833FD" w:rsidRPr="004D2FF7">
        <w:rPr>
          <w:rFonts w:ascii="Times New Roman" w:hAnsi="Times New Roman" w:cs="Times New Roman"/>
          <w:sz w:val="24"/>
          <w:szCs w:val="24"/>
        </w:rPr>
        <w:t xml:space="preserve"> </w:t>
      </w:r>
      <w:r w:rsidRPr="004D2FF7">
        <w:rPr>
          <w:rFonts w:ascii="Times New Roman" w:hAnsi="Times New Roman" w:cs="Times New Roman"/>
          <w:sz w:val="24"/>
          <w:szCs w:val="24"/>
        </w:rPr>
        <w:t>performanț</w:t>
      </w:r>
      <w:r w:rsidR="001833FD" w:rsidRPr="004D2FF7">
        <w:rPr>
          <w:rFonts w:ascii="Times New Roman" w:hAnsi="Times New Roman" w:cs="Times New Roman"/>
          <w:sz w:val="24"/>
          <w:szCs w:val="24"/>
        </w:rPr>
        <w:t>ele</w:t>
      </w:r>
      <w:r w:rsidRPr="004D2FF7">
        <w:rPr>
          <w:rFonts w:ascii="Times New Roman" w:hAnsi="Times New Roman" w:cs="Times New Roman"/>
          <w:sz w:val="24"/>
          <w:szCs w:val="24"/>
        </w:rPr>
        <w:t xml:space="preserve"> înregistrat</w:t>
      </w:r>
      <w:r w:rsidR="001833FD" w:rsidRPr="004D2FF7">
        <w:rPr>
          <w:rFonts w:ascii="Times New Roman" w:hAnsi="Times New Roman" w:cs="Times New Roman"/>
          <w:sz w:val="24"/>
          <w:szCs w:val="24"/>
        </w:rPr>
        <w:t>e</w:t>
      </w:r>
      <w:r w:rsidRPr="004D2FF7">
        <w:rPr>
          <w:rFonts w:ascii="Times New Roman" w:hAnsi="Times New Roman" w:cs="Times New Roman"/>
          <w:sz w:val="24"/>
          <w:szCs w:val="24"/>
        </w:rPr>
        <w:t xml:space="preserve"> de </w:t>
      </w:r>
      <w:r w:rsidR="00CF7CE5" w:rsidRPr="004D2FF7">
        <w:rPr>
          <w:rFonts w:ascii="Times New Roman" w:hAnsi="Times New Roman" w:cs="Times New Roman"/>
          <w:sz w:val="24"/>
          <w:szCs w:val="24"/>
        </w:rPr>
        <w:t>CNPDCP</w:t>
      </w:r>
      <w:r w:rsidR="001833FD" w:rsidRPr="004D2FF7">
        <w:rPr>
          <w:rFonts w:ascii="Times New Roman" w:hAnsi="Times New Roman" w:cs="Times New Roman"/>
          <w:sz w:val="24"/>
          <w:szCs w:val="24"/>
        </w:rPr>
        <w:t xml:space="preserve"> la indicatorii activității de baz</w:t>
      </w:r>
      <w:r w:rsidR="00F2358E">
        <w:rPr>
          <w:rFonts w:ascii="Times New Roman" w:hAnsi="Times New Roman" w:cs="Times New Roman"/>
          <w:sz w:val="24"/>
          <w:szCs w:val="24"/>
        </w:rPr>
        <w:t>ă</w:t>
      </w:r>
      <w:r w:rsidR="00CF7CE5" w:rsidRPr="004D2FF7">
        <w:rPr>
          <w:rFonts w:ascii="Times New Roman" w:hAnsi="Times New Roman" w:cs="Times New Roman"/>
          <w:sz w:val="24"/>
          <w:szCs w:val="24"/>
        </w:rPr>
        <w:t xml:space="preserve"> în raport cu mijloacele financiare cheltuite</w:t>
      </w:r>
      <w:r w:rsidRPr="004D2FF7">
        <w:rPr>
          <w:rFonts w:ascii="Times New Roman" w:hAnsi="Times New Roman" w:cs="Times New Roman"/>
          <w:sz w:val="24"/>
          <w:szCs w:val="24"/>
        </w:rPr>
        <w:t xml:space="preserve">. </w:t>
      </w:r>
      <w:r w:rsidR="00AF3AC6" w:rsidRPr="004D2FF7">
        <w:rPr>
          <w:rFonts w:ascii="Times New Roman" w:hAnsi="Times New Roman" w:cs="Times New Roman"/>
          <w:sz w:val="24"/>
          <w:szCs w:val="24"/>
          <w:lang w:val="ro-RO"/>
        </w:rPr>
        <w:t>De menționat că</w:t>
      </w:r>
      <w:r w:rsidR="00BD29DA">
        <w:rPr>
          <w:rFonts w:ascii="Times New Roman" w:hAnsi="Times New Roman" w:cs="Times New Roman"/>
          <w:sz w:val="24"/>
          <w:szCs w:val="24"/>
          <w:lang w:val="ro-RO"/>
        </w:rPr>
        <w:t>,</w:t>
      </w:r>
      <w:r w:rsidR="00AF3AC6" w:rsidRPr="004D2FF7">
        <w:rPr>
          <w:rFonts w:ascii="Times New Roman" w:hAnsi="Times New Roman" w:cs="Times New Roman"/>
          <w:sz w:val="24"/>
          <w:szCs w:val="24"/>
          <w:lang w:val="ro-RO"/>
        </w:rPr>
        <w:t xml:space="preserve"> c</w:t>
      </w:r>
      <w:r w:rsidR="00BA2AD5" w:rsidRPr="004D2FF7">
        <w:rPr>
          <w:rFonts w:ascii="Times New Roman" w:hAnsi="Times New Roman" w:cs="Times New Roman"/>
          <w:bCs/>
          <w:iCs/>
          <w:sz w:val="24"/>
          <w:szCs w:val="24"/>
          <w:lang w:val="ro-RO"/>
        </w:rPr>
        <w:t>onform</w:t>
      </w:r>
      <w:r w:rsidR="00AF3AC6" w:rsidRPr="004D2FF7">
        <w:rPr>
          <w:rFonts w:ascii="Times New Roman" w:hAnsi="Times New Roman" w:cs="Times New Roman"/>
          <w:bCs/>
          <w:iCs/>
          <w:sz w:val="24"/>
          <w:szCs w:val="24"/>
          <w:lang w:val="ro-RO"/>
        </w:rPr>
        <w:t xml:space="preserve"> rapoartelor de performanță</w:t>
      </w:r>
      <w:r w:rsidR="002C629E" w:rsidRPr="004D2FF7">
        <w:rPr>
          <w:rFonts w:ascii="Times New Roman" w:hAnsi="Times New Roman" w:cs="Times New Roman"/>
          <w:bCs/>
          <w:iCs/>
          <w:sz w:val="24"/>
          <w:szCs w:val="24"/>
          <w:lang w:val="ro-RO"/>
        </w:rPr>
        <w:t xml:space="preserve"> ale</w:t>
      </w:r>
      <w:r w:rsidR="002C629E" w:rsidRPr="004D2FF7">
        <w:rPr>
          <w:rFonts w:ascii="Times New Roman" w:hAnsi="Times New Roman" w:cs="Times New Roman"/>
          <w:sz w:val="24"/>
          <w:szCs w:val="24"/>
        </w:rPr>
        <w:t xml:space="preserve"> CNPDCP</w:t>
      </w:r>
      <w:r w:rsidR="00BA2AD5" w:rsidRPr="004D2FF7">
        <w:rPr>
          <w:rFonts w:ascii="Times New Roman" w:hAnsi="Times New Roman" w:cs="Times New Roman"/>
          <w:sz w:val="24"/>
          <w:szCs w:val="24"/>
          <w:lang w:val="ro-RO"/>
        </w:rPr>
        <w:t xml:space="preserve"> pe anii 2018-2022</w:t>
      </w:r>
      <w:r w:rsidR="00BD29DA">
        <w:rPr>
          <w:rFonts w:ascii="Times New Roman" w:hAnsi="Times New Roman" w:cs="Times New Roman"/>
          <w:sz w:val="24"/>
          <w:szCs w:val="24"/>
          <w:lang w:val="ro-RO"/>
        </w:rPr>
        <w:t>,</w:t>
      </w:r>
      <w:r w:rsidR="00BA2AD5" w:rsidRPr="004D2FF7">
        <w:rPr>
          <w:rFonts w:ascii="Times New Roman" w:hAnsi="Times New Roman" w:cs="Times New Roman"/>
          <w:sz w:val="24"/>
          <w:szCs w:val="24"/>
          <w:lang w:val="ro-RO"/>
        </w:rPr>
        <w:t xml:space="preserve"> </w:t>
      </w:r>
      <w:r w:rsidR="002C629E" w:rsidRPr="004D2FF7">
        <w:rPr>
          <w:rFonts w:ascii="Times New Roman" w:hAnsi="Times New Roman" w:cs="Times New Roman"/>
          <w:sz w:val="24"/>
          <w:szCs w:val="24"/>
          <w:lang w:val="ro-RO"/>
        </w:rPr>
        <w:t>s-</w:t>
      </w:r>
      <w:r w:rsidR="00BA2AD5" w:rsidRPr="004D2FF7">
        <w:rPr>
          <w:rFonts w:ascii="Times New Roman" w:hAnsi="Times New Roman" w:cs="Times New Roman"/>
          <w:bCs/>
          <w:iCs/>
          <w:sz w:val="24"/>
          <w:szCs w:val="24"/>
          <w:lang w:val="ro-RO"/>
        </w:rPr>
        <w:t xml:space="preserve">a planificat elaborarea </w:t>
      </w:r>
      <w:r w:rsidR="00BD29DA">
        <w:rPr>
          <w:rFonts w:ascii="Times New Roman" w:hAnsi="Times New Roman" w:cs="Times New Roman"/>
          <w:bCs/>
          <w:iCs/>
          <w:sz w:val="24"/>
          <w:szCs w:val="24"/>
          <w:lang w:val="ro-RO"/>
        </w:rPr>
        <w:t xml:space="preserve">a </w:t>
      </w:r>
      <w:r w:rsidR="00BA2AD5" w:rsidRPr="004D2FF7">
        <w:rPr>
          <w:rFonts w:ascii="Times New Roman" w:hAnsi="Times New Roman" w:cs="Times New Roman"/>
          <w:bCs/>
          <w:iCs/>
          <w:sz w:val="24"/>
          <w:szCs w:val="24"/>
          <w:lang w:val="ro-RO"/>
        </w:rPr>
        <w:t>15 instrucțiuni (linii directo</w:t>
      </w:r>
      <w:r w:rsidR="00BD29DA">
        <w:rPr>
          <w:rFonts w:ascii="Times New Roman" w:hAnsi="Times New Roman" w:cs="Times New Roman"/>
          <w:bCs/>
          <w:iCs/>
          <w:sz w:val="24"/>
          <w:szCs w:val="24"/>
          <w:lang w:val="ro-RO"/>
        </w:rPr>
        <w:t>a</w:t>
      </w:r>
      <w:r w:rsidR="00BA2AD5" w:rsidRPr="004D2FF7">
        <w:rPr>
          <w:rFonts w:ascii="Times New Roman" w:hAnsi="Times New Roman" w:cs="Times New Roman"/>
          <w:bCs/>
          <w:iCs/>
          <w:sz w:val="24"/>
          <w:szCs w:val="24"/>
          <w:lang w:val="ro-RO"/>
        </w:rPr>
        <w:t>r</w:t>
      </w:r>
      <w:r w:rsidR="00BD29DA">
        <w:rPr>
          <w:rFonts w:ascii="Times New Roman" w:hAnsi="Times New Roman" w:cs="Times New Roman"/>
          <w:bCs/>
          <w:iCs/>
          <w:sz w:val="24"/>
          <w:szCs w:val="24"/>
          <w:lang w:val="ro-RO"/>
        </w:rPr>
        <w:t>e</w:t>
      </w:r>
      <w:r w:rsidR="00BA2AD5" w:rsidRPr="004D2FF7">
        <w:rPr>
          <w:rFonts w:ascii="Times New Roman" w:hAnsi="Times New Roman" w:cs="Times New Roman"/>
          <w:bCs/>
          <w:iCs/>
          <w:sz w:val="24"/>
          <w:szCs w:val="24"/>
          <w:lang w:val="ro-RO"/>
        </w:rPr>
        <w:t>)</w:t>
      </w:r>
      <w:r w:rsidR="00BD29DA">
        <w:rPr>
          <w:rFonts w:ascii="Times New Roman" w:hAnsi="Times New Roman" w:cs="Times New Roman"/>
          <w:bCs/>
          <w:iCs/>
          <w:sz w:val="24"/>
          <w:szCs w:val="24"/>
          <w:lang w:val="ro-RO"/>
        </w:rPr>
        <w:t>,</w:t>
      </w:r>
      <w:r w:rsidR="00BA2AD5" w:rsidRPr="004D2FF7">
        <w:rPr>
          <w:rFonts w:ascii="Times New Roman" w:hAnsi="Times New Roman" w:cs="Times New Roman"/>
          <w:bCs/>
          <w:iCs/>
          <w:sz w:val="24"/>
          <w:szCs w:val="24"/>
          <w:lang w:val="ro-RO"/>
        </w:rPr>
        <w:t xml:space="preserve"> fiind elaborate de fapt 4 instrucțiuni</w:t>
      </w:r>
      <w:r w:rsidR="00152273">
        <w:rPr>
          <w:rFonts w:ascii="Times New Roman" w:hAnsi="Times New Roman" w:cs="Times New Roman"/>
          <w:bCs/>
          <w:iCs/>
          <w:sz w:val="24"/>
          <w:szCs w:val="24"/>
          <w:lang w:val="ro-RO"/>
        </w:rPr>
        <w:t xml:space="preserve"> </w:t>
      </w:r>
      <w:r w:rsidR="00F2358E">
        <w:rPr>
          <w:rFonts w:ascii="Times New Roman" w:hAnsi="Times New Roman" w:cs="Times New Roman"/>
          <w:bCs/>
          <w:iCs/>
          <w:sz w:val="24"/>
          <w:szCs w:val="24"/>
          <w:lang w:val="ro-RO"/>
        </w:rPr>
        <w:t>potrivit</w:t>
      </w:r>
      <w:r w:rsidR="00152273">
        <w:rPr>
          <w:rFonts w:ascii="Times New Roman" w:hAnsi="Times New Roman" w:cs="Times New Roman"/>
          <w:bCs/>
          <w:iCs/>
          <w:sz w:val="24"/>
          <w:szCs w:val="24"/>
          <w:lang w:val="ro-RO"/>
        </w:rPr>
        <w:t xml:space="preserve"> datelor raportate</w:t>
      </w:r>
      <w:r w:rsidR="00494A83">
        <w:rPr>
          <w:rFonts w:ascii="Times New Roman" w:hAnsi="Times New Roman" w:cs="Times New Roman"/>
          <w:bCs/>
          <w:iCs/>
          <w:sz w:val="24"/>
          <w:szCs w:val="24"/>
          <w:lang w:val="ro-RO"/>
        </w:rPr>
        <w:t xml:space="preserve">, </w:t>
      </w:r>
      <w:r w:rsidR="00023960">
        <w:rPr>
          <w:rFonts w:ascii="Times New Roman" w:hAnsi="Times New Roman" w:cs="Times New Roman"/>
          <w:bCs/>
          <w:iCs/>
          <w:sz w:val="24"/>
          <w:szCs w:val="24"/>
          <w:lang w:val="ro-RO"/>
        </w:rPr>
        <w:t>însă</w:t>
      </w:r>
      <w:r w:rsidR="00494A83">
        <w:rPr>
          <w:rFonts w:ascii="Times New Roman" w:hAnsi="Times New Roman" w:cs="Times New Roman"/>
          <w:bCs/>
          <w:iCs/>
          <w:sz w:val="24"/>
          <w:szCs w:val="24"/>
          <w:lang w:val="ro-RO"/>
        </w:rPr>
        <w:t xml:space="preserve"> neajustarea cadrului legal nu a permis</w:t>
      </w:r>
      <w:r w:rsidR="004E1F52">
        <w:rPr>
          <w:rFonts w:ascii="Times New Roman" w:hAnsi="Times New Roman" w:cs="Times New Roman"/>
          <w:bCs/>
          <w:iCs/>
          <w:sz w:val="24"/>
          <w:szCs w:val="24"/>
          <w:lang w:val="ro-RO"/>
        </w:rPr>
        <w:t xml:space="preserve"> </w:t>
      </w:r>
      <w:r w:rsidR="00494A83">
        <w:rPr>
          <w:rFonts w:ascii="Times New Roman" w:hAnsi="Times New Roman" w:cs="Times New Roman"/>
          <w:bCs/>
          <w:iCs/>
          <w:sz w:val="24"/>
          <w:szCs w:val="24"/>
          <w:lang w:val="ro-RO"/>
        </w:rPr>
        <w:t xml:space="preserve">ca instrucțiunile să fie </w:t>
      </w:r>
      <w:r w:rsidR="004E1F52">
        <w:rPr>
          <w:rFonts w:ascii="Times New Roman" w:hAnsi="Times New Roman" w:cs="Times New Roman"/>
          <w:bCs/>
          <w:iCs/>
          <w:sz w:val="24"/>
          <w:szCs w:val="24"/>
          <w:lang w:val="ro-RO"/>
        </w:rPr>
        <w:t>promovate</w:t>
      </w:r>
      <w:r w:rsidR="00ED61FB">
        <w:rPr>
          <w:rFonts w:ascii="Times New Roman" w:hAnsi="Times New Roman" w:cs="Times New Roman"/>
          <w:bCs/>
          <w:iCs/>
          <w:sz w:val="24"/>
          <w:szCs w:val="24"/>
          <w:lang w:val="ro-RO"/>
        </w:rPr>
        <w:t xml:space="preserve"> și adoptate</w:t>
      </w:r>
      <w:r w:rsidR="00494A83">
        <w:rPr>
          <w:rFonts w:ascii="Times New Roman" w:hAnsi="Times New Roman" w:cs="Times New Roman"/>
          <w:bCs/>
          <w:iCs/>
          <w:sz w:val="24"/>
          <w:szCs w:val="24"/>
          <w:lang w:val="ro-RO"/>
        </w:rPr>
        <w:t xml:space="preserve">. </w:t>
      </w:r>
    </w:p>
    <w:p w14:paraId="6D7C792C" w14:textId="603C1E47" w:rsidR="00213E2E" w:rsidRPr="004D2FF7" w:rsidRDefault="00FA3032" w:rsidP="000C745B">
      <w:pPr>
        <w:spacing w:after="0" w:line="276" w:lineRule="auto"/>
        <w:jc w:val="both"/>
        <w:rPr>
          <w:rFonts w:ascii="Times New Roman" w:hAnsi="Times New Roman" w:cs="Times New Roman"/>
          <w:sz w:val="24"/>
          <w:szCs w:val="24"/>
          <w:u w:val="single"/>
        </w:rPr>
      </w:pPr>
      <w:r w:rsidRPr="004D2FF7">
        <w:rPr>
          <w:rFonts w:ascii="Times New Roman" w:hAnsi="Times New Roman" w:cs="Times New Roman"/>
          <w:sz w:val="24"/>
          <w:szCs w:val="24"/>
        </w:rPr>
        <w:t>Auditul relevă deficien</w:t>
      </w:r>
      <w:r w:rsidR="00BD29DA">
        <w:rPr>
          <w:rFonts w:ascii="Times New Roman" w:hAnsi="Times New Roman" w:cs="Times New Roman"/>
          <w:sz w:val="24"/>
          <w:szCs w:val="24"/>
        </w:rPr>
        <w:t>ț</w:t>
      </w:r>
      <w:r w:rsidRPr="004D2FF7">
        <w:rPr>
          <w:rFonts w:ascii="Times New Roman" w:hAnsi="Times New Roman" w:cs="Times New Roman"/>
          <w:sz w:val="24"/>
          <w:szCs w:val="24"/>
        </w:rPr>
        <w:t>e la planificarea unor activități pe termen lung</w:t>
      </w:r>
      <w:r w:rsidR="006634F9" w:rsidRPr="004D2FF7">
        <w:rPr>
          <w:rFonts w:ascii="Times New Roman" w:hAnsi="Times New Roman" w:cs="Times New Roman"/>
          <w:sz w:val="24"/>
          <w:szCs w:val="24"/>
        </w:rPr>
        <w:t xml:space="preserve"> și</w:t>
      </w:r>
      <w:r w:rsidR="00BD29DA">
        <w:rPr>
          <w:rFonts w:ascii="Times New Roman" w:hAnsi="Times New Roman" w:cs="Times New Roman"/>
          <w:sz w:val="24"/>
          <w:szCs w:val="24"/>
        </w:rPr>
        <w:t>,</w:t>
      </w:r>
      <w:r w:rsidR="006634F9" w:rsidRPr="004D2FF7">
        <w:rPr>
          <w:rFonts w:ascii="Times New Roman" w:hAnsi="Times New Roman" w:cs="Times New Roman"/>
          <w:sz w:val="24"/>
          <w:szCs w:val="24"/>
        </w:rPr>
        <w:t xml:space="preserve"> respectiv</w:t>
      </w:r>
      <w:r w:rsidR="00BD29DA">
        <w:rPr>
          <w:rFonts w:ascii="Times New Roman" w:hAnsi="Times New Roman" w:cs="Times New Roman"/>
          <w:sz w:val="24"/>
          <w:szCs w:val="24"/>
        </w:rPr>
        <w:t>,</w:t>
      </w:r>
      <w:r w:rsidR="006634F9" w:rsidRPr="004D2FF7">
        <w:rPr>
          <w:rFonts w:ascii="Times New Roman" w:hAnsi="Times New Roman" w:cs="Times New Roman"/>
          <w:sz w:val="24"/>
          <w:szCs w:val="24"/>
        </w:rPr>
        <w:t xml:space="preserve"> a finanțării lor</w:t>
      </w:r>
      <w:r w:rsidRPr="004D2FF7">
        <w:rPr>
          <w:rFonts w:ascii="Times New Roman" w:hAnsi="Times New Roman" w:cs="Times New Roman"/>
          <w:sz w:val="24"/>
          <w:szCs w:val="24"/>
        </w:rPr>
        <w:t>.</w:t>
      </w:r>
      <w:r w:rsidR="006E6907" w:rsidRPr="004D2FF7">
        <w:rPr>
          <w:rFonts w:ascii="Times New Roman" w:hAnsi="Times New Roman" w:cs="Times New Roman"/>
          <w:sz w:val="24"/>
          <w:szCs w:val="24"/>
        </w:rPr>
        <w:t xml:space="preserve"> Astfel, c</w:t>
      </w:r>
      <w:r w:rsidR="005D7FEF" w:rsidRPr="004D2FF7">
        <w:rPr>
          <w:rFonts w:ascii="Times New Roman" w:hAnsi="Times New Roman" w:cs="Times New Roman"/>
          <w:sz w:val="24"/>
          <w:szCs w:val="24"/>
        </w:rPr>
        <w:t xml:space="preserve">onform </w:t>
      </w:r>
      <w:r w:rsidR="000C745B" w:rsidRPr="004D2FF7">
        <w:rPr>
          <w:rFonts w:ascii="Times New Roman" w:hAnsi="Times New Roman" w:cs="Times New Roman"/>
          <w:sz w:val="24"/>
          <w:szCs w:val="24"/>
        </w:rPr>
        <w:t>Leg</w:t>
      </w:r>
      <w:r w:rsidR="005D7FEF" w:rsidRPr="004D2FF7">
        <w:rPr>
          <w:rFonts w:ascii="Times New Roman" w:hAnsi="Times New Roman" w:cs="Times New Roman"/>
          <w:sz w:val="24"/>
          <w:szCs w:val="24"/>
        </w:rPr>
        <w:t>ii</w:t>
      </w:r>
      <w:r w:rsidR="000C745B" w:rsidRPr="004D2FF7">
        <w:rPr>
          <w:rFonts w:ascii="Times New Roman" w:hAnsi="Times New Roman" w:cs="Times New Roman"/>
          <w:sz w:val="24"/>
          <w:szCs w:val="24"/>
        </w:rPr>
        <w:t xml:space="preserve"> </w:t>
      </w:r>
      <w:r w:rsidR="000C745B" w:rsidRPr="004D2FF7">
        <w:rPr>
          <w:rFonts w:ascii="Times New Roman" w:eastAsia="Times New Roman" w:hAnsi="Times New Roman" w:cs="Times New Roman"/>
          <w:sz w:val="24"/>
          <w:szCs w:val="24"/>
          <w:lang w:val="ro-RO"/>
        </w:rPr>
        <w:t>nr.133 din 08.07.2011</w:t>
      </w:r>
      <w:r w:rsidR="00BC6E0D" w:rsidRPr="004D2FF7">
        <w:rPr>
          <w:rStyle w:val="FootnoteReference"/>
          <w:rFonts w:ascii="Times New Roman" w:hAnsi="Times New Roman" w:cs="Times New Roman"/>
          <w:sz w:val="24"/>
          <w:szCs w:val="24"/>
        </w:rPr>
        <w:footnoteReference w:id="35"/>
      </w:r>
      <w:r w:rsidR="00BD29DA">
        <w:rPr>
          <w:rFonts w:ascii="Times New Roman" w:eastAsia="Times New Roman" w:hAnsi="Times New Roman" w:cs="Times New Roman"/>
          <w:sz w:val="24"/>
          <w:szCs w:val="24"/>
          <w:lang w:val="ro-RO"/>
        </w:rPr>
        <w:t>,</w:t>
      </w:r>
      <w:r w:rsidR="00BC6E0D" w:rsidRPr="004D2FF7">
        <w:rPr>
          <w:rFonts w:ascii="Times New Roman" w:hAnsi="Times New Roman" w:cs="Times New Roman"/>
          <w:sz w:val="24"/>
          <w:szCs w:val="24"/>
        </w:rPr>
        <w:t xml:space="preserve"> un</w:t>
      </w:r>
      <w:r w:rsidR="00B20379" w:rsidRPr="004D2FF7">
        <w:rPr>
          <w:rFonts w:ascii="Times New Roman" w:hAnsi="Times New Roman" w:cs="Times New Roman"/>
          <w:sz w:val="24"/>
          <w:szCs w:val="24"/>
        </w:rPr>
        <w:t>a</w:t>
      </w:r>
      <w:r w:rsidR="00BC6E0D" w:rsidRPr="004D2FF7">
        <w:rPr>
          <w:rFonts w:ascii="Times New Roman" w:hAnsi="Times New Roman" w:cs="Times New Roman"/>
          <w:sz w:val="24"/>
          <w:szCs w:val="24"/>
        </w:rPr>
        <w:t xml:space="preserve"> din atribuții</w:t>
      </w:r>
      <w:r w:rsidR="00B20379" w:rsidRPr="004D2FF7">
        <w:rPr>
          <w:rFonts w:ascii="Times New Roman" w:hAnsi="Times New Roman" w:cs="Times New Roman"/>
          <w:sz w:val="24"/>
          <w:szCs w:val="24"/>
        </w:rPr>
        <w:t>le</w:t>
      </w:r>
      <w:r w:rsidR="00BC6E0D" w:rsidRPr="004D2FF7">
        <w:rPr>
          <w:rFonts w:ascii="Times New Roman" w:hAnsi="Times New Roman" w:cs="Times New Roman"/>
          <w:sz w:val="24"/>
          <w:szCs w:val="24"/>
        </w:rPr>
        <w:t xml:space="preserve"> CNPDCP</w:t>
      </w:r>
      <w:r w:rsidR="000C745B" w:rsidRPr="004D2FF7">
        <w:rPr>
          <w:rFonts w:ascii="Times New Roman" w:hAnsi="Times New Roman" w:cs="Times New Roman"/>
          <w:sz w:val="24"/>
          <w:szCs w:val="24"/>
        </w:rPr>
        <w:t xml:space="preserve"> </w:t>
      </w:r>
      <w:r w:rsidR="00BD29DA">
        <w:rPr>
          <w:rFonts w:ascii="Times New Roman" w:hAnsi="Times New Roman" w:cs="Times New Roman"/>
          <w:sz w:val="24"/>
          <w:szCs w:val="24"/>
        </w:rPr>
        <w:t>este</w:t>
      </w:r>
      <w:r w:rsidR="00BC6E0D" w:rsidRPr="004D2FF7">
        <w:rPr>
          <w:rFonts w:ascii="Times New Roman" w:hAnsi="Times New Roman" w:cs="Times New Roman"/>
          <w:sz w:val="24"/>
          <w:szCs w:val="24"/>
        </w:rPr>
        <w:t xml:space="preserve"> </w:t>
      </w:r>
      <w:r w:rsidR="000C745B" w:rsidRPr="004D2FF7">
        <w:rPr>
          <w:rFonts w:ascii="Times New Roman" w:hAnsi="Times New Roman" w:cs="Times New Roman"/>
          <w:sz w:val="24"/>
          <w:szCs w:val="24"/>
        </w:rPr>
        <w:t>ținerea</w:t>
      </w:r>
      <w:r w:rsidR="00BC6E0D" w:rsidRPr="004D2FF7">
        <w:rPr>
          <w:rFonts w:ascii="Times New Roman" w:hAnsi="Times New Roman" w:cs="Times New Roman"/>
          <w:sz w:val="24"/>
          <w:szCs w:val="24"/>
        </w:rPr>
        <w:t xml:space="preserve"> </w:t>
      </w:r>
      <w:r w:rsidR="00B20379" w:rsidRPr="004D2FF7">
        <w:rPr>
          <w:rFonts w:ascii="Times New Roman" w:hAnsi="Times New Roman" w:cs="Times New Roman"/>
          <w:sz w:val="24"/>
          <w:szCs w:val="24"/>
        </w:rPr>
        <w:t>„</w:t>
      </w:r>
      <w:r w:rsidR="000C745B" w:rsidRPr="004D2FF7">
        <w:rPr>
          <w:rFonts w:ascii="Times New Roman" w:hAnsi="Times New Roman" w:cs="Times New Roman"/>
          <w:sz w:val="24"/>
          <w:szCs w:val="24"/>
        </w:rPr>
        <w:t>R</w:t>
      </w:r>
      <w:r w:rsidR="00BC6E0D" w:rsidRPr="004D2FF7">
        <w:rPr>
          <w:rFonts w:ascii="Times New Roman" w:hAnsi="Times New Roman" w:cs="Times New Roman"/>
          <w:sz w:val="24"/>
          <w:szCs w:val="24"/>
        </w:rPr>
        <w:t>egistrul</w:t>
      </w:r>
      <w:r w:rsidR="000C745B" w:rsidRPr="004D2FF7">
        <w:rPr>
          <w:rFonts w:ascii="Times New Roman" w:hAnsi="Times New Roman" w:cs="Times New Roman"/>
          <w:sz w:val="24"/>
          <w:szCs w:val="24"/>
        </w:rPr>
        <w:t>ui</w:t>
      </w:r>
      <w:r w:rsidR="00BC6E0D" w:rsidRPr="004D2FF7">
        <w:rPr>
          <w:rFonts w:ascii="Times New Roman" w:hAnsi="Times New Roman" w:cs="Times New Roman"/>
          <w:sz w:val="24"/>
          <w:szCs w:val="24"/>
        </w:rPr>
        <w:t xml:space="preserve"> de </w:t>
      </w:r>
      <w:r w:rsidR="000C745B" w:rsidRPr="004D2FF7">
        <w:rPr>
          <w:rFonts w:ascii="Times New Roman" w:hAnsi="Times New Roman" w:cs="Times New Roman"/>
          <w:sz w:val="24"/>
          <w:szCs w:val="24"/>
        </w:rPr>
        <w:t>evidență</w:t>
      </w:r>
      <w:r w:rsidR="00BC6E0D" w:rsidRPr="004D2FF7">
        <w:rPr>
          <w:rFonts w:ascii="Times New Roman" w:hAnsi="Times New Roman" w:cs="Times New Roman"/>
          <w:sz w:val="24"/>
          <w:szCs w:val="24"/>
        </w:rPr>
        <w:t xml:space="preserve"> al operatorilor de date cu caracter personal</w:t>
      </w:r>
      <w:r w:rsidR="00B20379" w:rsidRPr="004D2FF7">
        <w:rPr>
          <w:rFonts w:ascii="Times New Roman" w:hAnsi="Times New Roman" w:cs="Times New Roman"/>
          <w:sz w:val="24"/>
          <w:szCs w:val="24"/>
        </w:rPr>
        <w:t>”</w:t>
      </w:r>
      <w:r w:rsidR="0012185F" w:rsidRPr="004D2FF7">
        <w:rPr>
          <w:rFonts w:ascii="Times New Roman" w:hAnsi="Times New Roman" w:cs="Times New Roman"/>
          <w:sz w:val="24"/>
          <w:szCs w:val="24"/>
        </w:rPr>
        <w:t xml:space="preserve"> </w:t>
      </w:r>
      <w:r w:rsidR="00BC6E0D" w:rsidRPr="004D2FF7">
        <w:rPr>
          <w:rFonts w:ascii="Times New Roman" w:hAnsi="Times New Roman" w:cs="Times New Roman"/>
          <w:sz w:val="24"/>
          <w:szCs w:val="24"/>
        </w:rPr>
        <w:t xml:space="preserve">ale cărui formă şi </w:t>
      </w:r>
      <w:r w:rsidR="000C745B" w:rsidRPr="004D2FF7">
        <w:rPr>
          <w:rFonts w:ascii="Times New Roman" w:hAnsi="Times New Roman" w:cs="Times New Roman"/>
          <w:sz w:val="24"/>
          <w:szCs w:val="24"/>
        </w:rPr>
        <w:t>conținut</w:t>
      </w:r>
      <w:r w:rsidR="00BC6E0D" w:rsidRPr="004D2FF7">
        <w:rPr>
          <w:rFonts w:ascii="Times New Roman" w:hAnsi="Times New Roman" w:cs="Times New Roman"/>
          <w:sz w:val="24"/>
          <w:szCs w:val="24"/>
        </w:rPr>
        <w:t xml:space="preserve"> </w:t>
      </w:r>
      <w:r w:rsidR="000C745B" w:rsidRPr="004D2FF7">
        <w:rPr>
          <w:rFonts w:ascii="Times New Roman" w:hAnsi="Times New Roman" w:cs="Times New Roman"/>
          <w:sz w:val="24"/>
          <w:szCs w:val="24"/>
        </w:rPr>
        <w:t>a</w:t>
      </w:r>
      <w:r w:rsidR="005724E9" w:rsidRPr="004D2FF7">
        <w:rPr>
          <w:rFonts w:ascii="Times New Roman" w:hAnsi="Times New Roman" w:cs="Times New Roman"/>
          <w:sz w:val="24"/>
          <w:szCs w:val="24"/>
        </w:rPr>
        <w:t>u</w:t>
      </w:r>
      <w:r w:rsidR="000C745B" w:rsidRPr="004D2FF7">
        <w:rPr>
          <w:rFonts w:ascii="Times New Roman" w:hAnsi="Times New Roman" w:cs="Times New Roman"/>
          <w:sz w:val="24"/>
          <w:szCs w:val="24"/>
        </w:rPr>
        <w:t xml:space="preserve"> fost</w:t>
      </w:r>
      <w:r w:rsidR="00BC6E0D" w:rsidRPr="004D2FF7">
        <w:rPr>
          <w:rFonts w:ascii="Times New Roman" w:hAnsi="Times New Roman" w:cs="Times New Roman"/>
          <w:sz w:val="24"/>
          <w:szCs w:val="24"/>
        </w:rPr>
        <w:t xml:space="preserve"> aprob</w:t>
      </w:r>
      <w:r w:rsidR="000C745B" w:rsidRPr="004D2FF7">
        <w:rPr>
          <w:rFonts w:ascii="Times New Roman" w:hAnsi="Times New Roman" w:cs="Times New Roman"/>
          <w:sz w:val="24"/>
          <w:szCs w:val="24"/>
        </w:rPr>
        <w:t>at</w:t>
      </w:r>
      <w:r w:rsidR="005724E9" w:rsidRPr="004D2FF7">
        <w:rPr>
          <w:rFonts w:ascii="Times New Roman" w:hAnsi="Times New Roman" w:cs="Times New Roman"/>
          <w:sz w:val="24"/>
          <w:szCs w:val="24"/>
        </w:rPr>
        <w:t>e</w:t>
      </w:r>
      <w:r w:rsidR="000C745B" w:rsidRPr="004D2FF7">
        <w:rPr>
          <w:rFonts w:ascii="Times New Roman" w:hAnsi="Times New Roman" w:cs="Times New Roman"/>
          <w:sz w:val="24"/>
          <w:szCs w:val="24"/>
        </w:rPr>
        <w:t xml:space="preserve"> de Guvern</w:t>
      </w:r>
      <w:r w:rsidR="004374DE" w:rsidRPr="004D2FF7">
        <w:rPr>
          <w:rStyle w:val="FootnoteReference"/>
          <w:rFonts w:ascii="Times New Roman" w:hAnsi="Times New Roman" w:cs="Times New Roman"/>
          <w:sz w:val="24"/>
          <w:szCs w:val="24"/>
        </w:rPr>
        <w:footnoteReference w:id="36"/>
      </w:r>
      <w:r w:rsidR="005D7FEF" w:rsidRPr="004D2FF7">
        <w:rPr>
          <w:rFonts w:ascii="Times New Roman" w:hAnsi="Times New Roman" w:cs="Times New Roman"/>
          <w:sz w:val="24"/>
          <w:szCs w:val="24"/>
        </w:rPr>
        <w:t>.</w:t>
      </w:r>
      <w:r w:rsidR="005724E9" w:rsidRPr="004D2FF7">
        <w:rPr>
          <w:rFonts w:ascii="Times New Roman" w:hAnsi="Times New Roman" w:cs="Times New Roman"/>
          <w:sz w:val="24"/>
          <w:szCs w:val="24"/>
        </w:rPr>
        <w:t xml:space="preserve"> </w:t>
      </w:r>
      <w:r w:rsidR="005D7FEF" w:rsidRPr="004D2FF7">
        <w:rPr>
          <w:rFonts w:ascii="Times New Roman" w:hAnsi="Times New Roman" w:cs="Times New Roman"/>
          <w:sz w:val="24"/>
          <w:szCs w:val="24"/>
        </w:rPr>
        <w:t>În acest sens</w:t>
      </w:r>
      <w:r w:rsidR="00AE7950" w:rsidRPr="004D2FF7">
        <w:rPr>
          <w:rFonts w:ascii="Times New Roman" w:hAnsi="Times New Roman" w:cs="Times New Roman"/>
          <w:sz w:val="24"/>
          <w:szCs w:val="24"/>
        </w:rPr>
        <w:t>,</w:t>
      </w:r>
      <w:r w:rsidR="005D7FEF" w:rsidRPr="004D2FF7">
        <w:rPr>
          <w:rFonts w:ascii="Times New Roman" w:hAnsi="Times New Roman" w:cs="Times New Roman"/>
          <w:sz w:val="24"/>
          <w:szCs w:val="24"/>
        </w:rPr>
        <w:t xml:space="preserve"> </w:t>
      </w:r>
      <w:r w:rsidR="0012185F" w:rsidRPr="004D2FF7">
        <w:rPr>
          <w:rFonts w:ascii="Times New Roman" w:hAnsi="Times New Roman" w:cs="Times New Roman"/>
          <w:sz w:val="24"/>
          <w:szCs w:val="24"/>
        </w:rPr>
        <w:t xml:space="preserve">în perioada 2018-2022 </w:t>
      </w:r>
      <w:r w:rsidR="005D7FEF" w:rsidRPr="004D2FF7">
        <w:rPr>
          <w:rFonts w:ascii="Times New Roman" w:hAnsi="Times New Roman" w:cs="Times New Roman"/>
          <w:sz w:val="24"/>
          <w:szCs w:val="24"/>
        </w:rPr>
        <w:t>au fost</w:t>
      </w:r>
      <w:r w:rsidR="005724E9" w:rsidRPr="004D2FF7">
        <w:rPr>
          <w:rFonts w:ascii="Times New Roman" w:hAnsi="Times New Roman" w:cs="Times New Roman"/>
          <w:sz w:val="24"/>
          <w:szCs w:val="24"/>
        </w:rPr>
        <w:t xml:space="preserve"> aprobați </w:t>
      </w:r>
      <w:r w:rsidR="004374DE" w:rsidRPr="004D2FF7">
        <w:rPr>
          <w:rFonts w:ascii="Times New Roman" w:hAnsi="Times New Roman" w:cs="Times New Roman"/>
          <w:sz w:val="24"/>
          <w:szCs w:val="24"/>
        </w:rPr>
        <w:t>doi</w:t>
      </w:r>
      <w:r w:rsidR="005724E9" w:rsidRPr="004D2FF7">
        <w:rPr>
          <w:rFonts w:ascii="Times New Roman" w:hAnsi="Times New Roman" w:cs="Times New Roman"/>
          <w:sz w:val="24"/>
          <w:szCs w:val="24"/>
        </w:rPr>
        <w:t xml:space="preserve"> indicatori de performanță de produs</w:t>
      </w:r>
      <w:r w:rsidR="005724E9" w:rsidRPr="004D2FF7">
        <w:rPr>
          <w:rStyle w:val="FootnoteReference"/>
          <w:rFonts w:ascii="Times New Roman" w:hAnsi="Times New Roman" w:cs="Times New Roman"/>
          <w:sz w:val="24"/>
          <w:szCs w:val="24"/>
        </w:rPr>
        <w:footnoteReference w:id="37"/>
      </w:r>
      <w:r w:rsidR="005724E9" w:rsidRPr="004D2FF7">
        <w:rPr>
          <w:rFonts w:ascii="Times New Roman" w:hAnsi="Times New Roman" w:cs="Times New Roman"/>
          <w:sz w:val="24"/>
          <w:szCs w:val="24"/>
        </w:rPr>
        <w:t xml:space="preserve">: </w:t>
      </w:r>
      <w:r w:rsidR="0012185F" w:rsidRPr="004D2FF7">
        <w:rPr>
          <w:rFonts w:ascii="Times New Roman" w:hAnsi="Times New Roman" w:cs="Times New Roman"/>
          <w:sz w:val="24"/>
          <w:szCs w:val="24"/>
        </w:rPr>
        <w:t>n</w:t>
      </w:r>
      <w:r w:rsidR="005724E9" w:rsidRPr="004D2FF7">
        <w:rPr>
          <w:rFonts w:ascii="Times New Roman" w:hAnsi="Times New Roman" w:cs="Times New Roman"/>
          <w:sz w:val="24"/>
          <w:szCs w:val="24"/>
          <w:lang w:val="ro-RO" w:eastAsia="nl-NL"/>
        </w:rPr>
        <w:t xml:space="preserve">umărul operatorilor </w:t>
      </w:r>
      <w:r w:rsidR="0012185F" w:rsidRPr="004D2FF7">
        <w:rPr>
          <w:rFonts w:ascii="Times New Roman" w:hAnsi="Times New Roman" w:cs="Times New Roman"/>
          <w:sz w:val="24"/>
          <w:szCs w:val="24"/>
          <w:lang w:val="ro-RO" w:eastAsia="nl-NL"/>
        </w:rPr>
        <w:t>înregistrați</w:t>
      </w:r>
      <w:r w:rsidR="005724E9" w:rsidRPr="004D2FF7">
        <w:rPr>
          <w:rFonts w:ascii="Times New Roman" w:hAnsi="Times New Roman" w:cs="Times New Roman"/>
          <w:sz w:val="24"/>
          <w:szCs w:val="24"/>
          <w:lang w:val="ro-RO" w:eastAsia="nl-NL"/>
        </w:rPr>
        <w:t xml:space="preserve"> în Registru</w:t>
      </w:r>
      <w:r w:rsidR="0012185F" w:rsidRPr="004D2FF7">
        <w:rPr>
          <w:rFonts w:ascii="Times New Roman" w:hAnsi="Times New Roman" w:cs="Times New Roman"/>
          <w:sz w:val="24"/>
          <w:szCs w:val="24"/>
          <w:lang w:val="ro-RO" w:eastAsia="nl-NL"/>
        </w:rPr>
        <w:t xml:space="preserve"> și</w:t>
      </w:r>
      <w:r w:rsidR="0012185F" w:rsidRPr="004D2FF7">
        <w:rPr>
          <w:rFonts w:ascii="Times New Roman" w:hAnsi="Times New Roman" w:cs="Times New Roman"/>
          <w:color w:val="000000"/>
          <w:sz w:val="24"/>
          <w:szCs w:val="24"/>
          <w:lang w:val="ro-RO"/>
        </w:rPr>
        <w:t xml:space="preserve"> numărul sistemelor de evidență înregistrate</w:t>
      </w:r>
      <w:r w:rsidR="0012185F" w:rsidRPr="004D2FF7">
        <w:rPr>
          <w:rFonts w:ascii="Times New Roman" w:hAnsi="Times New Roman" w:cs="Times New Roman"/>
          <w:sz w:val="24"/>
          <w:szCs w:val="24"/>
          <w:lang w:val="ro-RO" w:eastAsia="nl-NL"/>
        </w:rPr>
        <w:t xml:space="preserve"> în Registru.</w:t>
      </w:r>
    </w:p>
    <w:p w14:paraId="5B418565" w14:textId="403887EB" w:rsidR="00CA05EB" w:rsidRPr="00CA05EB" w:rsidRDefault="0012185F" w:rsidP="00CA05EB">
      <w:pPr>
        <w:spacing w:line="276" w:lineRule="auto"/>
        <w:jc w:val="both"/>
        <w:rPr>
          <w:rFonts w:ascii="Times New Roman" w:hAnsi="Times New Roman" w:cs="Times New Roman"/>
          <w:sz w:val="24"/>
          <w:szCs w:val="24"/>
        </w:rPr>
      </w:pPr>
      <w:r w:rsidRPr="004D2FF7">
        <w:rPr>
          <w:rFonts w:ascii="Times New Roman" w:hAnsi="Times New Roman" w:cs="Times New Roman"/>
          <w:sz w:val="24"/>
          <w:szCs w:val="24"/>
        </w:rPr>
        <w:t xml:space="preserve">Auditul a constatat </w:t>
      </w:r>
      <w:r w:rsidR="00B20379" w:rsidRPr="004D2FF7">
        <w:rPr>
          <w:rFonts w:ascii="Times New Roman" w:hAnsi="Times New Roman" w:cs="Times New Roman"/>
          <w:sz w:val="24"/>
          <w:szCs w:val="24"/>
        </w:rPr>
        <w:t>că</w:t>
      </w:r>
      <w:r w:rsidR="008B6F65" w:rsidRPr="004D2FF7">
        <w:rPr>
          <w:rFonts w:ascii="Times New Roman" w:hAnsi="Times New Roman" w:cs="Times New Roman"/>
          <w:sz w:val="24"/>
          <w:szCs w:val="24"/>
        </w:rPr>
        <w:t xml:space="preserve"> </w:t>
      </w:r>
      <w:r w:rsidR="00506159">
        <w:rPr>
          <w:rFonts w:ascii="Times New Roman" w:hAnsi="Times New Roman" w:cs="Times New Roman"/>
          <w:sz w:val="24"/>
          <w:szCs w:val="24"/>
        </w:rPr>
        <w:t xml:space="preserve">SIA REODCP </w:t>
      </w:r>
      <w:r w:rsidR="00F61DF8" w:rsidRPr="004D2FF7">
        <w:rPr>
          <w:rFonts w:ascii="Times New Roman" w:hAnsi="Times New Roman" w:cs="Times New Roman"/>
          <w:color w:val="000000"/>
          <w:sz w:val="24"/>
          <w:szCs w:val="24"/>
          <w:lang w:val="ro-RO"/>
        </w:rPr>
        <w:t>deținut de</w:t>
      </w:r>
      <w:r w:rsidR="00F61DF8" w:rsidRPr="004D2FF7">
        <w:rPr>
          <w:rFonts w:ascii="Times New Roman" w:hAnsi="Times New Roman" w:cs="Times New Roman"/>
          <w:sz w:val="24"/>
          <w:szCs w:val="24"/>
        </w:rPr>
        <w:t xml:space="preserve"> CNPDCP</w:t>
      </w:r>
      <w:r w:rsidR="00A85565" w:rsidRPr="004D2FF7">
        <w:rPr>
          <w:rFonts w:ascii="Times New Roman" w:hAnsi="Times New Roman" w:cs="Times New Roman"/>
          <w:sz w:val="24"/>
          <w:szCs w:val="24"/>
        </w:rPr>
        <w:t xml:space="preserve"> a fost recepționat de la Instituția Publică Centrul de Guvernare Electronică</w:t>
      </w:r>
      <w:r w:rsidR="00A85565" w:rsidRPr="004D2FF7">
        <w:rPr>
          <w:rStyle w:val="FootnoteReference"/>
          <w:rFonts w:ascii="Times New Roman" w:hAnsi="Times New Roman" w:cs="Times New Roman"/>
          <w:sz w:val="24"/>
          <w:szCs w:val="24"/>
        </w:rPr>
        <w:footnoteReference w:id="38"/>
      </w:r>
      <w:r w:rsidR="00A85565" w:rsidRPr="004D2FF7">
        <w:rPr>
          <w:rFonts w:ascii="Times New Roman" w:hAnsi="Times New Roman" w:cs="Times New Roman"/>
          <w:sz w:val="24"/>
          <w:szCs w:val="24"/>
        </w:rPr>
        <w:t xml:space="preserve"> </w:t>
      </w:r>
      <w:r w:rsidR="0027032B" w:rsidRPr="004D2FF7">
        <w:rPr>
          <w:rFonts w:ascii="Times New Roman" w:hAnsi="Times New Roman" w:cs="Times New Roman"/>
          <w:sz w:val="24"/>
          <w:szCs w:val="24"/>
        </w:rPr>
        <w:t>în temeiul</w:t>
      </w:r>
      <w:r w:rsidR="00A85565" w:rsidRPr="004D2FF7">
        <w:rPr>
          <w:rFonts w:ascii="Times New Roman" w:eastAsia="Times New Roman" w:hAnsi="Times New Roman" w:cs="Times New Roman"/>
          <w:bCs/>
          <w:sz w:val="24"/>
          <w:szCs w:val="24"/>
        </w:rPr>
        <w:t xml:space="preserve"> Hotărârii Guvernului nr.624 din 23.07.2014 </w:t>
      </w:r>
      <w:r w:rsidR="00684011" w:rsidRPr="004D2FF7">
        <w:rPr>
          <w:rFonts w:ascii="Times New Roman" w:eastAsia="Times New Roman" w:hAnsi="Times New Roman" w:cs="Times New Roman"/>
          <w:bCs/>
          <w:sz w:val="24"/>
          <w:szCs w:val="24"/>
        </w:rPr>
        <w:t>„</w:t>
      </w:r>
      <w:r w:rsidR="00A85565" w:rsidRPr="004D2FF7">
        <w:rPr>
          <w:rFonts w:ascii="Times New Roman" w:eastAsia="Times New Roman" w:hAnsi="Times New Roman" w:cs="Times New Roman"/>
          <w:bCs/>
          <w:sz w:val="24"/>
          <w:szCs w:val="24"/>
        </w:rPr>
        <w:t>Cu privire la transmiterea unui bun</w:t>
      </w:r>
      <w:r w:rsidR="00684011" w:rsidRPr="004D2FF7">
        <w:rPr>
          <w:rFonts w:ascii="Times New Roman" w:eastAsia="Times New Roman" w:hAnsi="Times New Roman" w:cs="Times New Roman"/>
          <w:bCs/>
          <w:sz w:val="24"/>
          <w:szCs w:val="24"/>
        </w:rPr>
        <w:t>”</w:t>
      </w:r>
      <w:r w:rsidR="00A85565" w:rsidRPr="004D2FF7">
        <w:rPr>
          <w:rFonts w:ascii="Times New Roman" w:hAnsi="Times New Roman" w:cs="Times New Roman"/>
          <w:sz w:val="24"/>
          <w:szCs w:val="24"/>
        </w:rPr>
        <w:t xml:space="preserve"> și</w:t>
      </w:r>
      <w:r w:rsidR="008B6F65" w:rsidRPr="004D2FF7">
        <w:rPr>
          <w:rFonts w:ascii="Times New Roman" w:hAnsi="Times New Roman" w:cs="Times New Roman"/>
          <w:sz w:val="24"/>
          <w:szCs w:val="24"/>
        </w:rPr>
        <w:t xml:space="preserve"> contabilizat</w:t>
      </w:r>
      <w:r w:rsidR="00F61DF8" w:rsidRPr="004D2FF7">
        <w:rPr>
          <w:rFonts w:ascii="Times New Roman" w:hAnsi="Times New Roman" w:cs="Times New Roman"/>
          <w:color w:val="000000"/>
          <w:sz w:val="24"/>
          <w:szCs w:val="24"/>
          <w:lang w:val="ro-RO"/>
        </w:rPr>
        <w:t xml:space="preserve"> </w:t>
      </w:r>
      <w:r w:rsidR="008B6F65" w:rsidRPr="004D2FF7">
        <w:rPr>
          <w:rFonts w:ascii="Times New Roman" w:hAnsi="Times New Roman" w:cs="Times New Roman"/>
          <w:color w:val="000000"/>
          <w:sz w:val="24"/>
          <w:szCs w:val="24"/>
          <w:lang w:val="ro-RO"/>
        </w:rPr>
        <w:t>cu</w:t>
      </w:r>
      <w:r w:rsidR="00B20379" w:rsidRPr="004D2FF7">
        <w:rPr>
          <w:rFonts w:ascii="Times New Roman" w:hAnsi="Times New Roman" w:cs="Times New Roman"/>
          <w:color w:val="000000"/>
          <w:sz w:val="24"/>
          <w:szCs w:val="24"/>
          <w:lang w:val="ro-RO"/>
        </w:rPr>
        <w:t xml:space="preserve"> </w:t>
      </w:r>
      <w:r w:rsidR="008B6F65" w:rsidRPr="004D2FF7">
        <w:rPr>
          <w:rFonts w:ascii="Times New Roman" w:hAnsi="Times New Roman" w:cs="Times New Roman"/>
          <w:sz w:val="24"/>
          <w:szCs w:val="24"/>
        </w:rPr>
        <w:t xml:space="preserve">valoarea de </w:t>
      </w:r>
      <w:r w:rsidR="00B20379" w:rsidRPr="004D2FF7">
        <w:rPr>
          <w:rFonts w:ascii="Times New Roman" w:hAnsi="Times New Roman" w:cs="Times New Roman"/>
          <w:sz w:val="24"/>
          <w:szCs w:val="24"/>
        </w:rPr>
        <w:t>1</w:t>
      </w:r>
      <w:r w:rsidR="00F2358E">
        <w:rPr>
          <w:rFonts w:ascii="Times New Roman" w:hAnsi="Times New Roman" w:cs="Times New Roman"/>
          <w:sz w:val="24"/>
          <w:szCs w:val="24"/>
        </w:rPr>
        <w:t>.</w:t>
      </w:r>
      <w:r w:rsidR="00B20379" w:rsidRPr="004D2FF7">
        <w:rPr>
          <w:rFonts w:ascii="Times New Roman" w:hAnsi="Times New Roman" w:cs="Times New Roman"/>
          <w:sz w:val="24"/>
          <w:szCs w:val="24"/>
        </w:rPr>
        <w:t>122,0 mii lei</w:t>
      </w:r>
      <w:r w:rsidR="0070703C" w:rsidRPr="004D2FF7">
        <w:rPr>
          <w:rStyle w:val="FootnoteReference"/>
          <w:rFonts w:ascii="Times New Roman" w:hAnsi="Times New Roman" w:cs="Times New Roman"/>
          <w:sz w:val="24"/>
          <w:szCs w:val="24"/>
        </w:rPr>
        <w:footnoteReference w:id="39"/>
      </w:r>
      <w:r w:rsidR="00B20379" w:rsidRPr="004D2FF7">
        <w:rPr>
          <w:rFonts w:ascii="Times New Roman" w:hAnsi="Times New Roman" w:cs="Times New Roman"/>
          <w:sz w:val="24"/>
          <w:szCs w:val="24"/>
        </w:rPr>
        <w:t>. Concomitent</w:t>
      </w:r>
      <w:r w:rsidR="008B6F65" w:rsidRPr="004D2FF7">
        <w:rPr>
          <w:rFonts w:ascii="Times New Roman" w:hAnsi="Times New Roman" w:cs="Times New Roman"/>
          <w:sz w:val="24"/>
          <w:szCs w:val="24"/>
        </w:rPr>
        <w:t xml:space="preserve">, în vederea asigurării funcționării </w:t>
      </w:r>
      <w:r w:rsidR="009C3EBB">
        <w:rPr>
          <w:rFonts w:ascii="Times New Roman" w:hAnsi="Times New Roman" w:cs="Times New Roman"/>
          <w:sz w:val="24"/>
          <w:szCs w:val="24"/>
        </w:rPr>
        <w:t>SIA REODCP</w:t>
      </w:r>
      <w:r w:rsidR="00122B7D" w:rsidRPr="004D2FF7">
        <w:rPr>
          <w:rFonts w:ascii="Times New Roman" w:hAnsi="Times New Roman" w:cs="Times New Roman"/>
          <w:color w:val="000000"/>
          <w:sz w:val="24"/>
          <w:szCs w:val="24"/>
          <w:lang w:val="ro-RO"/>
        </w:rPr>
        <w:t>,</w:t>
      </w:r>
      <w:r w:rsidR="00416EB0" w:rsidRPr="004D2FF7">
        <w:rPr>
          <w:rFonts w:ascii="Times New Roman" w:hAnsi="Times New Roman" w:cs="Times New Roman"/>
          <w:color w:val="000000"/>
          <w:sz w:val="24"/>
          <w:szCs w:val="24"/>
          <w:lang w:val="ro-RO"/>
        </w:rPr>
        <w:t xml:space="preserve"> </w:t>
      </w:r>
      <w:r w:rsidR="00B20379" w:rsidRPr="004D2FF7">
        <w:rPr>
          <w:rFonts w:ascii="Times New Roman" w:hAnsi="Times New Roman" w:cs="Times New Roman"/>
          <w:sz w:val="24"/>
          <w:szCs w:val="24"/>
        </w:rPr>
        <w:t>în perioada 2018-20</w:t>
      </w:r>
      <w:r w:rsidR="008B6F65" w:rsidRPr="004D2FF7">
        <w:rPr>
          <w:rFonts w:ascii="Times New Roman" w:hAnsi="Times New Roman" w:cs="Times New Roman"/>
          <w:sz w:val="24"/>
          <w:szCs w:val="24"/>
        </w:rPr>
        <w:t xml:space="preserve">21 </w:t>
      </w:r>
      <w:r w:rsidR="009C3EBB" w:rsidRPr="004D2FF7">
        <w:rPr>
          <w:rFonts w:ascii="Times New Roman" w:hAnsi="Times New Roman" w:cs="Times New Roman"/>
          <w:color w:val="000000"/>
          <w:sz w:val="24"/>
          <w:szCs w:val="24"/>
          <w:lang w:val="ro-RO"/>
        </w:rPr>
        <w:t>CNPDCP</w:t>
      </w:r>
      <w:r w:rsidR="009C3EBB" w:rsidRPr="004D2FF7">
        <w:rPr>
          <w:rFonts w:ascii="Times New Roman" w:hAnsi="Times New Roman" w:cs="Times New Roman"/>
          <w:sz w:val="24"/>
          <w:szCs w:val="24"/>
        </w:rPr>
        <w:t xml:space="preserve"> </w:t>
      </w:r>
      <w:r w:rsidR="008B6F65" w:rsidRPr="004D2FF7">
        <w:rPr>
          <w:rFonts w:ascii="Times New Roman" w:hAnsi="Times New Roman" w:cs="Times New Roman"/>
          <w:sz w:val="24"/>
          <w:szCs w:val="24"/>
        </w:rPr>
        <w:t>a achiziționat prin procedura de negociere fără publicare, în temeiul a 4 contracte de achiziții publice, servicii de mentenanță a sistemului nominalizat în sumă totală de 984,7 mii lei</w:t>
      </w:r>
      <w:r w:rsidR="000D51B5">
        <w:rPr>
          <w:rFonts w:ascii="Times New Roman" w:hAnsi="Times New Roman" w:cs="Times New Roman"/>
          <w:sz w:val="24"/>
          <w:szCs w:val="24"/>
        </w:rPr>
        <w:t>. Î</w:t>
      </w:r>
      <w:r w:rsidR="00416EB0" w:rsidRPr="004D2FF7">
        <w:rPr>
          <w:rFonts w:ascii="Times New Roman" w:hAnsi="Times New Roman" w:cs="Times New Roman"/>
          <w:color w:val="000000"/>
          <w:sz w:val="24"/>
          <w:szCs w:val="24"/>
        </w:rPr>
        <w:t>n anul 2022</w:t>
      </w:r>
      <w:r w:rsidR="004F5A2A" w:rsidRPr="004D2FF7">
        <w:rPr>
          <w:rFonts w:ascii="Times New Roman" w:hAnsi="Times New Roman" w:cs="Times New Roman"/>
          <w:color w:val="000000"/>
          <w:sz w:val="24"/>
          <w:szCs w:val="24"/>
        </w:rPr>
        <w:t xml:space="preserve"> prin </w:t>
      </w:r>
      <w:r w:rsidR="004F5A2A" w:rsidRPr="004D2FF7">
        <w:rPr>
          <w:rFonts w:ascii="Times New Roman" w:eastAsia="Times New Roman" w:hAnsi="Times New Roman" w:cs="Times New Roman"/>
          <w:bCs/>
          <w:sz w:val="24"/>
          <w:szCs w:val="24"/>
        </w:rPr>
        <w:t xml:space="preserve">Hotărârea Guvernului </w:t>
      </w:r>
      <w:r w:rsidR="004F5A2A" w:rsidRPr="004D2FF7">
        <w:rPr>
          <w:rFonts w:ascii="Times New Roman" w:eastAsia="Times New Roman" w:hAnsi="Times New Roman" w:cs="Times New Roman"/>
          <w:sz w:val="24"/>
          <w:szCs w:val="24"/>
        </w:rPr>
        <w:t xml:space="preserve">nr.282 din 27.04.2022 </w:t>
      </w:r>
      <w:r w:rsidR="00F15C0B" w:rsidRPr="004D2FF7">
        <w:rPr>
          <w:rFonts w:ascii="Times New Roman" w:eastAsia="Times New Roman" w:hAnsi="Times New Roman" w:cs="Times New Roman"/>
          <w:sz w:val="24"/>
          <w:szCs w:val="24"/>
        </w:rPr>
        <w:t>„</w:t>
      </w:r>
      <w:r w:rsidR="004F5A2A" w:rsidRPr="004D2FF7">
        <w:rPr>
          <w:rFonts w:ascii="Times New Roman" w:eastAsia="Times New Roman" w:hAnsi="Times New Roman" w:cs="Times New Roman"/>
          <w:bCs/>
          <w:sz w:val="24"/>
          <w:szCs w:val="24"/>
        </w:rPr>
        <w:t>Cu privire la lichidarea Registrului de evidență al operatorilor de date cu caracter personal şi abrogarea unor hotărâri ale Guvernului</w:t>
      </w:r>
      <w:r w:rsidR="007C74CF" w:rsidRPr="004D2FF7">
        <w:rPr>
          <w:rFonts w:ascii="Times New Roman" w:eastAsia="Times New Roman" w:hAnsi="Times New Roman" w:cs="Times New Roman"/>
          <w:bCs/>
          <w:sz w:val="24"/>
          <w:szCs w:val="24"/>
        </w:rPr>
        <w:t>”,</w:t>
      </w:r>
      <w:r w:rsidR="00416EB0" w:rsidRPr="004D2FF7">
        <w:rPr>
          <w:rFonts w:ascii="Times New Roman" w:hAnsi="Times New Roman" w:cs="Times New Roman"/>
          <w:color w:val="000000"/>
          <w:sz w:val="24"/>
          <w:szCs w:val="24"/>
        </w:rPr>
        <w:t xml:space="preserve"> sistem</w:t>
      </w:r>
      <w:r w:rsidR="001616E3" w:rsidRPr="004D2FF7">
        <w:rPr>
          <w:rFonts w:ascii="Times New Roman" w:hAnsi="Times New Roman" w:cs="Times New Roman"/>
          <w:color w:val="000000"/>
          <w:sz w:val="24"/>
          <w:szCs w:val="24"/>
        </w:rPr>
        <w:t>ul informațional</w:t>
      </w:r>
      <w:r w:rsidR="00416EB0" w:rsidRPr="004D2FF7">
        <w:rPr>
          <w:rFonts w:ascii="Times New Roman" w:hAnsi="Times New Roman" w:cs="Times New Roman"/>
          <w:color w:val="000000"/>
          <w:sz w:val="24"/>
          <w:szCs w:val="24"/>
        </w:rPr>
        <w:t xml:space="preserve"> </w:t>
      </w:r>
      <w:r w:rsidR="0027032B" w:rsidRPr="004D2FF7">
        <w:rPr>
          <w:rFonts w:ascii="Times New Roman" w:hAnsi="Times New Roman" w:cs="Times New Roman"/>
          <w:color w:val="000000"/>
          <w:sz w:val="24"/>
          <w:szCs w:val="24"/>
        </w:rPr>
        <w:t xml:space="preserve">nominalizat </w:t>
      </w:r>
      <w:r w:rsidR="00416EB0" w:rsidRPr="004D2FF7">
        <w:rPr>
          <w:rFonts w:ascii="Times New Roman" w:hAnsi="Times New Roman" w:cs="Times New Roman"/>
          <w:color w:val="000000"/>
          <w:sz w:val="24"/>
          <w:szCs w:val="24"/>
        </w:rPr>
        <w:t>a fost lichidat</w:t>
      </w:r>
      <w:r w:rsidR="006E6907" w:rsidRPr="004D2FF7">
        <w:rPr>
          <w:rFonts w:ascii="Times New Roman" w:hAnsi="Times New Roman" w:cs="Times New Roman"/>
          <w:color w:val="000000"/>
          <w:sz w:val="24"/>
          <w:szCs w:val="24"/>
        </w:rPr>
        <w:t xml:space="preserve"> </w:t>
      </w:r>
      <w:r w:rsidR="001616E3" w:rsidRPr="004D2FF7">
        <w:rPr>
          <w:rFonts w:ascii="Times New Roman" w:hAnsi="Times New Roman" w:cs="Times New Roman"/>
          <w:sz w:val="24"/>
          <w:szCs w:val="24"/>
        </w:rPr>
        <w:t xml:space="preserve">prin nimicirea (distrugerea) ireversibilă a documentelor şi a </w:t>
      </w:r>
      <w:r w:rsidR="003D39B0" w:rsidRPr="004D2FF7">
        <w:rPr>
          <w:rFonts w:ascii="Times New Roman" w:hAnsi="Times New Roman" w:cs="Times New Roman"/>
          <w:sz w:val="24"/>
          <w:szCs w:val="24"/>
        </w:rPr>
        <w:t>informațiilor</w:t>
      </w:r>
      <w:r w:rsidR="001616E3" w:rsidRPr="004D2FF7">
        <w:rPr>
          <w:rFonts w:ascii="Times New Roman" w:hAnsi="Times New Roman" w:cs="Times New Roman"/>
          <w:sz w:val="24"/>
          <w:szCs w:val="24"/>
        </w:rPr>
        <w:t xml:space="preserve"> stocate pe suport de hârtie şi a celor stocate în format electronic</w:t>
      </w:r>
      <w:r w:rsidR="006E6907" w:rsidRPr="004D2FF7">
        <w:rPr>
          <w:rStyle w:val="FootnoteReference"/>
          <w:rFonts w:ascii="Times New Roman" w:hAnsi="Times New Roman" w:cs="Times New Roman"/>
          <w:color w:val="000000"/>
          <w:sz w:val="24"/>
          <w:szCs w:val="24"/>
        </w:rPr>
        <w:footnoteReference w:id="40"/>
      </w:r>
      <w:r w:rsidR="005D7FEF" w:rsidRPr="004D2FF7">
        <w:rPr>
          <w:rFonts w:ascii="Times New Roman" w:hAnsi="Times New Roman" w:cs="Times New Roman"/>
          <w:color w:val="000000"/>
          <w:sz w:val="24"/>
          <w:szCs w:val="24"/>
        </w:rPr>
        <w:t>,</w:t>
      </w:r>
      <w:r w:rsidR="003D39B0" w:rsidRPr="004D2FF7">
        <w:rPr>
          <w:rFonts w:ascii="Times New Roman" w:hAnsi="Times New Roman" w:cs="Times New Roman"/>
          <w:color w:val="000000"/>
          <w:sz w:val="24"/>
          <w:szCs w:val="24"/>
        </w:rPr>
        <w:t xml:space="preserve"> iar</w:t>
      </w:r>
      <w:r w:rsidR="00A85565" w:rsidRPr="004D2FF7">
        <w:rPr>
          <w:rFonts w:ascii="Times New Roman" w:hAnsi="Times New Roman" w:cs="Times New Roman"/>
          <w:color w:val="000000"/>
          <w:sz w:val="24"/>
          <w:szCs w:val="24"/>
        </w:rPr>
        <w:t xml:space="preserve"> cei doi</w:t>
      </w:r>
      <w:r w:rsidR="005D7FEF" w:rsidRPr="004D2FF7">
        <w:rPr>
          <w:rFonts w:ascii="Times New Roman" w:hAnsi="Times New Roman" w:cs="Times New Roman"/>
          <w:color w:val="000000"/>
          <w:sz w:val="24"/>
          <w:szCs w:val="24"/>
        </w:rPr>
        <w:t xml:space="preserve"> </w:t>
      </w:r>
      <w:r w:rsidR="005D7FEF" w:rsidRPr="004D2FF7">
        <w:rPr>
          <w:rFonts w:ascii="Times New Roman" w:hAnsi="Times New Roman" w:cs="Times New Roman"/>
          <w:sz w:val="24"/>
          <w:szCs w:val="24"/>
        </w:rPr>
        <w:t>indicatori de performanță de produs planificați</w:t>
      </w:r>
      <w:r w:rsidR="003F09E7" w:rsidRPr="004D2FF7">
        <w:rPr>
          <w:rFonts w:ascii="Times New Roman" w:hAnsi="Times New Roman" w:cs="Times New Roman"/>
          <w:sz w:val="24"/>
          <w:szCs w:val="24"/>
        </w:rPr>
        <w:t xml:space="preserve"> </w:t>
      </w:r>
      <w:r w:rsidR="008754AB" w:rsidRPr="004D2FF7">
        <w:rPr>
          <w:rFonts w:ascii="Times New Roman" w:hAnsi="Times New Roman" w:cs="Times New Roman"/>
          <w:sz w:val="24"/>
          <w:szCs w:val="24"/>
        </w:rPr>
        <w:t>de</w:t>
      </w:r>
      <w:r w:rsidR="00F97B31" w:rsidRPr="004D2FF7">
        <w:rPr>
          <w:rFonts w:ascii="Times New Roman" w:hAnsi="Times New Roman" w:cs="Times New Roman"/>
          <w:sz w:val="24"/>
          <w:szCs w:val="24"/>
        </w:rPr>
        <w:t xml:space="preserve"> către</w:t>
      </w:r>
      <w:r w:rsidR="008754AB" w:rsidRPr="004D2FF7">
        <w:rPr>
          <w:rFonts w:ascii="Times New Roman" w:hAnsi="Times New Roman" w:cs="Times New Roman"/>
          <w:sz w:val="24"/>
          <w:szCs w:val="24"/>
        </w:rPr>
        <w:t xml:space="preserve"> C</w:t>
      </w:r>
      <w:r w:rsidR="00F97B31" w:rsidRPr="004D2FF7">
        <w:rPr>
          <w:rFonts w:ascii="Times New Roman" w:hAnsi="Times New Roman" w:cs="Times New Roman"/>
          <w:sz w:val="24"/>
          <w:szCs w:val="24"/>
        </w:rPr>
        <w:t>N</w:t>
      </w:r>
      <w:r w:rsidR="008754AB" w:rsidRPr="004D2FF7">
        <w:rPr>
          <w:rFonts w:ascii="Times New Roman" w:hAnsi="Times New Roman" w:cs="Times New Roman"/>
          <w:sz w:val="24"/>
          <w:szCs w:val="24"/>
        </w:rPr>
        <w:t>PDCP</w:t>
      </w:r>
      <w:r w:rsidR="0027032B" w:rsidRPr="004D2FF7">
        <w:rPr>
          <w:rFonts w:ascii="Times New Roman" w:hAnsi="Times New Roman" w:cs="Times New Roman"/>
          <w:sz w:val="24"/>
          <w:szCs w:val="24"/>
        </w:rPr>
        <w:t xml:space="preserve"> pe anul 2022</w:t>
      </w:r>
      <w:r w:rsidR="008754AB" w:rsidRPr="004D2FF7">
        <w:rPr>
          <w:rFonts w:ascii="Times New Roman" w:hAnsi="Times New Roman" w:cs="Times New Roman"/>
          <w:sz w:val="24"/>
          <w:szCs w:val="24"/>
        </w:rPr>
        <w:t xml:space="preserve"> au rămas</w:t>
      </w:r>
      <w:r w:rsidR="005D7FEF" w:rsidRPr="004D2FF7">
        <w:rPr>
          <w:rFonts w:ascii="Times New Roman" w:hAnsi="Times New Roman" w:cs="Times New Roman"/>
          <w:sz w:val="24"/>
          <w:szCs w:val="24"/>
        </w:rPr>
        <w:t xml:space="preserve"> </w:t>
      </w:r>
      <w:r w:rsidR="008754AB" w:rsidRPr="004D2FF7">
        <w:rPr>
          <w:rFonts w:ascii="Times New Roman" w:hAnsi="Times New Roman" w:cs="Times New Roman"/>
          <w:sz w:val="24"/>
          <w:szCs w:val="24"/>
        </w:rPr>
        <w:t>ne</w:t>
      </w:r>
      <w:r w:rsidR="005D7FEF" w:rsidRPr="004D2FF7">
        <w:rPr>
          <w:rFonts w:ascii="Times New Roman" w:hAnsi="Times New Roman" w:cs="Times New Roman"/>
          <w:sz w:val="24"/>
          <w:szCs w:val="24"/>
        </w:rPr>
        <w:t>executați</w:t>
      </w:r>
      <w:r w:rsidR="007C165B" w:rsidRPr="004D2FF7">
        <w:rPr>
          <w:rFonts w:ascii="Times New Roman" w:hAnsi="Times New Roman" w:cs="Times New Roman"/>
          <w:sz w:val="24"/>
          <w:szCs w:val="24"/>
        </w:rPr>
        <w:t xml:space="preserve"> din </w:t>
      </w:r>
      <w:r w:rsidR="00DF7849">
        <w:rPr>
          <w:rFonts w:ascii="Times New Roman" w:hAnsi="Times New Roman" w:cs="Times New Roman"/>
          <w:sz w:val="24"/>
          <w:szCs w:val="24"/>
        </w:rPr>
        <w:t>cauza</w:t>
      </w:r>
      <w:r w:rsidR="00DF7849" w:rsidRPr="004D2FF7">
        <w:rPr>
          <w:rFonts w:ascii="Times New Roman" w:hAnsi="Times New Roman" w:cs="Times New Roman"/>
          <w:sz w:val="24"/>
          <w:szCs w:val="24"/>
        </w:rPr>
        <w:t xml:space="preserve"> </w:t>
      </w:r>
      <w:r w:rsidR="007C165B" w:rsidRPr="004D2FF7">
        <w:rPr>
          <w:rFonts w:ascii="Times New Roman" w:hAnsi="Times New Roman" w:cs="Times New Roman"/>
          <w:sz w:val="24"/>
          <w:szCs w:val="24"/>
        </w:rPr>
        <w:t>că</w:t>
      </w:r>
      <w:hyperlink r:id="rId16" w:history="1">
        <w:r w:rsidR="007C165B" w:rsidRPr="004D2FF7">
          <w:rPr>
            <w:rFonts w:ascii="Times New Roman" w:hAnsi="Times New Roman" w:cs="Times New Roman"/>
            <w:sz w:val="24"/>
            <w:szCs w:val="24"/>
            <w:lang w:val="ro-RO"/>
          </w:rPr>
          <w:t xml:space="preserve"> Legea</w:t>
        </w:r>
        <w:r w:rsidR="007C165B" w:rsidRPr="004D2FF7">
          <w:rPr>
            <w:rFonts w:ascii="Times New Roman" w:hAnsi="Times New Roman" w:cs="Times New Roman"/>
            <w:sz w:val="24"/>
            <w:szCs w:val="24"/>
          </w:rPr>
          <w:t xml:space="preserve"> </w:t>
        </w:r>
        <w:r w:rsidR="007C165B" w:rsidRPr="004D2FF7">
          <w:rPr>
            <w:rFonts w:ascii="Times New Roman" w:hAnsi="Times New Roman" w:cs="Times New Roman"/>
            <w:sz w:val="24"/>
            <w:szCs w:val="24"/>
            <w:lang w:val="ro-RO"/>
          </w:rPr>
          <w:t>nr.175  din  11.11.2021</w:t>
        </w:r>
        <w:r w:rsidR="007C165B" w:rsidRPr="004D2FF7">
          <w:rPr>
            <w:rStyle w:val="FootnoteReference"/>
            <w:rFonts w:ascii="Times New Roman" w:hAnsi="Times New Roman" w:cs="Times New Roman"/>
            <w:sz w:val="24"/>
            <w:szCs w:val="24"/>
            <w:lang w:val="ro-RO"/>
          </w:rPr>
          <w:footnoteReference w:id="41"/>
        </w:r>
        <w:r w:rsidR="007C165B" w:rsidRPr="004D2FF7">
          <w:rPr>
            <w:rFonts w:ascii="Times New Roman" w:eastAsia="Times New Roman" w:hAnsi="Times New Roman" w:cs="Times New Roman"/>
            <w:bCs/>
            <w:sz w:val="24"/>
            <w:szCs w:val="24"/>
          </w:rPr>
          <w:t xml:space="preserve"> prin care </w:t>
        </w:r>
      </w:hyperlink>
      <w:r w:rsidR="007C165B" w:rsidRPr="004D2FF7">
        <w:rPr>
          <w:rFonts w:ascii="Times New Roman" w:hAnsi="Times New Roman" w:cs="Times New Roman"/>
          <w:sz w:val="24"/>
          <w:szCs w:val="24"/>
          <w:lang w:val="ro-RO"/>
        </w:rPr>
        <w:t xml:space="preserve">a fost modificată Legea </w:t>
      </w:r>
      <w:r w:rsidR="007C165B" w:rsidRPr="004D2FF7">
        <w:rPr>
          <w:rFonts w:ascii="Times New Roman" w:hAnsi="Times New Roman" w:cs="Times New Roman"/>
          <w:bCs/>
          <w:sz w:val="24"/>
          <w:szCs w:val="24"/>
          <w:lang w:val="ro-RO"/>
        </w:rPr>
        <w:t xml:space="preserve">nr.133 din 08.07.2011 </w:t>
      </w:r>
      <w:r w:rsidR="007C165B" w:rsidRPr="004D2FF7">
        <w:rPr>
          <w:rFonts w:ascii="Times New Roman" w:hAnsi="Times New Roman" w:cs="Times New Roman"/>
          <w:sz w:val="24"/>
          <w:szCs w:val="24"/>
          <w:lang w:val="ro-RO"/>
        </w:rPr>
        <w:t xml:space="preserve">privind protecția datelor cu caracter personal </w:t>
      </w:r>
      <w:r w:rsidR="007C165B" w:rsidRPr="004D2FF7">
        <w:rPr>
          <w:rFonts w:ascii="Times New Roman" w:hAnsi="Times New Roman" w:cs="Times New Roman"/>
          <w:color w:val="000000"/>
          <w:sz w:val="24"/>
          <w:szCs w:val="24"/>
          <w:lang w:val="ro-RO"/>
        </w:rPr>
        <w:t xml:space="preserve">a </w:t>
      </w:r>
      <w:r w:rsidR="007C165B" w:rsidRPr="00CA05EB">
        <w:rPr>
          <w:rFonts w:ascii="Times New Roman" w:hAnsi="Times New Roman" w:cs="Times New Roman"/>
          <w:color w:val="000000"/>
          <w:sz w:val="24"/>
          <w:szCs w:val="24"/>
          <w:lang w:val="ro-RO"/>
        </w:rPr>
        <w:t>intrat în vigoare după aprobarea indicatorilor menționați</w:t>
      </w:r>
      <w:r w:rsidR="003D39B0" w:rsidRPr="00CA05EB">
        <w:rPr>
          <w:rFonts w:ascii="Times New Roman" w:hAnsi="Times New Roman" w:cs="Times New Roman"/>
          <w:color w:val="000000"/>
          <w:sz w:val="24"/>
          <w:szCs w:val="24"/>
        </w:rPr>
        <w:t xml:space="preserve">. </w:t>
      </w:r>
      <w:r w:rsidR="00CA05EB" w:rsidRPr="00CA05EB">
        <w:rPr>
          <w:rFonts w:ascii="Times New Roman" w:hAnsi="Times New Roman" w:cs="Times New Roman"/>
          <w:color w:val="000000"/>
          <w:sz w:val="24"/>
          <w:szCs w:val="24"/>
        </w:rPr>
        <w:t xml:space="preserve">Astfel, auditul relevă că neracordarea </w:t>
      </w:r>
      <w:r w:rsidR="00CA05EB" w:rsidRPr="00CA05EB">
        <w:rPr>
          <w:rFonts w:ascii="Times New Roman" w:hAnsi="Times New Roman" w:cs="Times New Roman"/>
          <w:sz w:val="24"/>
          <w:szCs w:val="24"/>
        </w:rPr>
        <w:lastRenderedPageBreak/>
        <w:t>cadrului legal național</w:t>
      </w:r>
      <w:r w:rsidR="00CA05EB" w:rsidRPr="00CA05EB">
        <w:rPr>
          <w:rFonts w:ascii="Times New Roman" w:hAnsi="Times New Roman" w:cs="Times New Roman"/>
          <w:sz w:val="24"/>
          <w:szCs w:val="24"/>
          <w:lang w:val="ro-RO"/>
        </w:rPr>
        <w:t xml:space="preserve"> privind protecția datelor cu caracter personal la directivele și regulamentele Uniunii Europene, în vigoare din anul 2018, care nu prevăd ținerea Registrului nominalizat</w:t>
      </w:r>
      <w:r w:rsidR="00CA05EB" w:rsidRPr="00CA05EB">
        <w:rPr>
          <w:rFonts w:ascii="Times New Roman" w:hAnsi="Times New Roman" w:cs="Times New Roman"/>
          <w:color w:val="000000"/>
          <w:sz w:val="24"/>
          <w:szCs w:val="24"/>
        </w:rPr>
        <w:t xml:space="preserve"> supra, au dus la planificarea și utilizarea neeficientă a mijloacelor bugetare executate în perioada 2018-2021 pentru achiziționarea serviciilor de mentenanță a </w:t>
      </w:r>
      <w:r w:rsidR="009C3EBB">
        <w:rPr>
          <w:rFonts w:ascii="Times New Roman" w:hAnsi="Times New Roman" w:cs="Times New Roman"/>
          <w:color w:val="000000"/>
          <w:sz w:val="24"/>
          <w:szCs w:val="24"/>
        </w:rPr>
        <w:t>SIA REODCP</w:t>
      </w:r>
      <w:r w:rsidR="004E0F3C">
        <w:rPr>
          <w:rFonts w:ascii="Times New Roman" w:hAnsi="Times New Roman" w:cs="Times New Roman"/>
          <w:color w:val="000000"/>
          <w:sz w:val="24"/>
          <w:szCs w:val="24"/>
        </w:rPr>
        <w:t>,</w:t>
      </w:r>
      <w:r w:rsidR="00CA05EB" w:rsidRPr="00CA05EB">
        <w:rPr>
          <w:rFonts w:ascii="Times New Roman" w:hAnsi="Times New Roman" w:cs="Times New Roman"/>
          <w:color w:val="000000"/>
          <w:sz w:val="24"/>
          <w:szCs w:val="24"/>
          <w:lang w:val="ro-RO"/>
        </w:rPr>
        <w:t xml:space="preserve"> în valoare de </w:t>
      </w:r>
      <w:r w:rsidR="00CA05EB" w:rsidRPr="00CA05EB">
        <w:rPr>
          <w:rFonts w:ascii="Times New Roman" w:hAnsi="Times New Roman" w:cs="Times New Roman"/>
          <w:sz w:val="24"/>
          <w:szCs w:val="24"/>
        </w:rPr>
        <w:t>984,7 mii lei.</w:t>
      </w:r>
    </w:p>
    <w:p w14:paraId="7BA749A1" w14:textId="5E134674" w:rsidR="000C70A5" w:rsidRDefault="0094278D" w:rsidP="00416EB0">
      <w:pPr>
        <w:spacing w:line="276" w:lineRule="auto"/>
        <w:jc w:val="both"/>
        <w:rPr>
          <w:rFonts w:ascii="Times New Roman" w:hAnsi="Times New Roman" w:cs="Times New Roman"/>
          <w:color w:val="000000"/>
          <w:sz w:val="24"/>
          <w:szCs w:val="24"/>
        </w:rPr>
      </w:pPr>
      <w:r w:rsidRPr="004D2FF7">
        <w:rPr>
          <w:rFonts w:ascii="Times New Roman" w:hAnsi="Times New Roman" w:cs="Times New Roman"/>
          <w:color w:val="000000"/>
          <w:sz w:val="24"/>
          <w:szCs w:val="24"/>
        </w:rPr>
        <w:t>Se relevă că în anii 2018-2022, CNPDCP și</w:t>
      </w:r>
      <w:r w:rsidR="00BD2410" w:rsidRPr="004D2FF7">
        <w:rPr>
          <w:rFonts w:ascii="Times New Roman" w:hAnsi="Times New Roman" w:cs="Times New Roman"/>
          <w:color w:val="000000"/>
          <w:sz w:val="24"/>
          <w:szCs w:val="24"/>
        </w:rPr>
        <w:t>-</w:t>
      </w:r>
      <w:r w:rsidRPr="004D2FF7">
        <w:rPr>
          <w:rFonts w:ascii="Times New Roman" w:hAnsi="Times New Roman" w:cs="Times New Roman"/>
          <w:color w:val="000000"/>
          <w:sz w:val="24"/>
          <w:szCs w:val="24"/>
        </w:rPr>
        <w:t>a stabilit ca</w:t>
      </w:r>
      <w:r w:rsidR="00E01A67" w:rsidRPr="004D2FF7">
        <w:rPr>
          <w:rFonts w:ascii="Times New Roman" w:hAnsi="Times New Roman" w:cs="Times New Roman"/>
          <w:color w:val="000000"/>
          <w:sz w:val="24"/>
          <w:szCs w:val="24"/>
        </w:rPr>
        <w:t xml:space="preserve"> indicator de performanță de produs „</w:t>
      </w:r>
      <w:r w:rsidR="00F81A76" w:rsidRPr="004D2FF7">
        <w:rPr>
          <w:rFonts w:ascii="Times New Roman" w:hAnsi="Times New Roman" w:cs="Times New Roman"/>
          <w:color w:val="000000"/>
          <w:sz w:val="24"/>
          <w:szCs w:val="24"/>
        </w:rPr>
        <w:t>n</w:t>
      </w:r>
      <w:r w:rsidR="00E01A67" w:rsidRPr="004D2FF7">
        <w:rPr>
          <w:rFonts w:ascii="Times New Roman" w:hAnsi="Times New Roman" w:cs="Times New Roman"/>
          <w:color w:val="000000"/>
          <w:sz w:val="24"/>
          <w:szCs w:val="24"/>
        </w:rPr>
        <w:t>umărul procedurilor contravenționale și în ordine de contencios administrativ intentate de CNPDCP”</w:t>
      </w:r>
      <w:r w:rsidR="00D62041" w:rsidRPr="004D2FF7">
        <w:rPr>
          <w:rFonts w:ascii="Times New Roman" w:hAnsi="Times New Roman" w:cs="Times New Roman"/>
          <w:color w:val="000000"/>
          <w:sz w:val="24"/>
          <w:szCs w:val="24"/>
        </w:rPr>
        <w:t>,</w:t>
      </w:r>
      <w:r w:rsidR="00E01A67" w:rsidRPr="004D2FF7">
        <w:rPr>
          <w:rFonts w:ascii="Times New Roman" w:hAnsi="Times New Roman" w:cs="Times New Roman"/>
          <w:color w:val="000000"/>
          <w:sz w:val="24"/>
          <w:szCs w:val="24"/>
        </w:rPr>
        <w:t xml:space="preserve"> însă</w:t>
      </w:r>
      <w:r w:rsidR="00122330" w:rsidRPr="004D2FF7">
        <w:rPr>
          <w:rFonts w:ascii="Times New Roman" w:hAnsi="Times New Roman" w:cs="Times New Roman"/>
          <w:color w:val="000000"/>
          <w:sz w:val="24"/>
          <w:szCs w:val="24"/>
        </w:rPr>
        <w:t xml:space="preserve"> </w:t>
      </w:r>
      <w:r w:rsidR="00D62041" w:rsidRPr="004D2FF7">
        <w:rPr>
          <w:rFonts w:ascii="Times New Roman" w:hAnsi="Times New Roman" w:cs="Times New Roman"/>
          <w:color w:val="000000"/>
          <w:sz w:val="24"/>
          <w:szCs w:val="24"/>
        </w:rPr>
        <w:t xml:space="preserve">entitatea </w:t>
      </w:r>
      <w:r w:rsidR="00122330" w:rsidRPr="004D2FF7">
        <w:rPr>
          <w:rFonts w:ascii="Times New Roman" w:hAnsi="Times New Roman" w:cs="Times New Roman"/>
          <w:color w:val="000000"/>
          <w:sz w:val="24"/>
          <w:szCs w:val="24"/>
        </w:rPr>
        <w:t>nu</w:t>
      </w:r>
      <w:r w:rsidR="000D51B5">
        <w:rPr>
          <w:rFonts w:ascii="Times New Roman" w:hAnsi="Times New Roman" w:cs="Times New Roman"/>
          <w:color w:val="000000"/>
          <w:sz w:val="24"/>
          <w:szCs w:val="24"/>
        </w:rPr>
        <w:t xml:space="preserve"> a avut </w:t>
      </w:r>
      <w:r w:rsidR="00122330" w:rsidRPr="004D2FF7">
        <w:rPr>
          <w:rFonts w:ascii="Times New Roman" w:hAnsi="Times New Roman" w:cs="Times New Roman"/>
          <w:color w:val="000000"/>
          <w:sz w:val="24"/>
          <w:szCs w:val="24"/>
        </w:rPr>
        <w:t>stabilit</w:t>
      </w:r>
      <w:r w:rsidR="00D62041" w:rsidRPr="004D2FF7">
        <w:rPr>
          <w:rFonts w:ascii="Times New Roman" w:hAnsi="Times New Roman" w:cs="Times New Roman"/>
          <w:color w:val="000000"/>
          <w:sz w:val="24"/>
          <w:szCs w:val="24"/>
        </w:rPr>
        <w:t xml:space="preserve"> un</w:t>
      </w:r>
      <w:r w:rsidR="00122330" w:rsidRPr="004D2FF7">
        <w:rPr>
          <w:rFonts w:ascii="Times New Roman" w:hAnsi="Times New Roman" w:cs="Times New Roman"/>
          <w:color w:val="000000"/>
          <w:sz w:val="24"/>
          <w:szCs w:val="24"/>
        </w:rPr>
        <w:t xml:space="preserve"> indicator</w:t>
      </w:r>
      <w:r w:rsidR="00F26E21" w:rsidRPr="004D2FF7">
        <w:rPr>
          <w:rFonts w:ascii="Times New Roman" w:hAnsi="Times New Roman" w:cs="Times New Roman"/>
          <w:color w:val="000000"/>
          <w:sz w:val="24"/>
          <w:szCs w:val="24"/>
        </w:rPr>
        <w:t xml:space="preserve"> de performanță</w:t>
      </w:r>
      <w:r w:rsidR="00122330" w:rsidRPr="004D2FF7">
        <w:rPr>
          <w:rFonts w:ascii="Times New Roman" w:hAnsi="Times New Roman" w:cs="Times New Roman"/>
          <w:color w:val="000000"/>
          <w:sz w:val="24"/>
          <w:szCs w:val="24"/>
        </w:rPr>
        <w:t xml:space="preserve"> de rezultat</w:t>
      </w:r>
      <w:r w:rsidR="00C24C5D" w:rsidRPr="004D2FF7">
        <w:rPr>
          <w:rFonts w:ascii="Times New Roman" w:hAnsi="Times New Roman" w:cs="Times New Roman"/>
          <w:color w:val="000000"/>
          <w:sz w:val="24"/>
          <w:szCs w:val="24"/>
        </w:rPr>
        <w:t xml:space="preserve"> și de eficiență</w:t>
      </w:r>
      <w:r w:rsidR="00122330" w:rsidRPr="004D2FF7">
        <w:rPr>
          <w:rFonts w:ascii="Times New Roman" w:hAnsi="Times New Roman" w:cs="Times New Roman"/>
          <w:color w:val="000000"/>
          <w:sz w:val="24"/>
          <w:szCs w:val="24"/>
        </w:rPr>
        <w:t xml:space="preserve"> privind numărul de proce</w:t>
      </w:r>
      <w:r w:rsidR="00F81A76" w:rsidRPr="004D2FF7">
        <w:rPr>
          <w:rFonts w:ascii="Times New Roman" w:hAnsi="Times New Roman" w:cs="Times New Roman"/>
          <w:color w:val="000000"/>
          <w:sz w:val="24"/>
          <w:szCs w:val="24"/>
        </w:rPr>
        <w:t>duri contravenționale câștigate sau</w:t>
      </w:r>
      <w:r w:rsidR="00122330" w:rsidRPr="004D2FF7">
        <w:rPr>
          <w:rFonts w:ascii="Times New Roman" w:hAnsi="Times New Roman" w:cs="Times New Roman"/>
          <w:color w:val="000000"/>
          <w:sz w:val="24"/>
          <w:szCs w:val="24"/>
        </w:rPr>
        <w:t xml:space="preserve"> anulate de către instanță</w:t>
      </w:r>
      <w:r w:rsidR="00AE3BBC" w:rsidRPr="004D2FF7">
        <w:rPr>
          <w:rFonts w:ascii="Times New Roman" w:hAnsi="Times New Roman" w:cs="Times New Roman"/>
          <w:color w:val="000000"/>
          <w:sz w:val="24"/>
          <w:szCs w:val="24"/>
        </w:rPr>
        <w:t xml:space="preserve"> sau</w:t>
      </w:r>
      <w:r w:rsidR="00F81A76" w:rsidRPr="004D2FF7">
        <w:rPr>
          <w:rFonts w:ascii="Times New Roman" w:hAnsi="Times New Roman" w:cs="Times New Roman"/>
          <w:color w:val="000000"/>
          <w:sz w:val="24"/>
          <w:szCs w:val="24"/>
        </w:rPr>
        <w:t xml:space="preserve"> valoarea sancțiunilor</w:t>
      </w:r>
      <w:r w:rsidR="00FE1617" w:rsidRPr="004D2FF7">
        <w:rPr>
          <w:rFonts w:ascii="Times New Roman" w:hAnsi="Times New Roman" w:cs="Times New Roman"/>
          <w:color w:val="000000"/>
          <w:sz w:val="24"/>
          <w:szCs w:val="24"/>
        </w:rPr>
        <w:t xml:space="preserve"> aplicate</w:t>
      </w:r>
      <w:r w:rsidR="00122330" w:rsidRPr="004D2FF7">
        <w:rPr>
          <w:rFonts w:ascii="Times New Roman" w:hAnsi="Times New Roman" w:cs="Times New Roman"/>
          <w:color w:val="000000"/>
          <w:sz w:val="24"/>
          <w:szCs w:val="24"/>
        </w:rPr>
        <w:t xml:space="preserve"> etc. </w:t>
      </w:r>
      <w:r w:rsidR="00F81A76" w:rsidRPr="004D2FF7">
        <w:rPr>
          <w:rFonts w:ascii="Times New Roman" w:hAnsi="Times New Roman" w:cs="Times New Roman"/>
          <w:color w:val="000000"/>
          <w:sz w:val="24"/>
          <w:szCs w:val="24"/>
        </w:rPr>
        <w:t>Totodată, î</w:t>
      </w:r>
      <w:r w:rsidR="00122330" w:rsidRPr="004D2FF7">
        <w:rPr>
          <w:rFonts w:ascii="Times New Roman" w:hAnsi="Times New Roman" w:cs="Times New Roman"/>
          <w:color w:val="000000"/>
          <w:sz w:val="24"/>
          <w:szCs w:val="24"/>
        </w:rPr>
        <w:t>n baza informa</w:t>
      </w:r>
      <w:r w:rsidR="008F4888">
        <w:rPr>
          <w:rFonts w:ascii="Times New Roman" w:hAnsi="Times New Roman" w:cs="Times New Roman"/>
          <w:color w:val="000000"/>
          <w:sz w:val="24"/>
          <w:szCs w:val="24"/>
        </w:rPr>
        <w:t>ți</w:t>
      </w:r>
      <w:r w:rsidR="00122330" w:rsidRPr="004D2FF7">
        <w:rPr>
          <w:rFonts w:ascii="Times New Roman" w:hAnsi="Times New Roman" w:cs="Times New Roman"/>
          <w:color w:val="000000"/>
          <w:sz w:val="24"/>
          <w:szCs w:val="24"/>
        </w:rPr>
        <w:t>i</w:t>
      </w:r>
      <w:r w:rsidR="004E0F3C">
        <w:rPr>
          <w:rFonts w:ascii="Times New Roman" w:hAnsi="Times New Roman" w:cs="Times New Roman"/>
          <w:color w:val="000000"/>
          <w:sz w:val="24"/>
          <w:szCs w:val="24"/>
        </w:rPr>
        <w:t>lor</w:t>
      </w:r>
      <w:r w:rsidR="00122330" w:rsidRPr="004D2FF7">
        <w:rPr>
          <w:rFonts w:ascii="Times New Roman" w:hAnsi="Times New Roman" w:cs="Times New Roman"/>
          <w:color w:val="000000"/>
          <w:sz w:val="24"/>
          <w:szCs w:val="24"/>
        </w:rPr>
        <w:t xml:space="preserve"> prezentat</w:t>
      </w:r>
      <w:r w:rsidR="004E0F3C">
        <w:rPr>
          <w:rFonts w:ascii="Times New Roman" w:hAnsi="Times New Roman" w:cs="Times New Roman"/>
          <w:color w:val="000000"/>
          <w:sz w:val="24"/>
          <w:szCs w:val="24"/>
        </w:rPr>
        <w:t>e,</w:t>
      </w:r>
      <w:r w:rsidR="00D62041" w:rsidRPr="004D2FF7">
        <w:rPr>
          <w:rFonts w:ascii="Times New Roman" w:hAnsi="Times New Roman" w:cs="Times New Roman"/>
          <w:color w:val="000000"/>
          <w:sz w:val="24"/>
          <w:szCs w:val="24"/>
        </w:rPr>
        <w:t xml:space="preserve"> </w:t>
      </w:r>
      <w:r w:rsidR="00122330" w:rsidRPr="004D2FF7">
        <w:rPr>
          <w:rFonts w:ascii="Times New Roman" w:hAnsi="Times New Roman" w:cs="Times New Roman"/>
          <w:color w:val="000000"/>
          <w:sz w:val="24"/>
          <w:szCs w:val="24"/>
        </w:rPr>
        <w:t>audit</w:t>
      </w:r>
      <w:r w:rsidR="00F81A76" w:rsidRPr="004D2FF7">
        <w:rPr>
          <w:rFonts w:ascii="Times New Roman" w:hAnsi="Times New Roman" w:cs="Times New Roman"/>
          <w:color w:val="000000"/>
          <w:sz w:val="24"/>
          <w:szCs w:val="24"/>
        </w:rPr>
        <w:t>ul a constatat că</w:t>
      </w:r>
      <w:r w:rsidR="00122330" w:rsidRPr="004D2FF7">
        <w:rPr>
          <w:rFonts w:ascii="Times New Roman" w:hAnsi="Times New Roman" w:cs="Times New Roman"/>
          <w:color w:val="000000"/>
          <w:sz w:val="24"/>
          <w:szCs w:val="24"/>
        </w:rPr>
        <w:t xml:space="preserve"> în </w:t>
      </w:r>
      <w:r w:rsidR="00F81A76" w:rsidRPr="004D2FF7">
        <w:rPr>
          <w:rFonts w:ascii="Times New Roman" w:hAnsi="Times New Roman" w:cs="Times New Roman"/>
          <w:color w:val="000000"/>
          <w:sz w:val="24"/>
          <w:szCs w:val="24"/>
        </w:rPr>
        <w:t>anii</w:t>
      </w:r>
      <w:r w:rsidR="00122330" w:rsidRPr="004D2FF7">
        <w:rPr>
          <w:rFonts w:ascii="Times New Roman" w:hAnsi="Times New Roman" w:cs="Times New Roman"/>
          <w:color w:val="000000"/>
          <w:sz w:val="24"/>
          <w:szCs w:val="24"/>
        </w:rPr>
        <w:t xml:space="preserve"> 2018-2021</w:t>
      </w:r>
      <w:r w:rsidR="00F81A76" w:rsidRPr="004D2FF7">
        <w:rPr>
          <w:rFonts w:ascii="Times New Roman" w:hAnsi="Times New Roman" w:cs="Times New Roman"/>
          <w:color w:val="000000"/>
          <w:sz w:val="24"/>
          <w:szCs w:val="24"/>
        </w:rPr>
        <w:t>, CNPDCP</w:t>
      </w:r>
      <w:r w:rsidR="00122330" w:rsidRPr="004D2FF7">
        <w:rPr>
          <w:rFonts w:ascii="Times New Roman" w:hAnsi="Times New Roman" w:cs="Times New Roman"/>
          <w:color w:val="000000"/>
          <w:sz w:val="24"/>
          <w:szCs w:val="24"/>
        </w:rPr>
        <w:t xml:space="preserve"> nu a ținut o evidență privind rezultatul soluționării contravențiilor constatate, iar în anul 2022 această informație </w:t>
      </w:r>
      <w:r w:rsidR="00D62041" w:rsidRPr="004D2FF7">
        <w:rPr>
          <w:rFonts w:ascii="Times New Roman" w:hAnsi="Times New Roman" w:cs="Times New Roman"/>
          <w:color w:val="000000"/>
          <w:sz w:val="24"/>
          <w:szCs w:val="24"/>
        </w:rPr>
        <w:t>a fost</w:t>
      </w:r>
      <w:r w:rsidR="00FE1617" w:rsidRPr="004D2FF7">
        <w:rPr>
          <w:rFonts w:ascii="Times New Roman" w:hAnsi="Times New Roman" w:cs="Times New Roman"/>
          <w:color w:val="000000"/>
          <w:sz w:val="24"/>
          <w:szCs w:val="24"/>
        </w:rPr>
        <w:t xml:space="preserve"> ținută</w:t>
      </w:r>
      <w:r w:rsidR="00122330" w:rsidRPr="004D2FF7">
        <w:rPr>
          <w:rFonts w:ascii="Times New Roman" w:hAnsi="Times New Roman" w:cs="Times New Roman"/>
          <w:color w:val="000000"/>
          <w:sz w:val="24"/>
          <w:szCs w:val="24"/>
        </w:rPr>
        <w:t xml:space="preserve"> parțial. </w:t>
      </w:r>
      <w:r w:rsidR="00E01A67" w:rsidRPr="004D2FF7">
        <w:rPr>
          <w:rFonts w:ascii="Times New Roman" w:hAnsi="Times New Roman" w:cs="Times New Roman"/>
          <w:color w:val="000000"/>
          <w:sz w:val="24"/>
          <w:szCs w:val="24"/>
        </w:rPr>
        <w:t xml:space="preserve"> </w:t>
      </w:r>
    </w:p>
    <w:p w14:paraId="2482AE7A" w14:textId="77777777" w:rsidR="00531374" w:rsidRPr="004D2FF7" w:rsidRDefault="00531374" w:rsidP="00416EB0">
      <w:pPr>
        <w:spacing w:line="276" w:lineRule="auto"/>
        <w:jc w:val="both"/>
        <w:rPr>
          <w:rFonts w:ascii="Times New Roman" w:hAnsi="Times New Roman" w:cs="Times New Roman"/>
          <w:color w:val="000000"/>
          <w:sz w:val="24"/>
          <w:szCs w:val="24"/>
        </w:rPr>
      </w:pPr>
    </w:p>
    <w:p w14:paraId="5BC0B2CD" w14:textId="2300A2C8" w:rsidR="00C92468" w:rsidRPr="004D2FF7" w:rsidRDefault="00C92468" w:rsidP="00C92468">
      <w:pPr>
        <w:tabs>
          <w:tab w:val="left" w:pos="851"/>
          <w:tab w:val="left" w:pos="1134"/>
        </w:tabs>
        <w:spacing w:after="0"/>
        <w:contextualSpacing/>
        <w:jc w:val="both"/>
        <w:outlineLvl w:val="2"/>
        <w:rPr>
          <w:rFonts w:ascii="Times New Roman" w:hAnsi="Times New Roman" w:cs="Times New Roman"/>
          <w:b/>
          <w:i/>
          <w:color w:val="2E74B5" w:themeColor="accent1" w:themeShade="BF"/>
          <w:sz w:val="24"/>
          <w:szCs w:val="24"/>
          <w:lang w:val="ro-RO"/>
        </w:rPr>
      </w:pPr>
      <w:bookmarkStart w:id="30" w:name="_Toc157776092"/>
      <w:r w:rsidRPr="004D2FF7">
        <w:rPr>
          <w:rFonts w:ascii="Times New Roman" w:hAnsi="Times New Roman" w:cs="Times New Roman"/>
          <w:b/>
          <w:i/>
          <w:color w:val="2E74B5" w:themeColor="accent1" w:themeShade="BF"/>
          <w:sz w:val="24"/>
          <w:szCs w:val="24"/>
          <w:lang w:val="ro-RO"/>
        </w:rPr>
        <w:t>4.1.</w:t>
      </w:r>
      <w:r w:rsidR="000448DF" w:rsidRPr="004D2FF7">
        <w:rPr>
          <w:rFonts w:ascii="Times New Roman" w:hAnsi="Times New Roman" w:cs="Times New Roman"/>
          <w:b/>
          <w:i/>
          <w:color w:val="2E74B5" w:themeColor="accent1" w:themeShade="BF"/>
          <w:sz w:val="24"/>
          <w:szCs w:val="24"/>
          <w:lang w:val="ro-RO"/>
        </w:rPr>
        <w:t>3</w:t>
      </w:r>
      <w:r w:rsidRPr="004D2FF7">
        <w:rPr>
          <w:rFonts w:ascii="Times New Roman" w:hAnsi="Times New Roman" w:cs="Times New Roman"/>
          <w:b/>
          <w:i/>
          <w:color w:val="2E74B5" w:themeColor="accent1" w:themeShade="BF"/>
          <w:sz w:val="24"/>
          <w:szCs w:val="24"/>
          <w:lang w:val="ro-RO"/>
        </w:rPr>
        <w:t xml:space="preserve">. </w:t>
      </w:r>
      <w:r w:rsidR="007070CA" w:rsidRPr="004D2FF7">
        <w:rPr>
          <w:rFonts w:ascii="Times New Roman" w:hAnsi="Times New Roman" w:cs="Times New Roman"/>
          <w:b/>
          <w:i/>
          <w:color w:val="2E74B5" w:themeColor="accent1" w:themeShade="BF"/>
          <w:sz w:val="24"/>
          <w:szCs w:val="24"/>
          <w:lang w:val="ro-RO"/>
        </w:rPr>
        <w:t>Cadrul normativ</w:t>
      </w:r>
      <w:r w:rsidR="00B31ABE" w:rsidRPr="004D2FF7">
        <w:rPr>
          <w:rFonts w:ascii="Times New Roman" w:hAnsi="Times New Roman" w:cs="Times New Roman"/>
          <w:b/>
          <w:i/>
          <w:color w:val="2E74B5" w:themeColor="accent1" w:themeShade="BF"/>
          <w:sz w:val="24"/>
          <w:szCs w:val="24"/>
          <w:lang w:val="ro-RO"/>
        </w:rPr>
        <w:t>-legislativ</w:t>
      </w:r>
      <w:r w:rsidR="007070CA" w:rsidRPr="004D2FF7">
        <w:rPr>
          <w:rFonts w:ascii="Times New Roman" w:hAnsi="Times New Roman" w:cs="Times New Roman"/>
          <w:b/>
          <w:i/>
          <w:color w:val="2E74B5" w:themeColor="accent1" w:themeShade="BF"/>
          <w:sz w:val="24"/>
          <w:szCs w:val="24"/>
          <w:lang w:val="ro-RO"/>
        </w:rPr>
        <w:t xml:space="preserve"> care reglementează activitatea CNPDCP privind protecția datelor cu caracter personal nu</w:t>
      </w:r>
      <w:r w:rsidR="009713FA" w:rsidRPr="004D2FF7">
        <w:rPr>
          <w:rFonts w:ascii="Times New Roman" w:hAnsi="Times New Roman" w:cs="Times New Roman"/>
          <w:b/>
          <w:i/>
          <w:color w:val="2E74B5" w:themeColor="accent1" w:themeShade="BF"/>
          <w:sz w:val="24"/>
          <w:szCs w:val="24"/>
          <w:lang w:val="ro-RO"/>
        </w:rPr>
        <w:t xml:space="preserve"> a</w:t>
      </w:r>
      <w:r w:rsidR="007070CA" w:rsidRPr="004D2FF7">
        <w:rPr>
          <w:rFonts w:ascii="Times New Roman" w:hAnsi="Times New Roman" w:cs="Times New Roman"/>
          <w:b/>
          <w:i/>
          <w:color w:val="2E74B5" w:themeColor="accent1" w:themeShade="BF"/>
          <w:sz w:val="24"/>
          <w:szCs w:val="24"/>
          <w:lang w:val="ro-RO"/>
        </w:rPr>
        <w:t xml:space="preserve"> fost </w:t>
      </w:r>
      <w:r w:rsidR="00674588" w:rsidRPr="004D2FF7">
        <w:rPr>
          <w:rFonts w:ascii="Times New Roman" w:hAnsi="Times New Roman" w:cs="Times New Roman"/>
          <w:b/>
          <w:i/>
          <w:color w:val="2E74B5" w:themeColor="accent1" w:themeShade="BF"/>
          <w:sz w:val="24"/>
          <w:szCs w:val="24"/>
          <w:lang w:val="ro-RO"/>
        </w:rPr>
        <w:t>racordat</w:t>
      </w:r>
      <w:r w:rsidR="007070CA" w:rsidRPr="004D2FF7">
        <w:rPr>
          <w:rFonts w:ascii="Times New Roman" w:hAnsi="Times New Roman" w:cs="Times New Roman"/>
          <w:b/>
          <w:i/>
          <w:color w:val="2E74B5" w:themeColor="accent1" w:themeShade="BF"/>
          <w:sz w:val="24"/>
          <w:szCs w:val="24"/>
          <w:lang w:val="ro-RO"/>
        </w:rPr>
        <w:t xml:space="preserve"> </w:t>
      </w:r>
      <w:r w:rsidR="00A04CDA" w:rsidRPr="004D2FF7">
        <w:rPr>
          <w:rFonts w:ascii="Times New Roman" w:hAnsi="Times New Roman" w:cs="Times New Roman"/>
          <w:b/>
          <w:i/>
          <w:color w:val="2E74B5" w:themeColor="accent1" w:themeShade="BF"/>
          <w:sz w:val="24"/>
          <w:szCs w:val="24"/>
          <w:lang w:val="ro-RO"/>
        </w:rPr>
        <w:t>la directivele și regulamentele</w:t>
      </w:r>
      <w:r w:rsidR="007070CA" w:rsidRPr="004D2FF7">
        <w:rPr>
          <w:rFonts w:ascii="Times New Roman" w:hAnsi="Times New Roman" w:cs="Times New Roman"/>
          <w:b/>
          <w:i/>
          <w:color w:val="2E74B5" w:themeColor="accent1" w:themeShade="BF"/>
          <w:sz w:val="24"/>
          <w:szCs w:val="24"/>
          <w:lang w:val="ro-RO"/>
        </w:rPr>
        <w:t xml:space="preserve"> Uniunii Europene</w:t>
      </w:r>
      <w:r w:rsidR="00DF02A9" w:rsidRPr="004D2FF7">
        <w:rPr>
          <w:rFonts w:ascii="Times New Roman" w:hAnsi="Times New Roman" w:cs="Times New Roman"/>
          <w:b/>
          <w:i/>
          <w:color w:val="2E74B5" w:themeColor="accent1" w:themeShade="BF"/>
          <w:sz w:val="24"/>
          <w:szCs w:val="24"/>
          <w:lang w:val="ro-RO"/>
        </w:rPr>
        <w:t>; n</w:t>
      </w:r>
      <w:r w:rsidR="00736FA3" w:rsidRPr="004D2FF7">
        <w:rPr>
          <w:rFonts w:ascii="Times New Roman" w:hAnsi="Times New Roman" w:cs="Times New Roman"/>
          <w:b/>
          <w:i/>
          <w:color w:val="2E74B5" w:themeColor="accent1" w:themeShade="BF"/>
          <w:sz w:val="24"/>
          <w:szCs w:val="24"/>
          <w:lang w:val="ro-RO"/>
        </w:rPr>
        <w:t>u sunt</w:t>
      </w:r>
      <w:r w:rsidR="00922689" w:rsidRPr="004D2FF7">
        <w:rPr>
          <w:rFonts w:ascii="Times New Roman" w:hAnsi="Times New Roman" w:cs="Times New Roman"/>
          <w:b/>
          <w:i/>
          <w:color w:val="2E74B5" w:themeColor="accent1" w:themeShade="BF"/>
          <w:sz w:val="24"/>
          <w:szCs w:val="24"/>
          <w:lang w:val="ro-RO"/>
        </w:rPr>
        <w:t xml:space="preserve"> implementate unele măsuri și</w:t>
      </w:r>
      <w:r w:rsidR="00922689" w:rsidRPr="004D2FF7">
        <w:rPr>
          <w:rFonts w:ascii="Times New Roman" w:hAnsi="Times New Roman" w:cs="Times New Roman"/>
          <w:i/>
          <w:color w:val="2E74B5" w:themeColor="accent1" w:themeShade="BF"/>
          <w:sz w:val="24"/>
          <w:szCs w:val="24"/>
          <w:lang w:val="ro-RO"/>
        </w:rPr>
        <w:t xml:space="preserve"> </w:t>
      </w:r>
      <w:r w:rsidR="00922689" w:rsidRPr="004D2FF7">
        <w:rPr>
          <w:rFonts w:ascii="Times New Roman" w:hAnsi="Times New Roman" w:cs="Times New Roman"/>
          <w:b/>
          <w:i/>
          <w:color w:val="2E74B5" w:themeColor="accent1" w:themeShade="BF"/>
          <w:sz w:val="24"/>
          <w:szCs w:val="24"/>
          <w:lang w:val="ro-RO"/>
        </w:rPr>
        <w:t>indicatori de performanță</w:t>
      </w:r>
      <w:r w:rsidR="00736FA3" w:rsidRPr="004D2FF7">
        <w:rPr>
          <w:rFonts w:ascii="Times New Roman" w:hAnsi="Times New Roman" w:cs="Times New Roman"/>
          <w:b/>
          <w:i/>
          <w:color w:val="2E74B5" w:themeColor="accent1" w:themeShade="BF"/>
          <w:sz w:val="24"/>
          <w:szCs w:val="24"/>
          <w:lang w:val="ro-RO"/>
        </w:rPr>
        <w:t xml:space="preserve"> stabili</w:t>
      </w:r>
      <w:r w:rsidR="004E0F3C">
        <w:rPr>
          <w:rFonts w:ascii="Times New Roman" w:hAnsi="Times New Roman" w:cs="Times New Roman"/>
          <w:b/>
          <w:i/>
          <w:color w:val="2E74B5" w:themeColor="accent1" w:themeShade="BF"/>
          <w:sz w:val="24"/>
          <w:szCs w:val="24"/>
          <w:lang w:val="ro-RO"/>
        </w:rPr>
        <w:t>ți</w:t>
      </w:r>
      <w:r w:rsidR="00736FA3" w:rsidRPr="004D2FF7">
        <w:rPr>
          <w:rFonts w:ascii="Times New Roman" w:hAnsi="Times New Roman" w:cs="Times New Roman"/>
          <w:b/>
          <w:i/>
          <w:color w:val="2E74B5" w:themeColor="accent1" w:themeShade="BF"/>
          <w:sz w:val="24"/>
          <w:szCs w:val="24"/>
          <w:lang w:val="ro-RO"/>
        </w:rPr>
        <w:t xml:space="preserve"> în</w:t>
      </w:r>
      <w:r w:rsidR="00922689" w:rsidRPr="004D2FF7">
        <w:rPr>
          <w:rFonts w:ascii="Times New Roman" w:hAnsi="Times New Roman" w:cs="Times New Roman"/>
          <w:b/>
          <w:i/>
          <w:color w:val="2E74B5" w:themeColor="accent1" w:themeShade="BF"/>
          <w:sz w:val="24"/>
          <w:szCs w:val="24"/>
          <w:lang w:val="ro-RO"/>
        </w:rPr>
        <w:t xml:space="preserve"> Planurile naționale de acțiuni pentru implementarea Acordului de Asociere Republica Moldova - Uniunea Europeană</w:t>
      </w:r>
      <w:r w:rsidR="004E0F3C">
        <w:rPr>
          <w:rFonts w:ascii="Times New Roman" w:hAnsi="Times New Roman" w:cs="Times New Roman"/>
          <w:b/>
          <w:i/>
          <w:color w:val="2E74B5" w:themeColor="accent1" w:themeShade="BF"/>
          <w:sz w:val="24"/>
          <w:szCs w:val="24"/>
          <w:lang w:val="ro-RO"/>
        </w:rPr>
        <w:t>.</w:t>
      </w:r>
      <w:bookmarkEnd w:id="30"/>
    </w:p>
    <w:p w14:paraId="0A98527E" w14:textId="77777777" w:rsidR="007070CA" w:rsidRPr="004D2FF7" w:rsidRDefault="007070CA" w:rsidP="0077171B">
      <w:pPr>
        <w:spacing w:after="120"/>
        <w:jc w:val="both"/>
        <w:rPr>
          <w:rFonts w:ascii="Times New Roman" w:hAnsi="Times New Roman" w:cs="Times New Roman"/>
          <w:sz w:val="24"/>
          <w:szCs w:val="24"/>
          <w:lang w:val="ro-RO"/>
        </w:rPr>
      </w:pPr>
      <w:r w:rsidRPr="004D2FF7">
        <w:rPr>
          <w:rFonts w:ascii="Times New Roman" w:hAnsi="Times New Roman" w:cs="Times New Roman"/>
          <w:sz w:val="24"/>
          <w:szCs w:val="24"/>
          <w:lang w:val="ro-RO"/>
        </w:rPr>
        <w:t>Prin Legea nr.112 din 02.07.2014, Republica Moldova a ratificat Acordul de Asociere între Uniunea Europeană și Comunitatea Europeană a Energiei Atomice</w:t>
      </w:r>
      <w:r w:rsidRPr="004D2FF7">
        <w:rPr>
          <w:rStyle w:val="FootnoteReference"/>
          <w:rFonts w:ascii="Times New Roman" w:hAnsi="Times New Roman" w:cs="Times New Roman"/>
          <w:sz w:val="24"/>
          <w:szCs w:val="24"/>
          <w:lang w:val="ro-RO"/>
        </w:rPr>
        <w:footnoteReference w:id="42"/>
      </w:r>
      <w:r w:rsidRPr="004D2FF7">
        <w:rPr>
          <w:rFonts w:ascii="Times New Roman" w:hAnsi="Times New Roman" w:cs="Times New Roman"/>
          <w:sz w:val="24"/>
          <w:szCs w:val="24"/>
          <w:lang w:val="ro-RO"/>
        </w:rPr>
        <w:t>, iar prin Hotărârile Guvernului</w:t>
      </w:r>
      <w:r w:rsidRPr="004D2FF7">
        <w:rPr>
          <w:rStyle w:val="FootnoteReference"/>
          <w:rFonts w:ascii="Times New Roman" w:hAnsi="Times New Roman" w:cs="Times New Roman"/>
          <w:sz w:val="24"/>
          <w:szCs w:val="24"/>
          <w:lang w:val="ro-RO"/>
        </w:rPr>
        <w:footnoteReference w:id="43"/>
      </w:r>
      <w:r w:rsidRPr="004D2FF7">
        <w:rPr>
          <w:rFonts w:ascii="Times New Roman" w:hAnsi="Times New Roman" w:cs="Times New Roman"/>
          <w:sz w:val="24"/>
          <w:szCs w:val="24"/>
          <w:lang w:val="ro-RO"/>
        </w:rPr>
        <w:t xml:space="preserve"> au fost aprobate două Planuri naționale de acțiuni pentru implementarea Acordului de Asociere Republica Moldova - Uniunea Europeană, potrivit cărora pentru capitolele aferente CNPDCP au fost stabilite două termene de realizare, anii 2014-2016 și, respectiv 2017-2019. </w:t>
      </w:r>
    </w:p>
    <w:p w14:paraId="10A17475" w14:textId="3CD8BEC1" w:rsidR="006D2567" w:rsidRPr="004D2FF7" w:rsidRDefault="007070CA" w:rsidP="006D2567">
      <w:pPr>
        <w:spacing w:after="120"/>
        <w:jc w:val="both"/>
        <w:rPr>
          <w:rFonts w:ascii="Times New Roman" w:hAnsi="Times New Roman" w:cs="Times New Roman"/>
          <w:sz w:val="24"/>
          <w:szCs w:val="24"/>
        </w:rPr>
      </w:pPr>
      <w:r w:rsidRPr="004D2FF7">
        <w:rPr>
          <w:rFonts w:ascii="Times New Roman" w:hAnsi="Times New Roman" w:cs="Times New Roman"/>
          <w:sz w:val="24"/>
          <w:szCs w:val="24"/>
          <w:lang w:val="ro-RO"/>
        </w:rPr>
        <w:t xml:space="preserve">Astfel, conform art.13 „Protecția datelor cu caracter personal” </w:t>
      </w:r>
      <w:r w:rsidRPr="004D2FF7">
        <w:rPr>
          <w:rFonts w:ascii="Times New Roman" w:hAnsi="Times New Roman" w:cs="Times New Roman"/>
          <w:noProof/>
          <w:sz w:val="24"/>
          <w:szCs w:val="24"/>
          <w:lang w:val="ro-RO"/>
        </w:rPr>
        <w:t xml:space="preserve">din </w:t>
      </w:r>
      <w:r w:rsidRPr="004D2FF7">
        <w:rPr>
          <w:rFonts w:ascii="Times New Roman" w:hAnsi="Times New Roman" w:cs="Times New Roman"/>
          <w:sz w:val="24"/>
          <w:szCs w:val="24"/>
          <w:lang w:val="ro-RO"/>
        </w:rPr>
        <w:t>Planurile naționale de acțiuni nominalizate, se prevedea ca CNPDCP</w:t>
      </w:r>
      <w:r w:rsidR="00EB76CB" w:rsidRPr="004D2FF7">
        <w:rPr>
          <w:rFonts w:ascii="Times New Roman" w:hAnsi="Times New Roman" w:cs="Times New Roman"/>
          <w:sz w:val="24"/>
          <w:szCs w:val="24"/>
          <w:lang w:val="ro-RO"/>
        </w:rPr>
        <w:t xml:space="preserve"> urma</w:t>
      </w:r>
      <w:r w:rsidRPr="004D2FF7">
        <w:rPr>
          <w:rFonts w:ascii="Times New Roman" w:hAnsi="Times New Roman" w:cs="Times New Roman"/>
          <w:sz w:val="24"/>
          <w:szCs w:val="24"/>
          <w:lang w:val="ro-RO"/>
        </w:rPr>
        <w:t xml:space="preserve"> să realizeze</w:t>
      </w:r>
      <w:r w:rsidR="007F29EA" w:rsidRPr="004D2FF7">
        <w:rPr>
          <w:rFonts w:ascii="Times New Roman" w:hAnsi="Times New Roman" w:cs="Times New Roman"/>
          <w:sz w:val="24"/>
          <w:szCs w:val="24"/>
          <w:lang w:val="ro-RO"/>
        </w:rPr>
        <w:t xml:space="preserve"> în limita buget</w:t>
      </w:r>
      <w:r w:rsidR="00503B16" w:rsidRPr="004D2FF7">
        <w:rPr>
          <w:rFonts w:ascii="Times New Roman" w:hAnsi="Times New Roman" w:cs="Times New Roman"/>
          <w:sz w:val="24"/>
          <w:szCs w:val="24"/>
          <w:lang w:val="ro-RO"/>
        </w:rPr>
        <w:t>elor anuale</w:t>
      </w:r>
      <w:r w:rsidR="007F29EA" w:rsidRPr="004D2FF7">
        <w:rPr>
          <w:rFonts w:ascii="Times New Roman" w:hAnsi="Times New Roman" w:cs="Times New Roman"/>
          <w:sz w:val="24"/>
          <w:szCs w:val="24"/>
          <w:lang w:val="ro-RO"/>
        </w:rPr>
        <w:t xml:space="preserve"> de cheltuieli</w:t>
      </w:r>
      <w:r w:rsidRPr="004D2FF7">
        <w:rPr>
          <w:rFonts w:ascii="Times New Roman" w:hAnsi="Times New Roman" w:cs="Times New Roman"/>
          <w:sz w:val="24"/>
          <w:szCs w:val="24"/>
          <w:lang w:val="ro-RO"/>
        </w:rPr>
        <w:t xml:space="preserve"> 9 măsuri de implementare cu termenul limită de realizare anul 2016 și, respectiv 15 măsuri de implementare cu indicatori de performanță, cu termenul limită de realizare anul 2019, inclusiv urmau a fi modificate cu aportul CNPDCP și intrate în vigoare 6 legi</w:t>
      </w:r>
      <w:r w:rsidR="00251692" w:rsidRPr="004D2FF7">
        <w:rPr>
          <w:rFonts w:ascii="Times New Roman" w:hAnsi="Times New Roman" w:cs="Times New Roman"/>
          <w:sz w:val="24"/>
          <w:szCs w:val="24"/>
          <w:lang w:val="ro-RO"/>
        </w:rPr>
        <w:t xml:space="preserve"> noi și de modificare</w:t>
      </w:r>
      <w:r w:rsidRPr="004D2FF7">
        <w:rPr>
          <w:rFonts w:ascii="Times New Roman" w:hAnsi="Times New Roman" w:cs="Times New Roman"/>
          <w:sz w:val="24"/>
          <w:szCs w:val="24"/>
          <w:lang w:val="ro-RO"/>
        </w:rPr>
        <w:t>. P</w:t>
      </w:r>
      <w:r w:rsidR="008F4888">
        <w:rPr>
          <w:rFonts w:ascii="Times New Roman" w:hAnsi="Times New Roman" w:cs="Times New Roman"/>
          <w:sz w:val="24"/>
          <w:szCs w:val="24"/>
          <w:lang w:val="ro-RO"/>
        </w:rPr>
        <w:t>ă</w:t>
      </w:r>
      <w:r w:rsidRPr="004D2FF7">
        <w:rPr>
          <w:rFonts w:ascii="Times New Roman" w:hAnsi="Times New Roman" w:cs="Times New Roman"/>
          <w:sz w:val="24"/>
          <w:szCs w:val="24"/>
          <w:lang w:val="ro-RO"/>
        </w:rPr>
        <w:t>rțile urm</w:t>
      </w:r>
      <w:r w:rsidR="004E0F3C">
        <w:rPr>
          <w:rFonts w:ascii="Times New Roman" w:hAnsi="Times New Roman" w:cs="Times New Roman"/>
          <w:sz w:val="24"/>
          <w:szCs w:val="24"/>
          <w:lang w:val="ro-RO"/>
        </w:rPr>
        <w:t>au</w:t>
      </w:r>
      <w:r w:rsidRPr="004D2FF7">
        <w:rPr>
          <w:rFonts w:ascii="Times New Roman" w:hAnsi="Times New Roman" w:cs="Times New Roman"/>
          <w:sz w:val="24"/>
          <w:szCs w:val="24"/>
          <w:lang w:val="ro-RO"/>
        </w:rPr>
        <w:t xml:space="preserve"> să coopereze în vederea asigurării unui nivel înalt de protecție a datelor cu caracter personal în conformitate cu instrumentele juridice şi cu standardele internaționale, ale Uniunii Europene şi ale Consiliului Europei. </w:t>
      </w:r>
      <w:r w:rsidR="006D2567" w:rsidRPr="004D2FF7">
        <w:rPr>
          <w:rFonts w:ascii="Times New Roman" w:eastAsia="Times New Roman" w:hAnsi="Times New Roman" w:cs="Times New Roman"/>
          <w:bCs/>
          <w:sz w:val="24"/>
          <w:szCs w:val="24"/>
          <w:lang w:val="ro-RO"/>
        </w:rPr>
        <w:t xml:space="preserve">Extrasul privind </w:t>
      </w:r>
      <w:r w:rsidR="006D2567" w:rsidRPr="004D2FF7">
        <w:rPr>
          <w:rFonts w:ascii="Times New Roman" w:hAnsi="Times New Roman" w:cs="Times New Roman"/>
          <w:sz w:val="24"/>
          <w:szCs w:val="24"/>
          <w:lang w:val="ro-RO"/>
        </w:rPr>
        <w:t>indicatorii de performanță</w:t>
      </w:r>
      <w:r w:rsidR="006D2567" w:rsidRPr="004D2FF7">
        <w:rPr>
          <w:rFonts w:ascii="Times New Roman" w:eastAsia="Times New Roman" w:hAnsi="Times New Roman" w:cs="Times New Roman"/>
          <w:bCs/>
          <w:sz w:val="24"/>
          <w:szCs w:val="24"/>
          <w:lang w:val="ro-RO"/>
        </w:rPr>
        <w:t xml:space="preserve"> din Planul Național de Acțiuni pentru implementarea Acordului de Asociere Republica Moldova – Uniunea Europeană </w:t>
      </w:r>
      <w:r w:rsidR="004E0F3C">
        <w:rPr>
          <w:rFonts w:ascii="Times New Roman" w:eastAsia="Times New Roman" w:hAnsi="Times New Roman" w:cs="Times New Roman"/>
          <w:bCs/>
          <w:sz w:val="24"/>
          <w:szCs w:val="24"/>
          <w:lang w:val="ro-RO"/>
        </w:rPr>
        <w:t>este</w:t>
      </w:r>
      <w:r w:rsidR="006D2567" w:rsidRPr="004D2FF7">
        <w:rPr>
          <w:rFonts w:ascii="Times New Roman" w:hAnsi="Times New Roman" w:cs="Times New Roman"/>
          <w:sz w:val="24"/>
          <w:szCs w:val="24"/>
        </w:rPr>
        <w:t xml:space="preserve"> expus în </w:t>
      </w:r>
      <w:r w:rsidR="006D2567" w:rsidRPr="004D2FF7">
        <w:rPr>
          <w:rFonts w:ascii="Times New Roman" w:hAnsi="Times New Roman" w:cs="Times New Roman"/>
          <w:i/>
          <w:sz w:val="24"/>
          <w:szCs w:val="24"/>
        </w:rPr>
        <w:t>Anexa nr.7</w:t>
      </w:r>
      <w:r w:rsidR="006D2567" w:rsidRPr="004D2FF7">
        <w:rPr>
          <w:rFonts w:ascii="Times New Roman" w:hAnsi="Times New Roman" w:cs="Times New Roman"/>
          <w:sz w:val="24"/>
          <w:szCs w:val="24"/>
        </w:rPr>
        <w:t xml:space="preserve"> </w:t>
      </w:r>
      <w:r w:rsidR="006D2567" w:rsidRPr="0077171B">
        <w:rPr>
          <w:rFonts w:ascii="Times New Roman" w:hAnsi="Times New Roman" w:cs="Times New Roman"/>
          <w:i/>
          <w:sz w:val="24"/>
          <w:szCs w:val="24"/>
        </w:rPr>
        <w:t>la prezentul Raport de audit</w:t>
      </w:r>
      <w:r w:rsidR="004E0F3C">
        <w:rPr>
          <w:rFonts w:ascii="Times New Roman" w:hAnsi="Times New Roman" w:cs="Times New Roman"/>
          <w:i/>
          <w:sz w:val="24"/>
          <w:szCs w:val="24"/>
        </w:rPr>
        <w:t>.</w:t>
      </w:r>
    </w:p>
    <w:p w14:paraId="1CFD6753" w14:textId="621ABC97" w:rsidR="007070CA" w:rsidRPr="004D2FF7" w:rsidRDefault="007070CA" w:rsidP="007070CA">
      <w:pPr>
        <w:spacing w:after="120"/>
        <w:jc w:val="both"/>
        <w:rPr>
          <w:rFonts w:ascii="Times New Roman" w:hAnsi="Times New Roman" w:cs="Times New Roman"/>
          <w:sz w:val="24"/>
          <w:szCs w:val="24"/>
          <w:lang w:val="ro-RO"/>
        </w:rPr>
      </w:pPr>
      <w:r w:rsidRPr="004D2FF7">
        <w:rPr>
          <w:rFonts w:ascii="Times New Roman" w:hAnsi="Times New Roman" w:cs="Times New Roman"/>
          <w:sz w:val="24"/>
          <w:szCs w:val="24"/>
        </w:rPr>
        <w:t xml:space="preserve">Auditul a stabilit că CNPDCP activează în baza </w:t>
      </w:r>
      <w:r w:rsidRPr="004D2FF7">
        <w:rPr>
          <w:rFonts w:ascii="Times New Roman" w:hAnsi="Times New Roman" w:cs="Times New Roman"/>
          <w:bCs/>
          <w:sz w:val="24"/>
          <w:szCs w:val="24"/>
          <w:lang w:val="ro-RO"/>
        </w:rPr>
        <w:t xml:space="preserve">Legii nr.133 din 08.07.2011 privind protecția datelor cu caracter personal, care a fost elaborată în temeiul </w:t>
      </w:r>
      <w:r w:rsidRPr="004D2FF7">
        <w:rPr>
          <w:rFonts w:ascii="Times New Roman" w:eastAsia="Times New Roman" w:hAnsi="Times New Roman" w:cs="Times New Roman"/>
          <w:b/>
          <w:sz w:val="24"/>
          <w:szCs w:val="24"/>
          <w:lang w:val="ro-RO"/>
        </w:rPr>
        <w:t>Directivei 95/46/CE</w:t>
      </w:r>
      <w:r w:rsidRPr="004D2FF7">
        <w:rPr>
          <w:rFonts w:ascii="Times New Roman" w:eastAsia="Times New Roman" w:hAnsi="Times New Roman" w:cs="Times New Roman"/>
          <w:sz w:val="24"/>
          <w:szCs w:val="24"/>
          <w:lang w:val="ro-RO"/>
        </w:rPr>
        <w:t xml:space="preserve"> a Parlamentului European şi a Consiliului din 24 octombrie 1995 privind protecția persoanelor fizice în ceea ce privește prelucrarea datelor cu caracter personal şi libera circulație a acestor date,</w:t>
      </w:r>
      <w:r w:rsidR="0088521E" w:rsidRPr="004D2FF7">
        <w:rPr>
          <w:rFonts w:ascii="Times New Roman" w:eastAsia="Times New Roman" w:hAnsi="Times New Roman" w:cs="Times New Roman"/>
          <w:sz w:val="24"/>
          <w:szCs w:val="24"/>
          <w:lang w:val="ro-RO"/>
        </w:rPr>
        <w:t xml:space="preserve"> însă această</w:t>
      </w:r>
      <w:r w:rsidRPr="004D2FF7">
        <w:rPr>
          <w:rFonts w:ascii="Times New Roman" w:eastAsia="Times New Roman" w:hAnsi="Times New Roman" w:cs="Times New Roman"/>
          <w:sz w:val="24"/>
          <w:szCs w:val="24"/>
          <w:lang w:val="ro-RO"/>
        </w:rPr>
        <w:t xml:space="preserve"> Directivă </w:t>
      </w:r>
      <w:r w:rsidR="0088521E" w:rsidRPr="004D2FF7">
        <w:rPr>
          <w:rFonts w:ascii="Times New Roman" w:eastAsia="Times New Roman" w:hAnsi="Times New Roman" w:cs="Times New Roman"/>
          <w:sz w:val="24"/>
          <w:szCs w:val="24"/>
          <w:lang w:val="ro-RO"/>
        </w:rPr>
        <w:t>a</w:t>
      </w:r>
      <w:r w:rsidR="0070385E" w:rsidRPr="004D2FF7">
        <w:rPr>
          <w:rFonts w:ascii="Times New Roman" w:eastAsia="Times New Roman" w:hAnsi="Times New Roman" w:cs="Times New Roman"/>
          <w:sz w:val="24"/>
          <w:szCs w:val="24"/>
          <w:lang w:val="ro-RO"/>
        </w:rPr>
        <w:t xml:space="preserve"> fost abrogată</w:t>
      </w:r>
      <w:r w:rsidR="0088521E" w:rsidRPr="004D2FF7">
        <w:rPr>
          <w:rFonts w:ascii="Times New Roman" w:eastAsia="Times New Roman" w:hAnsi="Times New Roman" w:cs="Times New Roman"/>
          <w:sz w:val="24"/>
          <w:szCs w:val="24"/>
          <w:lang w:val="ro-RO"/>
        </w:rPr>
        <w:t xml:space="preserve"> </w:t>
      </w:r>
      <w:r w:rsidR="00C8190F">
        <w:rPr>
          <w:rFonts w:ascii="Times New Roman" w:eastAsia="Times New Roman" w:hAnsi="Times New Roman" w:cs="Times New Roman"/>
          <w:sz w:val="24"/>
          <w:szCs w:val="24"/>
          <w:lang w:val="ro-RO"/>
        </w:rPr>
        <w:t xml:space="preserve">în anul </w:t>
      </w:r>
      <w:r w:rsidR="0088521E" w:rsidRPr="004D2FF7">
        <w:rPr>
          <w:rFonts w:ascii="Times New Roman" w:hAnsi="Times New Roman" w:cs="Times New Roman"/>
          <w:bCs/>
          <w:iCs/>
          <w:sz w:val="24"/>
          <w:szCs w:val="24"/>
          <w:lang w:val="ro-RO"/>
        </w:rPr>
        <w:t>201</w:t>
      </w:r>
      <w:r w:rsidR="00C8190F">
        <w:rPr>
          <w:rFonts w:ascii="Times New Roman" w:hAnsi="Times New Roman" w:cs="Times New Roman"/>
          <w:bCs/>
          <w:iCs/>
          <w:sz w:val="24"/>
          <w:szCs w:val="24"/>
          <w:lang w:val="ro-RO"/>
        </w:rPr>
        <w:t>8</w:t>
      </w:r>
      <w:r w:rsidR="0070385E" w:rsidRPr="004D2FF7">
        <w:rPr>
          <w:rFonts w:ascii="Times New Roman" w:eastAsia="Times New Roman" w:hAnsi="Times New Roman" w:cs="Times New Roman"/>
          <w:sz w:val="24"/>
          <w:szCs w:val="24"/>
          <w:lang w:val="ro-RO"/>
        </w:rPr>
        <w:t xml:space="preserve"> de către </w:t>
      </w:r>
      <w:r w:rsidR="0070385E" w:rsidRPr="004D2FF7">
        <w:rPr>
          <w:rFonts w:ascii="Times New Roman" w:hAnsi="Times New Roman" w:cs="Times New Roman"/>
          <w:bCs/>
          <w:iCs/>
          <w:sz w:val="24"/>
          <w:szCs w:val="24"/>
          <w:lang w:val="ro-RO"/>
        </w:rPr>
        <w:t>Parlamentul European și Consiliu</w:t>
      </w:r>
      <w:r w:rsidR="0088521E" w:rsidRPr="004D2FF7">
        <w:rPr>
          <w:rFonts w:ascii="Times New Roman" w:hAnsi="Times New Roman" w:cs="Times New Roman"/>
          <w:bCs/>
          <w:iCs/>
          <w:sz w:val="24"/>
          <w:szCs w:val="24"/>
          <w:lang w:val="ro-RO"/>
        </w:rPr>
        <w:t>l</w:t>
      </w:r>
      <w:r w:rsidRPr="004D2FF7">
        <w:rPr>
          <w:rFonts w:ascii="Times New Roman" w:hAnsi="Times New Roman" w:cs="Times New Roman"/>
          <w:bCs/>
          <w:iCs/>
          <w:sz w:val="24"/>
          <w:szCs w:val="24"/>
          <w:lang w:val="ro-RO"/>
        </w:rPr>
        <w:t xml:space="preserve">. </w:t>
      </w:r>
    </w:p>
    <w:p w14:paraId="4071A52F" w14:textId="09F78643" w:rsidR="007070CA" w:rsidRPr="004D2FF7" w:rsidRDefault="00DF503E" w:rsidP="007070CA">
      <w:pPr>
        <w:jc w:val="both"/>
        <w:rPr>
          <w:rFonts w:ascii="Times New Roman" w:hAnsi="Times New Roman" w:cs="Times New Roman"/>
          <w:bCs/>
          <w:sz w:val="24"/>
          <w:szCs w:val="24"/>
          <w:lang w:val="ro-RO"/>
        </w:rPr>
      </w:pPr>
      <w:r w:rsidRPr="004D2FF7">
        <w:rPr>
          <w:rFonts w:ascii="Times New Roman" w:hAnsi="Times New Roman" w:cs="Times New Roman"/>
          <w:bCs/>
          <w:iCs/>
          <w:sz w:val="24"/>
          <w:szCs w:val="24"/>
        </w:rPr>
        <w:t>În pofida faptului că bugetele</w:t>
      </w:r>
      <w:r w:rsidR="00525E5F" w:rsidRPr="004D2FF7">
        <w:rPr>
          <w:rFonts w:ascii="Times New Roman" w:hAnsi="Times New Roman" w:cs="Times New Roman"/>
          <w:bCs/>
          <w:iCs/>
          <w:sz w:val="24"/>
          <w:szCs w:val="24"/>
        </w:rPr>
        <w:t xml:space="preserve"> de cheltuieli pe anii 2014-2019 a</w:t>
      </w:r>
      <w:r w:rsidRPr="004D2FF7">
        <w:rPr>
          <w:rFonts w:ascii="Times New Roman" w:hAnsi="Times New Roman" w:cs="Times New Roman"/>
          <w:bCs/>
          <w:iCs/>
          <w:sz w:val="24"/>
          <w:szCs w:val="24"/>
        </w:rPr>
        <w:t>u</w:t>
      </w:r>
      <w:r w:rsidR="00525E5F" w:rsidRPr="004D2FF7">
        <w:rPr>
          <w:rFonts w:ascii="Times New Roman" w:hAnsi="Times New Roman" w:cs="Times New Roman"/>
          <w:bCs/>
          <w:iCs/>
          <w:sz w:val="24"/>
          <w:szCs w:val="24"/>
        </w:rPr>
        <w:t xml:space="preserve"> fost utilizat</w:t>
      </w:r>
      <w:r w:rsidRPr="004D2FF7">
        <w:rPr>
          <w:rFonts w:ascii="Times New Roman" w:hAnsi="Times New Roman" w:cs="Times New Roman"/>
          <w:bCs/>
          <w:iCs/>
          <w:sz w:val="24"/>
          <w:szCs w:val="24"/>
        </w:rPr>
        <w:t>e</w:t>
      </w:r>
      <w:r w:rsidR="000C4C96" w:rsidRPr="004D2FF7">
        <w:rPr>
          <w:rFonts w:ascii="Times New Roman" w:hAnsi="Times New Roman" w:cs="Times New Roman"/>
          <w:sz w:val="24"/>
          <w:szCs w:val="24"/>
        </w:rPr>
        <w:t xml:space="preserve">, </w:t>
      </w:r>
      <w:r w:rsidR="007070CA" w:rsidRPr="004D2FF7">
        <w:rPr>
          <w:rFonts w:ascii="Times New Roman" w:hAnsi="Times New Roman" w:cs="Times New Roman"/>
          <w:sz w:val="24"/>
          <w:szCs w:val="24"/>
        </w:rPr>
        <w:t>CNPDCP înregistrează restanțe la</w:t>
      </w:r>
      <w:r w:rsidR="000C4C96" w:rsidRPr="004D2FF7">
        <w:rPr>
          <w:rFonts w:ascii="Times New Roman" w:hAnsi="Times New Roman" w:cs="Times New Roman"/>
          <w:sz w:val="24"/>
          <w:szCs w:val="24"/>
        </w:rPr>
        <w:t xml:space="preserve"> implementarea</w:t>
      </w:r>
      <w:r w:rsidR="007070CA" w:rsidRPr="004D2FF7">
        <w:rPr>
          <w:rFonts w:ascii="Times New Roman" w:hAnsi="Times New Roman" w:cs="Times New Roman"/>
          <w:sz w:val="24"/>
          <w:szCs w:val="24"/>
        </w:rPr>
        <w:t xml:space="preserve"> art.13 din </w:t>
      </w:r>
      <w:r w:rsidR="007070CA" w:rsidRPr="004D2FF7">
        <w:rPr>
          <w:rFonts w:ascii="Times New Roman" w:hAnsi="Times New Roman" w:cs="Times New Roman"/>
          <w:sz w:val="24"/>
          <w:szCs w:val="24"/>
          <w:lang w:val="ro-RO"/>
        </w:rPr>
        <w:t xml:space="preserve">Planul național de acțiuni pentru implementarea Acordului de </w:t>
      </w:r>
      <w:r w:rsidR="007070CA" w:rsidRPr="004D2FF7">
        <w:rPr>
          <w:rFonts w:ascii="Times New Roman" w:hAnsi="Times New Roman" w:cs="Times New Roman"/>
          <w:sz w:val="24"/>
          <w:szCs w:val="24"/>
          <w:lang w:val="ro-RO"/>
        </w:rPr>
        <w:lastRenderedPageBreak/>
        <w:t>Asociere Republica Moldova - Uniunea Europeană</w:t>
      </w:r>
      <w:r w:rsidR="007070CA" w:rsidRPr="00A423C8">
        <w:rPr>
          <w:rStyle w:val="FootnoteReference"/>
          <w:rFonts w:ascii="Times New Roman" w:hAnsi="Times New Roman" w:cs="Times New Roman"/>
          <w:sz w:val="24"/>
          <w:szCs w:val="24"/>
          <w:lang w:val="ro-RO"/>
        </w:rPr>
        <w:footnoteReference w:id="44"/>
      </w:r>
      <w:r w:rsidR="007070CA" w:rsidRPr="00A423C8">
        <w:rPr>
          <w:rFonts w:ascii="Times New Roman" w:hAnsi="Times New Roman" w:cs="Times New Roman"/>
          <w:sz w:val="24"/>
          <w:szCs w:val="24"/>
          <w:lang w:val="ro-RO"/>
        </w:rPr>
        <w:t>,</w:t>
      </w:r>
      <w:r w:rsidR="007070CA" w:rsidRPr="004D2FF7">
        <w:rPr>
          <w:rFonts w:ascii="Times New Roman" w:hAnsi="Times New Roman" w:cs="Times New Roman"/>
          <w:sz w:val="24"/>
          <w:szCs w:val="24"/>
          <w:lang w:val="ro-RO"/>
        </w:rPr>
        <w:t xml:space="preserve"> fiindcă timp de 5 ani nu</w:t>
      </w:r>
      <w:r w:rsidR="00321456">
        <w:rPr>
          <w:rFonts w:ascii="Times New Roman" w:hAnsi="Times New Roman" w:cs="Times New Roman"/>
          <w:sz w:val="24"/>
          <w:szCs w:val="24"/>
          <w:lang w:val="ro-RO"/>
        </w:rPr>
        <w:t xml:space="preserve"> a</w:t>
      </w:r>
      <w:r w:rsidR="007070CA" w:rsidRPr="004D2FF7">
        <w:rPr>
          <w:rFonts w:ascii="Times New Roman" w:hAnsi="Times New Roman" w:cs="Times New Roman"/>
          <w:sz w:val="24"/>
          <w:szCs w:val="24"/>
          <w:lang w:val="ro-RO"/>
        </w:rPr>
        <w:t xml:space="preserve"> realizat obiectivul L6</w:t>
      </w:r>
      <w:r w:rsidR="000C4C96" w:rsidRPr="004D2FF7">
        <w:rPr>
          <w:rFonts w:ascii="Times New Roman" w:hAnsi="Times New Roman" w:cs="Times New Roman"/>
          <w:sz w:val="24"/>
          <w:szCs w:val="24"/>
          <w:lang w:val="ro-RO"/>
        </w:rPr>
        <w:t xml:space="preserve"> din Planul de acțiuni</w:t>
      </w:r>
      <w:r w:rsidR="005D5E98">
        <w:rPr>
          <w:rFonts w:ascii="Times New Roman" w:hAnsi="Times New Roman" w:cs="Times New Roman"/>
          <w:sz w:val="24"/>
          <w:szCs w:val="24"/>
          <w:lang w:val="ro-RO"/>
        </w:rPr>
        <w:t>,</w:t>
      </w:r>
      <w:r w:rsidR="007070CA" w:rsidRPr="004D2FF7">
        <w:rPr>
          <w:rFonts w:ascii="Times New Roman" w:hAnsi="Times New Roman" w:cs="Times New Roman"/>
          <w:sz w:val="24"/>
          <w:szCs w:val="24"/>
          <w:lang w:val="ro-RO"/>
        </w:rPr>
        <w:t xml:space="preserve"> și anume nu a transpus în </w:t>
      </w:r>
      <w:r w:rsidR="007070CA" w:rsidRPr="004D2FF7">
        <w:rPr>
          <w:rFonts w:ascii="Times New Roman" w:hAnsi="Times New Roman" w:cs="Times New Roman"/>
          <w:bCs/>
          <w:sz w:val="24"/>
          <w:szCs w:val="24"/>
          <w:lang w:val="ro-RO"/>
        </w:rPr>
        <w:t xml:space="preserve">Legea nr.133 din 08.07.2011 privind protecția datelor cu caracter personal și </w:t>
      </w:r>
      <w:r w:rsidR="005D5E98">
        <w:rPr>
          <w:rFonts w:ascii="Times New Roman" w:hAnsi="Times New Roman" w:cs="Times New Roman"/>
          <w:bCs/>
          <w:sz w:val="24"/>
          <w:szCs w:val="24"/>
          <w:lang w:val="ro-RO"/>
        </w:rPr>
        <w:t xml:space="preserve">în </w:t>
      </w:r>
      <w:r w:rsidR="007070CA" w:rsidRPr="004D2FF7">
        <w:rPr>
          <w:rFonts w:ascii="Times New Roman" w:hAnsi="Times New Roman" w:cs="Times New Roman"/>
          <w:bCs/>
          <w:sz w:val="24"/>
          <w:szCs w:val="24"/>
          <w:lang w:val="ro-RO"/>
        </w:rPr>
        <w:t>alte acte normative</w:t>
      </w:r>
      <w:r w:rsidR="002543A6" w:rsidRPr="004D2FF7">
        <w:rPr>
          <w:rFonts w:ascii="Times New Roman" w:hAnsi="Times New Roman" w:cs="Times New Roman"/>
          <w:bCs/>
          <w:sz w:val="24"/>
          <w:szCs w:val="24"/>
          <w:lang w:val="ro-RO"/>
        </w:rPr>
        <w:t xml:space="preserve"> </w:t>
      </w:r>
      <w:r w:rsidR="007070CA" w:rsidRPr="004D2FF7">
        <w:rPr>
          <w:rFonts w:ascii="Times New Roman" w:hAnsi="Times New Roman" w:cs="Times New Roman"/>
          <w:bCs/>
          <w:sz w:val="24"/>
          <w:szCs w:val="24"/>
          <w:lang w:val="ro-RO"/>
        </w:rPr>
        <w:t xml:space="preserve">prevederile </w:t>
      </w:r>
      <w:r w:rsidR="002543A6" w:rsidRPr="004D2FF7">
        <w:rPr>
          <w:rFonts w:ascii="Times New Roman" w:hAnsi="Times New Roman" w:cs="Times New Roman"/>
          <w:b/>
          <w:color w:val="000000"/>
          <w:sz w:val="24"/>
          <w:szCs w:val="24"/>
          <w:lang w:val="ro-RO"/>
        </w:rPr>
        <w:t>Directivei (UE) 2016/680</w:t>
      </w:r>
      <w:r w:rsidR="002543A6" w:rsidRPr="004D2FF7">
        <w:rPr>
          <w:rFonts w:ascii="Times New Roman" w:hAnsi="Times New Roman" w:cs="Times New Roman"/>
          <w:color w:val="000000"/>
          <w:sz w:val="24"/>
          <w:szCs w:val="24"/>
          <w:lang w:val="ro-RO"/>
        </w:rPr>
        <w:t xml:space="preserve"> și </w:t>
      </w:r>
      <w:r w:rsidR="002543A6" w:rsidRPr="004D2FF7">
        <w:rPr>
          <w:rFonts w:ascii="Times New Roman" w:hAnsi="Times New Roman" w:cs="Times New Roman"/>
          <w:b/>
          <w:color w:val="000000"/>
          <w:sz w:val="24"/>
          <w:szCs w:val="24"/>
          <w:lang w:val="ro-RO"/>
        </w:rPr>
        <w:t>Regulamentului (UE) 679/2016</w:t>
      </w:r>
      <w:r w:rsidR="002543A6" w:rsidRPr="004D2FF7">
        <w:rPr>
          <w:rFonts w:ascii="Times New Roman" w:hAnsi="Times New Roman" w:cs="Times New Roman"/>
          <w:color w:val="000000"/>
          <w:sz w:val="24"/>
          <w:szCs w:val="24"/>
          <w:lang w:val="ro-RO"/>
        </w:rPr>
        <w:t xml:space="preserve"> a</w:t>
      </w:r>
      <w:r w:rsidR="005D5E98">
        <w:rPr>
          <w:rFonts w:ascii="Times New Roman" w:hAnsi="Times New Roman" w:cs="Times New Roman"/>
          <w:color w:val="000000"/>
          <w:sz w:val="24"/>
          <w:szCs w:val="24"/>
          <w:lang w:val="ro-RO"/>
        </w:rPr>
        <w:t>l</w:t>
      </w:r>
      <w:r w:rsidR="002543A6" w:rsidRPr="004D2FF7">
        <w:rPr>
          <w:rFonts w:ascii="Times New Roman" w:hAnsi="Times New Roman" w:cs="Times New Roman"/>
          <w:color w:val="000000"/>
          <w:sz w:val="24"/>
          <w:szCs w:val="24"/>
          <w:lang w:val="ro-RO"/>
        </w:rPr>
        <w:t xml:space="preserve"> Parlamentului European și a</w:t>
      </w:r>
      <w:r w:rsidR="005D5E98">
        <w:rPr>
          <w:rFonts w:ascii="Times New Roman" w:hAnsi="Times New Roman" w:cs="Times New Roman"/>
          <w:color w:val="000000"/>
          <w:sz w:val="24"/>
          <w:szCs w:val="24"/>
          <w:lang w:val="ro-RO"/>
        </w:rPr>
        <w:t>l</w:t>
      </w:r>
      <w:r w:rsidR="002543A6" w:rsidRPr="004D2FF7">
        <w:rPr>
          <w:rFonts w:ascii="Times New Roman" w:hAnsi="Times New Roman" w:cs="Times New Roman"/>
          <w:color w:val="000000"/>
          <w:sz w:val="24"/>
          <w:szCs w:val="24"/>
          <w:lang w:val="ro-RO"/>
        </w:rPr>
        <w:t xml:space="preserve"> Consiliului din 27 aprilie 2016</w:t>
      </w:r>
      <w:r w:rsidR="007070CA" w:rsidRPr="004D2FF7">
        <w:rPr>
          <w:rFonts w:ascii="Times New Roman" w:hAnsi="Times New Roman" w:cs="Times New Roman"/>
          <w:bCs/>
          <w:iCs/>
          <w:sz w:val="24"/>
          <w:szCs w:val="24"/>
        </w:rPr>
        <w:t>, deși termenul de realizare</w:t>
      </w:r>
      <w:r w:rsidR="00710F79" w:rsidRPr="004D2FF7">
        <w:rPr>
          <w:rFonts w:ascii="Times New Roman" w:hAnsi="Times New Roman" w:cs="Times New Roman"/>
          <w:bCs/>
          <w:iCs/>
          <w:sz w:val="24"/>
          <w:szCs w:val="24"/>
        </w:rPr>
        <w:t xml:space="preserve"> al</w:t>
      </w:r>
      <w:r w:rsidR="00710F79" w:rsidRPr="004D2FF7">
        <w:rPr>
          <w:rFonts w:ascii="Times New Roman" w:hAnsi="Times New Roman" w:cs="Times New Roman"/>
          <w:sz w:val="24"/>
          <w:szCs w:val="24"/>
          <w:lang w:val="ro-RO"/>
        </w:rPr>
        <w:t xml:space="preserve"> obiectivului L6</w:t>
      </w:r>
      <w:r w:rsidR="007070CA" w:rsidRPr="004D2FF7">
        <w:rPr>
          <w:rFonts w:ascii="Times New Roman" w:hAnsi="Times New Roman" w:cs="Times New Roman"/>
          <w:bCs/>
          <w:iCs/>
          <w:sz w:val="24"/>
          <w:szCs w:val="24"/>
        </w:rPr>
        <w:t xml:space="preserve"> a expirat în trimestrul III a</w:t>
      </w:r>
      <w:r w:rsidR="005D5E98">
        <w:rPr>
          <w:rFonts w:ascii="Times New Roman" w:hAnsi="Times New Roman" w:cs="Times New Roman"/>
          <w:bCs/>
          <w:iCs/>
          <w:sz w:val="24"/>
          <w:szCs w:val="24"/>
        </w:rPr>
        <w:t xml:space="preserve">l anului </w:t>
      </w:r>
      <w:r w:rsidR="007070CA" w:rsidRPr="004D2FF7">
        <w:rPr>
          <w:rFonts w:ascii="Times New Roman" w:hAnsi="Times New Roman" w:cs="Times New Roman"/>
          <w:bCs/>
          <w:iCs/>
          <w:sz w:val="24"/>
          <w:szCs w:val="24"/>
        </w:rPr>
        <w:t xml:space="preserve">2018. </w:t>
      </w:r>
    </w:p>
    <w:p w14:paraId="62DAC13B" w14:textId="77777777" w:rsidR="000741BC" w:rsidRPr="004D2FF7" w:rsidRDefault="000741BC" w:rsidP="004859B7">
      <w:pPr>
        <w:spacing w:after="120" w:line="276" w:lineRule="auto"/>
        <w:jc w:val="both"/>
        <w:rPr>
          <w:rFonts w:ascii="Times New Roman" w:hAnsi="Times New Roman" w:cs="Times New Roman"/>
          <w:color w:val="333333"/>
          <w:sz w:val="24"/>
          <w:szCs w:val="24"/>
          <w:shd w:val="clear" w:color="auto" w:fill="FFFFFF"/>
          <w:lang w:val="ro-RO"/>
        </w:rPr>
      </w:pPr>
      <w:r w:rsidRPr="004D2FF7">
        <w:rPr>
          <w:rFonts w:ascii="Times New Roman" w:eastAsia="Times New Roman" w:hAnsi="Times New Roman" w:cs="Times New Roman"/>
          <w:bCs/>
          <w:sz w:val="24"/>
          <w:szCs w:val="24"/>
          <w:lang w:val="ro-RO"/>
        </w:rPr>
        <w:t>Potrivit cadrului legal</w:t>
      </w:r>
      <w:r w:rsidRPr="004D2FF7">
        <w:rPr>
          <w:rStyle w:val="FootnoteReference"/>
          <w:rFonts w:ascii="Times New Roman" w:hAnsi="Times New Roman" w:cs="Times New Roman"/>
          <w:color w:val="333333"/>
          <w:sz w:val="24"/>
          <w:szCs w:val="24"/>
          <w:shd w:val="clear" w:color="auto" w:fill="FFFFFF"/>
          <w:lang w:val="ro-RO"/>
        </w:rPr>
        <w:footnoteReference w:id="45"/>
      </w:r>
      <w:r w:rsidRPr="004D2FF7">
        <w:rPr>
          <w:rFonts w:ascii="Times New Roman" w:eastAsia="Times New Roman" w:hAnsi="Times New Roman" w:cs="Times New Roman"/>
          <w:bCs/>
          <w:sz w:val="24"/>
          <w:szCs w:val="24"/>
          <w:lang w:val="ro-RO"/>
        </w:rPr>
        <w:t>, CNPDCP</w:t>
      </w:r>
      <w:r w:rsidR="005D5E98">
        <w:rPr>
          <w:rFonts w:ascii="Times New Roman" w:eastAsia="Times New Roman" w:hAnsi="Times New Roman" w:cs="Times New Roman"/>
          <w:bCs/>
          <w:sz w:val="24"/>
          <w:szCs w:val="24"/>
          <w:lang w:val="ro-RO"/>
        </w:rPr>
        <w:t>,</w:t>
      </w:r>
      <w:r w:rsidRPr="004D2FF7">
        <w:rPr>
          <w:rFonts w:ascii="Times New Roman" w:eastAsia="Times New Roman" w:hAnsi="Times New Roman" w:cs="Times New Roman"/>
          <w:bCs/>
          <w:sz w:val="24"/>
          <w:szCs w:val="24"/>
          <w:lang w:val="ro-RO"/>
        </w:rPr>
        <w:t xml:space="preserve"> ca autoritate publică autonomă, este subiectul care </w:t>
      </w:r>
      <w:r w:rsidRPr="004D2FF7">
        <w:rPr>
          <w:rFonts w:ascii="Times New Roman" w:hAnsi="Times New Roman" w:cs="Times New Roman"/>
          <w:color w:val="333333"/>
          <w:sz w:val="24"/>
          <w:szCs w:val="24"/>
          <w:shd w:val="clear" w:color="auto" w:fill="FFFFFF"/>
          <w:lang w:val="ro-RO"/>
        </w:rPr>
        <w:t>inițiază elaborarea proiectelor de acte normative, în limitele competenței şi în conformitate cu atribuțiile şi domeniul de activitate.</w:t>
      </w:r>
      <w:r w:rsidR="005711BF" w:rsidRPr="004D2FF7">
        <w:rPr>
          <w:rFonts w:ascii="Times New Roman" w:hAnsi="Times New Roman" w:cs="Times New Roman"/>
          <w:color w:val="333333"/>
          <w:sz w:val="24"/>
          <w:szCs w:val="24"/>
          <w:shd w:val="clear" w:color="auto" w:fill="FFFFFF"/>
          <w:lang w:val="ro-RO"/>
        </w:rPr>
        <w:t xml:space="preserve"> </w:t>
      </w:r>
      <w:r w:rsidR="00FA7BEC" w:rsidRPr="004D2FF7">
        <w:rPr>
          <w:rFonts w:ascii="Times New Roman" w:hAnsi="Times New Roman" w:cs="Times New Roman"/>
          <w:color w:val="333333"/>
          <w:sz w:val="24"/>
          <w:szCs w:val="24"/>
          <w:shd w:val="clear" w:color="auto" w:fill="FFFFFF"/>
          <w:lang w:val="ro-RO"/>
        </w:rPr>
        <w:t>Totodată</w:t>
      </w:r>
      <w:r w:rsidR="005711BF" w:rsidRPr="004D2FF7">
        <w:rPr>
          <w:rFonts w:ascii="Times New Roman" w:hAnsi="Times New Roman" w:cs="Times New Roman"/>
          <w:color w:val="333333"/>
          <w:sz w:val="24"/>
          <w:szCs w:val="24"/>
          <w:shd w:val="clear" w:color="auto" w:fill="FFFFFF"/>
          <w:lang w:val="ro-RO"/>
        </w:rPr>
        <w:t xml:space="preserve">, </w:t>
      </w:r>
      <w:r w:rsidR="00FA7BEC" w:rsidRPr="004D2FF7">
        <w:rPr>
          <w:rFonts w:ascii="Times New Roman" w:hAnsi="Times New Roman" w:cs="Times New Roman"/>
          <w:color w:val="333333"/>
          <w:sz w:val="24"/>
          <w:szCs w:val="24"/>
          <w:shd w:val="clear" w:color="auto" w:fill="FFFFFF"/>
          <w:lang w:val="ro-RO"/>
        </w:rPr>
        <w:t xml:space="preserve">conform </w:t>
      </w:r>
      <w:r w:rsidR="005711BF" w:rsidRPr="004D2FF7">
        <w:rPr>
          <w:rFonts w:ascii="Times New Roman" w:hAnsi="Times New Roman" w:cs="Times New Roman"/>
          <w:color w:val="333333"/>
          <w:sz w:val="24"/>
          <w:szCs w:val="24"/>
          <w:shd w:val="clear" w:color="auto" w:fill="FFFFFF"/>
          <w:lang w:val="ro-RO"/>
        </w:rPr>
        <w:t>art.73 din Constituția Republicii Moldova</w:t>
      </w:r>
      <w:r w:rsidR="00FA7BEC" w:rsidRPr="004D2FF7">
        <w:rPr>
          <w:rStyle w:val="FootnoteReference"/>
          <w:rFonts w:ascii="Times New Roman" w:hAnsi="Times New Roman" w:cs="Times New Roman"/>
          <w:color w:val="333333"/>
          <w:sz w:val="24"/>
          <w:szCs w:val="24"/>
          <w:shd w:val="clear" w:color="auto" w:fill="FFFFFF"/>
          <w:lang w:val="ro-RO"/>
        </w:rPr>
        <w:footnoteReference w:id="46"/>
      </w:r>
      <w:r w:rsidR="00FA7BEC" w:rsidRPr="004D2FF7">
        <w:rPr>
          <w:rFonts w:ascii="Times New Roman" w:hAnsi="Times New Roman" w:cs="Times New Roman"/>
          <w:color w:val="333333"/>
          <w:sz w:val="24"/>
          <w:szCs w:val="24"/>
          <w:shd w:val="clear" w:color="auto" w:fill="FFFFFF"/>
          <w:lang w:val="ro-RO"/>
        </w:rPr>
        <w:t>,</w:t>
      </w:r>
      <w:r w:rsidR="005711BF" w:rsidRPr="004D2FF7">
        <w:rPr>
          <w:rFonts w:ascii="Times New Roman" w:hAnsi="Times New Roman" w:cs="Times New Roman"/>
          <w:color w:val="333333"/>
          <w:sz w:val="24"/>
          <w:szCs w:val="24"/>
          <w:shd w:val="clear" w:color="auto" w:fill="FFFFFF"/>
          <w:lang w:val="ro-RO"/>
        </w:rPr>
        <w:t xml:space="preserve"> CNPDCP nu este subiect cu drept de </w:t>
      </w:r>
      <w:r w:rsidR="00FA7BEC" w:rsidRPr="004D2FF7">
        <w:rPr>
          <w:rFonts w:ascii="Times New Roman" w:hAnsi="Times New Roman" w:cs="Times New Roman"/>
          <w:color w:val="333333"/>
          <w:sz w:val="24"/>
          <w:szCs w:val="24"/>
          <w:shd w:val="clear" w:color="auto" w:fill="FFFFFF"/>
          <w:lang w:val="ro-RO"/>
        </w:rPr>
        <w:t>inițiativă</w:t>
      </w:r>
      <w:r w:rsidR="005711BF" w:rsidRPr="004D2FF7">
        <w:rPr>
          <w:rFonts w:ascii="Times New Roman" w:hAnsi="Times New Roman" w:cs="Times New Roman"/>
          <w:color w:val="333333"/>
          <w:sz w:val="24"/>
          <w:szCs w:val="24"/>
          <w:shd w:val="clear" w:color="auto" w:fill="FFFFFF"/>
          <w:lang w:val="ro-RO"/>
        </w:rPr>
        <w:t xml:space="preserve"> </w:t>
      </w:r>
      <w:r w:rsidR="00FA7BEC" w:rsidRPr="004D2FF7">
        <w:rPr>
          <w:rFonts w:ascii="Times New Roman" w:hAnsi="Times New Roman" w:cs="Times New Roman"/>
          <w:color w:val="333333"/>
          <w:sz w:val="24"/>
          <w:szCs w:val="24"/>
          <w:shd w:val="clear" w:color="auto" w:fill="FFFFFF"/>
          <w:lang w:val="ro-RO"/>
        </w:rPr>
        <w:t>legislativă, iar promovarea actelor normative ține de competența Guvernului</w:t>
      </w:r>
      <w:r w:rsidR="00E3032D">
        <w:rPr>
          <w:rFonts w:ascii="Times New Roman" w:hAnsi="Times New Roman" w:cs="Times New Roman"/>
          <w:color w:val="333333"/>
          <w:sz w:val="24"/>
          <w:szCs w:val="24"/>
          <w:shd w:val="clear" w:color="auto" w:fill="FFFFFF"/>
          <w:lang w:val="ro-RO"/>
        </w:rPr>
        <w:t>.</w:t>
      </w:r>
    </w:p>
    <w:p w14:paraId="7D33E75F" w14:textId="4B12654A" w:rsidR="007070CA" w:rsidRPr="004D2FF7" w:rsidRDefault="000C4C96" w:rsidP="003B1590">
      <w:pPr>
        <w:pStyle w:val="ListParagraph"/>
        <w:spacing w:after="120" w:line="276" w:lineRule="auto"/>
        <w:ind w:left="0"/>
        <w:jc w:val="both"/>
        <w:rPr>
          <w:rFonts w:ascii="Times New Roman" w:hAnsi="Times New Roman" w:cs="Times New Roman"/>
          <w:bCs/>
          <w:sz w:val="24"/>
          <w:szCs w:val="24"/>
        </w:rPr>
      </w:pPr>
      <w:r w:rsidRPr="004D2FF7">
        <w:rPr>
          <w:rFonts w:ascii="Times New Roman" w:hAnsi="Times New Roman" w:cs="Times New Roman"/>
          <w:bCs/>
          <w:iCs/>
          <w:sz w:val="24"/>
          <w:szCs w:val="24"/>
        </w:rPr>
        <w:t>Auditul a constatat că î</w:t>
      </w:r>
      <w:r w:rsidR="007070CA" w:rsidRPr="004D2FF7">
        <w:rPr>
          <w:rFonts w:ascii="Times New Roman" w:hAnsi="Times New Roman" w:cs="Times New Roman"/>
          <w:bCs/>
          <w:iCs/>
          <w:sz w:val="24"/>
          <w:szCs w:val="24"/>
          <w:lang w:val="ro-RO"/>
        </w:rPr>
        <w:t xml:space="preserve">n anul 2018 </w:t>
      </w:r>
      <w:r w:rsidR="007070CA" w:rsidRPr="004D2FF7">
        <w:rPr>
          <w:rFonts w:ascii="Times New Roman" w:hAnsi="Times New Roman" w:cs="Times New Roman"/>
          <w:bCs/>
          <w:sz w:val="24"/>
          <w:szCs w:val="24"/>
        </w:rPr>
        <w:t>CNPDCP</w:t>
      </w:r>
      <w:r w:rsidRPr="004D2FF7">
        <w:rPr>
          <w:rFonts w:ascii="Times New Roman" w:hAnsi="Times New Roman" w:cs="Times New Roman"/>
          <w:bCs/>
          <w:sz w:val="24"/>
          <w:szCs w:val="24"/>
        </w:rPr>
        <w:t xml:space="preserve"> </w:t>
      </w:r>
      <w:r w:rsidR="007070CA" w:rsidRPr="004D2FF7">
        <w:rPr>
          <w:rFonts w:ascii="Times New Roman" w:hAnsi="Times New Roman" w:cs="Times New Roman"/>
          <w:bCs/>
          <w:sz w:val="24"/>
          <w:szCs w:val="24"/>
        </w:rPr>
        <w:t>a</w:t>
      </w:r>
      <w:r w:rsidR="007070CA" w:rsidRPr="004D2FF7">
        <w:rPr>
          <w:rFonts w:ascii="Times New Roman" w:hAnsi="Times New Roman" w:cs="Times New Roman"/>
          <w:bCs/>
          <w:sz w:val="24"/>
          <w:szCs w:val="24"/>
          <w:lang w:val="ro-RO"/>
        </w:rPr>
        <w:t xml:space="preserve"> elaborat</w:t>
      </w:r>
      <w:r w:rsidR="00DD3773" w:rsidRPr="004D2FF7">
        <w:rPr>
          <w:rFonts w:ascii="Times New Roman" w:hAnsi="Times New Roman" w:cs="Times New Roman"/>
          <w:bCs/>
          <w:sz w:val="24"/>
          <w:szCs w:val="24"/>
          <w:lang w:val="ro-RO"/>
        </w:rPr>
        <w:t xml:space="preserve"> 2</w:t>
      </w:r>
      <w:r w:rsidRPr="004D2FF7">
        <w:rPr>
          <w:rFonts w:ascii="Times New Roman" w:hAnsi="Times New Roman" w:cs="Times New Roman"/>
          <w:bCs/>
          <w:sz w:val="24"/>
          <w:szCs w:val="24"/>
          <w:lang w:val="ro-RO"/>
        </w:rPr>
        <w:t xml:space="preserve"> </w:t>
      </w:r>
      <w:r w:rsidR="007070CA" w:rsidRPr="004D2FF7">
        <w:rPr>
          <w:rFonts w:ascii="Times New Roman" w:hAnsi="Times New Roman" w:cs="Times New Roman"/>
          <w:bCs/>
          <w:sz w:val="24"/>
          <w:szCs w:val="24"/>
          <w:lang w:val="ro-RO"/>
        </w:rPr>
        <w:t>proiecte de legi aferente ajustării cadrului național la legislația europeană, și anume:</w:t>
      </w:r>
      <w:r w:rsidR="007070CA" w:rsidRPr="004D2FF7">
        <w:rPr>
          <w:rFonts w:ascii="Times New Roman" w:hAnsi="Times New Roman" w:cs="Times New Roman"/>
          <w:bCs/>
          <w:sz w:val="24"/>
          <w:szCs w:val="24"/>
        </w:rPr>
        <w:t xml:space="preserve"> p</w:t>
      </w:r>
      <w:r w:rsidR="008E0E73" w:rsidRPr="004D2FF7">
        <w:rPr>
          <w:rFonts w:ascii="Times New Roman" w:hAnsi="Times New Roman" w:cs="Times New Roman"/>
          <w:bCs/>
          <w:sz w:val="24"/>
          <w:szCs w:val="24"/>
        </w:rPr>
        <w:t>roiectul</w:t>
      </w:r>
      <w:r w:rsidR="007070CA" w:rsidRPr="004D2FF7">
        <w:rPr>
          <w:rFonts w:ascii="Times New Roman" w:hAnsi="Times New Roman" w:cs="Times New Roman"/>
          <w:bCs/>
          <w:sz w:val="24"/>
          <w:szCs w:val="24"/>
        </w:rPr>
        <w:t xml:space="preserve"> </w:t>
      </w:r>
      <w:r w:rsidR="007070CA" w:rsidRPr="004D2FF7">
        <w:rPr>
          <w:rFonts w:ascii="Times New Roman" w:hAnsi="Times New Roman" w:cs="Times New Roman"/>
          <w:bCs/>
          <w:sz w:val="24"/>
          <w:szCs w:val="24"/>
          <w:lang w:val="ro-RO"/>
        </w:rPr>
        <w:t>de lege</w:t>
      </w:r>
      <w:r w:rsidR="007070CA" w:rsidRPr="004D2FF7">
        <w:rPr>
          <w:rFonts w:ascii="Times New Roman" w:hAnsi="Times New Roman" w:cs="Times New Roman"/>
          <w:bCs/>
          <w:sz w:val="24"/>
          <w:szCs w:val="24"/>
        </w:rPr>
        <w:t xml:space="preserve"> nr.421/2018 </w:t>
      </w:r>
      <w:r w:rsidR="007070CA" w:rsidRPr="004D2FF7">
        <w:rPr>
          <w:rFonts w:ascii="Times New Roman" w:hAnsi="Times New Roman" w:cs="Times New Roman"/>
          <w:bCs/>
          <w:sz w:val="24"/>
          <w:szCs w:val="24"/>
          <w:lang w:val="ro-RO"/>
        </w:rPr>
        <w:t>privind Centrul Național pentru Protecția Datelor cu Caracter Personal</w:t>
      </w:r>
      <w:r w:rsidR="007070CA" w:rsidRPr="004D2FF7">
        <w:rPr>
          <w:rFonts w:ascii="Times New Roman" w:hAnsi="Times New Roman" w:cs="Times New Roman"/>
          <w:bCs/>
          <w:sz w:val="24"/>
          <w:szCs w:val="24"/>
        </w:rPr>
        <w:t xml:space="preserve"> și </w:t>
      </w:r>
      <w:r w:rsidR="00641356" w:rsidRPr="004D2FF7">
        <w:rPr>
          <w:rFonts w:ascii="Times New Roman" w:hAnsi="Times New Roman" w:cs="Times New Roman"/>
          <w:bCs/>
          <w:sz w:val="24"/>
          <w:szCs w:val="24"/>
        </w:rPr>
        <w:t xml:space="preserve">proiectul </w:t>
      </w:r>
      <w:r w:rsidR="007070CA" w:rsidRPr="004D2FF7">
        <w:rPr>
          <w:rFonts w:ascii="Times New Roman" w:hAnsi="Times New Roman" w:cs="Times New Roman"/>
          <w:bCs/>
          <w:sz w:val="24"/>
          <w:szCs w:val="24"/>
          <w:lang w:val="ro-RO"/>
        </w:rPr>
        <w:t>de lege nr.</w:t>
      </w:r>
      <w:r w:rsidR="007070CA" w:rsidRPr="004D2FF7">
        <w:rPr>
          <w:rFonts w:ascii="Times New Roman" w:hAnsi="Times New Roman" w:cs="Times New Roman"/>
          <w:bCs/>
          <w:sz w:val="24"/>
          <w:szCs w:val="24"/>
        </w:rPr>
        <w:t xml:space="preserve">422/2018 </w:t>
      </w:r>
      <w:r w:rsidR="007070CA" w:rsidRPr="004D2FF7">
        <w:rPr>
          <w:rFonts w:ascii="Times New Roman" w:hAnsi="Times New Roman" w:cs="Times New Roman"/>
          <w:bCs/>
          <w:sz w:val="24"/>
          <w:szCs w:val="24"/>
          <w:lang w:val="ro-RO"/>
        </w:rPr>
        <w:t>privind protecția datelor cu caracter personal</w:t>
      </w:r>
      <w:r w:rsidR="007070CA" w:rsidRPr="004D2FF7">
        <w:rPr>
          <w:rFonts w:ascii="Times New Roman" w:hAnsi="Times New Roman" w:cs="Times New Roman"/>
          <w:bCs/>
          <w:sz w:val="24"/>
          <w:szCs w:val="24"/>
        </w:rPr>
        <w:t xml:space="preserve">, </w:t>
      </w:r>
      <w:r w:rsidR="007070CA" w:rsidRPr="004D2FF7">
        <w:rPr>
          <w:rFonts w:ascii="Times New Roman" w:hAnsi="Times New Roman" w:cs="Times New Roman"/>
          <w:bCs/>
          <w:sz w:val="24"/>
          <w:szCs w:val="24"/>
          <w:lang w:val="ro-RO"/>
        </w:rPr>
        <w:t>care la 30</w:t>
      </w:r>
      <w:r w:rsidR="007070CA" w:rsidRPr="004D2FF7">
        <w:rPr>
          <w:rFonts w:ascii="Times New Roman" w:hAnsi="Times New Roman" w:cs="Times New Roman"/>
          <w:bCs/>
          <w:sz w:val="24"/>
          <w:szCs w:val="24"/>
        </w:rPr>
        <w:t>.11.</w:t>
      </w:r>
      <w:r w:rsidR="007070CA" w:rsidRPr="004D2FF7">
        <w:rPr>
          <w:rFonts w:ascii="Times New Roman" w:hAnsi="Times New Roman" w:cs="Times New Roman"/>
          <w:bCs/>
          <w:sz w:val="24"/>
          <w:szCs w:val="24"/>
          <w:lang w:val="ro-RO"/>
        </w:rPr>
        <w:t>2018 au fost votate</w:t>
      </w:r>
      <w:r w:rsidRPr="004D2FF7">
        <w:rPr>
          <w:rFonts w:ascii="Times New Roman" w:hAnsi="Times New Roman" w:cs="Times New Roman"/>
          <w:bCs/>
          <w:sz w:val="24"/>
          <w:szCs w:val="24"/>
          <w:lang w:val="ro-RO"/>
        </w:rPr>
        <w:t xml:space="preserve"> în primă lectură</w:t>
      </w:r>
      <w:r w:rsidR="007070CA" w:rsidRPr="004D2FF7">
        <w:rPr>
          <w:rFonts w:ascii="Times New Roman" w:hAnsi="Times New Roman" w:cs="Times New Roman"/>
          <w:bCs/>
          <w:sz w:val="24"/>
          <w:szCs w:val="24"/>
          <w:lang w:val="ro-RO"/>
        </w:rPr>
        <w:t xml:space="preserve"> de Parlamentul Republicii Moldova</w:t>
      </w:r>
      <w:r w:rsidR="004E3AEB">
        <w:rPr>
          <w:rFonts w:ascii="Times New Roman" w:hAnsi="Times New Roman" w:cs="Times New Roman"/>
          <w:bCs/>
          <w:sz w:val="24"/>
          <w:szCs w:val="24"/>
          <w:lang w:val="ro-RO"/>
        </w:rPr>
        <w:t>.</w:t>
      </w:r>
      <w:r w:rsidR="007070CA" w:rsidRPr="004D2FF7">
        <w:rPr>
          <w:rFonts w:ascii="Times New Roman" w:hAnsi="Times New Roman" w:cs="Times New Roman"/>
          <w:bCs/>
          <w:sz w:val="24"/>
          <w:szCs w:val="24"/>
          <w:lang w:val="ro-RO"/>
        </w:rPr>
        <w:t xml:space="preserve"> </w:t>
      </w:r>
      <w:r w:rsidR="004951A7">
        <w:rPr>
          <w:rFonts w:ascii="Times New Roman" w:hAnsi="Times New Roman" w:cs="Times New Roman"/>
          <w:bCs/>
          <w:sz w:val="24"/>
          <w:szCs w:val="24"/>
        </w:rPr>
        <w:t>Î</w:t>
      </w:r>
      <w:r w:rsidR="007070CA" w:rsidRPr="004D2FF7">
        <w:rPr>
          <w:rFonts w:ascii="Times New Roman" w:hAnsi="Times New Roman" w:cs="Times New Roman"/>
          <w:bCs/>
          <w:sz w:val="24"/>
          <w:szCs w:val="24"/>
        </w:rPr>
        <w:t>nsă</w:t>
      </w:r>
      <w:r w:rsidR="004951A7">
        <w:rPr>
          <w:rFonts w:ascii="Times New Roman" w:hAnsi="Times New Roman" w:cs="Times New Roman"/>
          <w:bCs/>
          <w:sz w:val="24"/>
          <w:szCs w:val="24"/>
        </w:rPr>
        <w:t>,</w:t>
      </w:r>
      <w:r w:rsidR="007070CA" w:rsidRPr="004D2FF7">
        <w:rPr>
          <w:rFonts w:ascii="Times New Roman" w:hAnsi="Times New Roman" w:cs="Times New Roman"/>
          <w:bCs/>
          <w:sz w:val="24"/>
          <w:szCs w:val="24"/>
        </w:rPr>
        <w:t xml:space="preserve"> până în prezent</w:t>
      </w:r>
      <w:r w:rsidR="005E4184" w:rsidRPr="004D2FF7">
        <w:rPr>
          <w:rFonts w:ascii="Times New Roman" w:hAnsi="Times New Roman" w:cs="Times New Roman"/>
          <w:bCs/>
          <w:sz w:val="24"/>
          <w:szCs w:val="24"/>
        </w:rPr>
        <w:t xml:space="preserve"> </w:t>
      </w:r>
      <w:r w:rsidR="004951A7">
        <w:rPr>
          <w:rFonts w:ascii="Times New Roman" w:hAnsi="Times New Roman" w:cs="Times New Roman"/>
          <w:bCs/>
          <w:sz w:val="24"/>
          <w:szCs w:val="24"/>
        </w:rPr>
        <w:t xml:space="preserve">acestea </w:t>
      </w:r>
      <w:r w:rsidR="008E0E73" w:rsidRPr="004D2FF7">
        <w:rPr>
          <w:rFonts w:ascii="Times New Roman" w:hAnsi="Times New Roman" w:cs="Times New Roman"/>
          <w:bCs/>
          <w:sz w:val="24"/>
          <w:szCs w:val="24"/>
        </w:rPr>
        <w:t xml:space="preserve">nu au fost adoptate din mai multe motive, inclusiv unul </w:t>
      </w:r>
      <w:r w:rsidR="004951A7">
        <w:rPr>
          <w:rFonts w:ascii="Times New Roman" w:hAnsi="Times New Roman" w:cs="Times New Roman"/>
          <w:bCs/>
          <w:sz w:val="24"/>
          <w:szCs w:val="24"/>
        </w:rPr>
        <w:t>ț</w:t>
      </w:r>
      <w:r w:rsidR="008E0E73" w:rsidRPr="004D2FF7">
        <w:rPr>
          <w:rFonts w:ascii="Times New Roman" w:hAnsi="Times New Roman" w:cs="Times New Roman"/>
          <w:bCs/>
          <w:sz w:val="24"/>
          <w:szCs w:val="24"/>
        </w:rPr>
        <w:t>ine de faptul că</w:t>
      </w:r>
      <w:r w:rsidR="007070CA" w:rsidRPr="004D2FF7">
        <w:rPr>
          <w:rFonts w:ascii="Times New Roman" w:hAnsi="Times New Roman" w:cs="Times New Roman"/>
          <w:bCs/>
          <w:sz w:val="24"/>
          <w:szCs w:val="24"/>
        </w:rPr>
        <w:t xml:space="preserve"> concluzi</w:t>
      </w:r>
      <w:r w:rsidR="006A4554" w:rsidRPr="004D2FF7">
        <w:rPr>
          <w:rFonts w:ascii="Times New Roman" w:hAnsi="Times New Roman" w:cs="Times New Roman"/>
          <w:bCs/>
          <w:sz w:val="24"/>
          <w:szCs w:val="24"/>
        </w:rPr>
        <w:t>ile</w:t>
      </w:r>
      <w:r w:rsidR="007070CA" w:rsidRPr="004D2FF7">
        <w:rPr>
          <w:rFonts w:ascii="Times New Roman" w:hAnsi="Times New Roman" w:cs="Times New Roman"/>
          <w:bCs/>
          <w:sz w:val="24"/>
          <w:szCs w:val="24"/>
        </w:rPr>
        <w:t xml:space="preserve"> </w:t>
      </w:r>
      <w:r w:rsidR="00D91FE5" w:rsidRPr="004D2FF7">
        <w:rPr>
          <w:rFonts w:ascii="Times New Roman" w:hAnsi="Times New Roman" w:cs="Times New Roman"/>
          <w:bCs/>
          <w:sz w:val="24"/>
          <w:szCs w:val="24"/>
        </w:rPr>
        <w:t>R</w:t>
      </w:r>
      <w:r w:rsidR="007070CA" w:rsidRPr="004D2FF7">
        <w:rPr>
          <w:rFonts w:ascii="Times New Roman" w:hAnsi="Times New Roman" w:cs="Times New Roman"/>
          <w:bCs/>
          <w:sz w:val="24"/>
          <w:szCs w:val="24"/>
        </w:rPr>
        <w:t>apoartel</w:t>
      </w:r>
      <w:r w:rsidR="00D91FE5" w:rsidRPr="004D2FF7">
        <w:rPr>
          <w:rFonts w:ascii="Times New Roman" w:hAnsi="Times New Roman" w:cs="Times New Roman"/>
          <w:bCs/>
          <w:sz w:val="24"/>
          <w:szCs w:val="24"/>
        </w:rPr>
        <w:t>or</w:t>
      </w:r>
      <w:r w:rsidR="007070CA" w:rsidRPr="004D2FF7">
        <w:rPr>
          <w:rFonts w:ascii="Times New Roman" w:hAnsi="Times New Roman" w:cs="Times New Roman"/>
          <w:bCs/>
          <w:sz w:val="24"/>
          <w:szCs w:val="24"/>
        </w:rPr>
        <w:t xml:space="preserve"> de expertiz</w:t>
      </w:r>
      <w:r w:rsidR="004951A7">
        <w:rPr>
          <w:rFonts w:ascii="Times New Roman" w:hAnsi="Times New Roman" w:cs="Times New Roman"/>
          <w:bCs/>
          <w:sz w:val="24"/>
          <w:szCs w:val="24"/>
        </w:rPr>
        <w:t>ă</w:t>
      </w:r>
      <w:r w:rsidR="007070CA" w:rsidRPr="004D2FF7">
        <w:rPr>
          <w:rFonts w:ascii="Times New Roman" w:hAnsi="Times New Roman" w:cs="Times New Roman"/>
          <w:bCs/>
          <w:sz w:val="24"/>
          <w:szCs w:val="24"/>
        </w:rPr>
        <w:t xml:space="preserve"> anticorupție</w:t>
      </w:r>
      <w:r w:rsidR="00D91FE5" w:rsidRPr="004D2FF7">
        <w:rPr>
          <w:rFonts w:ascii="Times New Roman" w:hAnsi="Times New Roman" w:cs="Times New Roman"/>
          <w:bCs/>
          <w:sz w:val="24"/>
          <w:szCs w:val="24"/>
        </w:rPr>
        <w:t>,</w:t>
      </w:r>
      <w:r w:rsidR="006A4554" w:rsidRPr="004D2FF7">
        <w:rPr>
          <w:rFonts w:ascii="Times New Roman" w:hAnsi="Times New Roman" w:cs="Times New Roman"/>
          <w:bCs/>
          <w:sz w:val="24"/>
          <w:szCs w:val="24"/>
        </w:rPr>
        <w:t xml:space="preserve"> </w:t>
      </w:r>
      <w:r w:rsidR="007070CA" w:rsidRPr="004D2FF7">
        <w:rPr>
          <w:rFonts w:ascii="Times New Roman" w:hAnsi="Times New Roman" w:cs="Times New Roman"/>
          <w:bCs/>
          <w:sz w:val="24"/>
          <w:szCs w:val="24"/>
        </w:rPr>
        <w:t>expediate Parlamentului de către Centrul Național Anticorupție</w:t>
      </w:r>
      <w:r w:rsidR="004951A7">
        <w:rPr>
          <w:rFonts w:ascii="Times New Roman" w:hAnsi="Times New Roman" w:cs="Times New Roman"/>
          <w:bCs/>
          <w:sz w:val="24"/>
          <w:szCs w:val="24"/>
        </w:rPr>
        <w:t>,</w:t>
      </w:r>
      <w:r w:rsidR="007070CA" w:rsidRPr="004D2FF7">
        <w:rPr>
          <w:rFonts w:ascii="Times New Roman" w:hAnsi="Times New Roman" w:cs="Times New Roman"/>
          <w:bCs/>
          <w:sz w:val="24"/>
          <w:szCs w:val="24"/>
        </w:rPr>
        <w:t xml:space="preserve"> a</w:t>
      </w:r>
      <w:r w:rsidR="006A4554" w:rsidRPr="004D2FF7">
        <w:rPr>
          <w:rFonts w:ascii="Times New Roman" w:hAnsi="Times New Roman" w:cs="Times New Roman"/>
          <w:bCs/>
          <w:sz w:val="24"/>
          <w:szCs w:val="24"/>
        </w:rPr>
        <w:t>u</w:t>
      </w:r>
      <w:r w:rsidR="007070CA" w:rsidRPr="004D2FF7">
        <w:rPr>
          <w:rFonts w:ascii="Times New Roman" w:hAnsi="Times New Roman" w:cs="Times New Roman"/>
          <w:bCs/>
          <w:sz w:val="24"/>
          <w:szCs w:val="24"/>
        </w:rPr>
        <w:t xml:space="preserve"> fost </w:t>
      </w:r>
      <w:r w:rsidR="006A4554" w:rsidRPr="004D2FF7">
        <w:rPr>
          <w:rFonts w:ascii="Times New Roman" w:hAnsi="Times New Roman" w:cs="Times New Roman"/>
          <w:bCs/>
          <w:sz w:val="24"/>
          <w:szCs w:val="24"/>
        </w:rPr>
        <w:t>n</w:t>
      </w:r>
      <w:r w:rsidR="007070CA" w:rsidRPr="004D2FF7">
        <w:rPr>
          <w:rFonts w:ascii="Times New Roman" w:hAnsi="Times New Roman" w:cs="Times New Roman"/>
          <w:bCs/>
          <w:sz w:val="24"/>
          <w:szCs w:val="24"/>
        </w:rPr>
        <w:t>egativ</w:t>
      </w:r>
      <w:r w:rsidR="006A4554" w:rsidRPr="004D2FF7">
        <w:rPr>
          <w:rFonts w:ascii="Times New Roman" w:hAnsi="Times New Roman" w:cs="Times New Roman"/>
          <w:bCs/>
          <w:sz w:val="24"/>
          <w:szCs w:val="24"/>
        </w:rPr>
        <w:t>e</w:t>
      </w:r>
      <w:r w:rsidR="007070CA" w:rsidRPr="004D2FF7">
        <w:rPr>
          <w:rFonts w:ascii="Times New Roman" w:hAnsi="Times New Roman" w:cs="Times New Roman"/>
          <w:bCs/>
          <w:sz w:val="24"/>
          <w:szCs w:val="24"/>
        </w:rPr>
        <w:t>, fiind menționat că proiectele de leg</w:t>
      </w:r>
      <w:r w:rsidR="006A4554" w:rsidRPr="004D2FF7">
        <w:rPr>
          <w:rFonts w:ascii="Times New Roman" w:hAnsi="Times New Roman" w:cs="Times New Roman"/>
          <w:bCs/>
          <w:sz w:val="24"/>
          <w:szCs w:val="24"/>
        </w:rPr>
        <w:t>i</w:t>
      </w:r>
      <w:r w:rsidR="007070CA" w:rsidRPr="004D2FF7">
        <w:rPr>
          <w:rFonts w:ascii="Times New Roman" w:hAnsi="Times New Roman" w:cs="Times New Roman"/>
          <w:bCs/>
          <w:sz w:val="24"/>
          <w:szCs w:val="24"/>
        </w:rPr>
        <w:t xml:space="preserve"> în varianta propusă</w:t>
      </w:r>
      <w:r w:rsidR="006A4554" w:rsidRPr="004D2FF7">
        <w:rPr>
          <w:rFonts w:ascii="Times New Roman" w:hAnsi="Times New Roman" w:cs="Times New Roman"/>
          <w:bCs/>
          <w:sz w:val="24"/>
          <w:szCs w:val="24"/>
        </w:rPr>
        <w:t xml:space="preserve"> pentru adoptare de către legislativ</w:t>
      </w:r>
      <w:r w:rsidR="007070CA" w:rsidRPr="004D2FF7">
        <w:rPr>
          <w:rFonts w:ascii="Times New Roman" w:hAnsi="Times New Roman" w:cs="Times New Roman"/>
          <w:bCs/>
          <w:sz w:val="24"/>
          <w:szCs w:val="24"/>
        </w:rPr>
        <w:t xml:space="preserve"> nu pot fi promovate din cauza identificării mai multor factori de corupție</w:t>
      </w:r>
      <w:r w:rsidR="0085689A" w:rsidRPr="004D2FF7">
        <w:rPr>
          <w:rFonts w:ascii="Times New Roman" w:hAnsi="Times New Roman" w:cs="Times New Roman"/>
          <w:bCs/>
          <w:sz w:val="24"/>
          <w:szCs w:val="24"/>
        </w:rPr>
        <w:t>. Un alt motiv privind neadoptarea legilor nominalizate ține de faptul că proiectele nu au fost avizate de către Guvern</w:t>
      </w:r>
      <w:r w:rsidR="007070CA" w:rsidRPr="004D2FF7">
        <w:rPr>
          <w:rFonts w:ascii="Times New Roman" w:hAnsi="Times New Roman" w:cs="Times New Roman"/>
          <w:bCs/>
          <w:sz w:val="24"/>
          <w:szCs w:val="24"/>
          <w:lang w:val="ro-RO"/>
        </w:rPr>
        <w:t>.</w:t>
      </w:r>
      <w:r w:rsidR="007070CA" w:rsidRPr="004D2FF7">
        <w:rPr>
          <w:rFonts w:ascii="Times New Roman" w:hAnsi="Times New Roman" w:cs="Times New Roman"/>
          <w:bCs/>
          <w:sz w:val="24"/>
          <w:szCs w:val="24"/>
        </w:rPr>
        <w:t xml:space="preserve"> </w:t>
      </w:r>
    </w:p>
    <w:p w14:paraId="4B4019C7" w14:textId="6F787828" w:rsidR="007070CA" w:rsidRPr="004D2FF7" w:rsidRDefault="007070CA" w:rsidP="003B1590">
      <w:pPr>
        <w:pStyle w:val="ListParagraph"/>
        <w:spacing w:line="276" w:lineRule="auto"/>
        <w:ind w:left="0"/>
        <w:jc w:val="both"/>
        <w:rPr>
          <w:rFonts w:ascii="Times New Roman" w:hAnsi="Times New Roman" w:cs="Times New Roman"/>
          <w:bCs/>
          <w:sz w:val="24"/>
          <w:szCs w:val="24"/>
        </w:rPr>
      </w:pPr>
      <w:r w:rsidRPr="004D2FF7">
        <w:rPr>
          <w:rFonts w:ascii="Times New Roman" w:hAnsi="Times New Roman" w:cs="Times New Roman"/>
          <w:bCs/>
          <w:sz w:val="24"/>
          <w:szCs w:val="24"/>
        </w:rPr>
        <w:t xml:space="preserve">Ulterior, proiectele de acte normative neadoptate de Parlament în anul 2018 </w:t>
      </w:r>
      <w:r w:rsidR="00CA05EB">
        <w:rPr>
          <w:rFonts w:ascii="Times New Roman" w:hAnsi="Times New Roman" w:cs="Times New Roman"/>
          <w:bCs/>
          <w:sz w:val="24"/>
          <w:szCs w:val="24"/>
        </w:rPr>
        <w:t>în</w:t>
      </w:r>
      <w:r w:rsidRPr="004D2FF7">
        <w:rPr>
          <w:rFonts w:ascii="Times New Roman" w:hAnsi="Times New Roman" w:cs="Times New Roman"/>
          <w:bCs/>
          <w:sz w:val="24"/>
          <w:szCs w:val="24"/>
        </w:rPr>
        <w:t xml:space="preserve"> lectură</w:t>
      </w:r>
      <w:r w:rsidR="00CA05EB">
        <w:rPr>
          <w:rFonts w:ascii="Times New Roman" w:hAnsi="Times New Roman" w:cs="Times New Roman"/>
          <w:bCs/>
          <w:sz w:val="24"/>
          <w:szCs w:val="24"/>
        </w:rPr>
        <w:t xml:space="preserve"> finală</w:t>
      </w:r>
      <w:r w:rsidR="00D91FE5" w:rsidRPr="004D2FF7">
        <w:rPr>
          <w:rFonts w:ascii="Times New Roman" w:hAnsi="Times New Roman" w:cs="Times New Roman"/>
          <w:bCs/>
          <w:sz w:val="24"/>
          <w:szCs w:val="24"/>
        </w:rPr>
        <w:t xml:space="preserve"> pe parcursul anilor</w:t>
      </w:r>
      <w:r w:rsidRPr="004D2FF7">
        <w:rPr>
          <w:rFonts w:ascii="Times New Roman" w:hAnsi="Times New Roman" w:cs="Times New Roman"/>
          <w:bCs/>
          <w:sz w:val="24"/>
          <w:szCs w:val="24"/>
        </w:rPr>
        <w:t xml:space="preserve"> au fost suplimentate cu propuneri acumulate de CNPDCP</w:t>
      </w:r>
      <w:r w:rsidR="000C4C96" w:rsidRPr="004D2FF7">
        <w:rPr>
          <w:rFonts w:ascii="Times New Roman" w:hAnsi="Times New Roman" w:cs="Times New Roman"/>
          <w:bCs/>
          <w:sz w:val="24"/>
          <w:szCs w:val="24"/>
        </w:rPr>
        <w:t>, iar în an</w:t>
      </w:r>
      <w:r w:rsidR="005F0763" w:rsidRPr="004D2FF7">
        <w:rPr>
          <w:rFonts w:ascii="Times New Roman" w:hAnsi="Times New Roman" w:cs="Times New Roman"/>
          <w:bCs/>
          <w:sz w:val="24"/>
          <w:szCs w:val="24"/>
        </w:rPr>
        <w:t>ii</w:t>
      </w:r>
      <w:r w:rsidR="000C4C96" w:rsidRPr="004D2FF7">
        <w:rPr>
          <w:rFonts w:ascii="Times New Roman" w:hAnsi="Times New Roman" w:cs="Times New Roman"/>
          <w:bCs/>
          <w:sz w:val="24"/>
          <w:szCs w:val="24"/>
        </w:rPr>
        <w:t xml:space="preserve"> 2022</w:t>
      </w:r>
      <w:r w:rsidR="005F0763" w:rsidRPr="004D2FF7">
        <w:rPr>
          <w:rFonts w:ascii="Times New Roman" w:hAnsi="Times New Roman" w:cs="Times New Roman"/>
          <w:bCs/>
          <w:sz w:val="24"/>
          <w:szCs w:val="24"/>
        </w:rPr>
        <w:t>-2023</w:t>
      </w:r>
      <w:r w:rsidR="001F0AB1">
        <w:rPr>
          <w:rFonts w:ascii="Times New Roman" w:hAnsi="Times New Roman" w:cs="Times New Roman"/>
          <w:bCs/>
          <w:sz w:val="24"/>
          <w:szCs w:val="24"/>
        </w:rPr>
        <w:t xml:space="preserve"> acestea</w:t>
      </w:r>
      <w:r w:rsidR="000C4C96" w:rsidRPr="004D2FF7">
        <w:rPr>
          <w:rFonts w:ascii="Times New Roman" w:hAnsi="Times New Roman" w:cs="Times New Roman"/>
          <w:bCs/>
          <w:sz w:val="24"/>
          <w:szCs w:val="24"/>
        </w:rPr>
        <w:t xml:space="preserve"> au fost</w:t>
      </w:r>
      <w:r w:rsidRPr="004D2FF7">
        <w:rPr>
          <w:rFonts w:ascii="Times New Roman" w:hAnsi="Times New Roman" w:cs="Times New Roman"/>
          <w:bCs/>
          <w:sz w:val="24"/>
          <w:szCs w:val="24"/>
        </w:rPr>
        <w:t xml:space="preserve"> transmise</w:t>
      </w:r>
      <w:r w:rsidR="005B420B" w:rsidRPr="004D2FF7">
        <w:rPr>
          <w:rFonts w:ascii="Times New Roman" w:hAnsi="Times New Roman" w:cs="Times New Roman"/>
          <w:bCs/>
          <w:sz w:val="24"/>
          <w:szCs w:val="24"/>
        </w:rPr>
        <w:t xml:space="preserve"> </w:t>
      </w:r>
      <w:r w:rsidRPr="004D2FF7">
        <w:rPr>
          <w:rFonts w:ascii="Times New Roman" w:hAnsi="Times New Roman" w:cs="Times New Roman"/>
          <w:bCs/>
          <w:sz w:val="24"/>
          <w:szCs w:val="24"/>
        </w:rPr>
        <w:t>Ministerului Justiției</w:t>
      </w:r>
      <w:r w:rsidR="005A07F8" w:rsidRPr="004D2FF7">
        <w:rPr>
          <w:rFonts w:ascii="Times New Roman" w:hAnsi="Times New Roman" w:cs="Times New Roman"/>
          <w:bCs/>
          <w:sz w:val="24"/>
          <w:szCs w:val="24"/>
        </w:rPr>
        <w:t xml:space="preserve">, care la moment sunt </w:t>
      </w:r>
      <w:r w:rsidR="005F0763" w:rsidRPr="004D2FF7">
        <w:rPr>
          <w:rFonts w:ascii="Times New Roman" w:hAnsi="Times New Roman" w:cs="Times New Roman"/>
          <w:bCs/>
          <w:sz w:val="24"/>
          <w:szCs w:val="24"/>
        </w:rPr>
        <w:t>în</w:t>
      </w:r>
      <w:r w:rsidR="000C4C96" w:rsidRPr="004D2FF7">
        <w:rPr>
          <w:rFonts w:ascii="Times New Roman" w:hAnsi="Times New Roman" w:cs="Times New Roman"/>
          <w:bCs/>
          <w:sz w:val="24"/>
          <w:szCs w:val="24"/>
        </w:rPr>
        <w:t xml:space="preserve"> procedur</w:t>
      </w:r>
      <w:r w:rsidR="001F0AB1">
        <w:rPr>
          <w:rFonts w:ascii="Times New Roman" w:hAnsi="Times New Roman" w:cs="Times New Roman"/>
          <w:bCs/>
          <w:sz w:val="24"/>
          <w:szCs w:val="24"/>
        </w:rPr>
        <w:t>ă</w:t>
      </w:r>
      <w:r w:rsidR="000C4C96" w:rsidRPr="004D2FF7">
        <w:rPr>
          <w:rFonts w:ascii="Times New Roman" w:hAnsi="Times New Roman" w:cs="Times New Roman"/>
          <w:bCs/>
          <w:sz w:val="24"/>
          <w:szCs w:val="24"/>
        </w:rPr>
        <w:t xml:space="preserve"> de avizare repetată. </w:t>
      </w:r>
    </w:p>
    <w:p w14:paraId="7529C147" w14:textId="70AC4562" w:rsidR="00CA05EB" w:rsidRPr="00CA05EB" w:rsidRDefault="007070CA" w:rsidP="003B1590">
      <w:pPr>
        <w:spacing w:after="120" w:line="276" w:lineRule="auto"/>
        <w:jc w:val="both"/>
        <w:rPr>
          <w:rFonts w:ascii="Times New Roman" w:hAnsi="Times New Roman" w:cs="Times New Roman"/>
          <w:sz w:val="24"/>
          <w:szCs w:val="24"/>
        </w:rPr>
      </w:pPr>
      <w:r w:rsidRPr="004D2FF7">
        <w:rPr>
          <w:rFonts w:ascii="Times New Roman" w:hAnsi="Times New Roman" w:cs="Times New Roman"/>
          <w:sz w:val="24"/>
          <w:szCs w:val="24"/>
        </w:rPr>
        <w:t xml:space="preserve">Din cauza tergiversării adoptării legilor </w:t>
      </w:r>
      <w:r w:rsidR="006A4554" w:rsidRPr="004D2FF7">
        <w:rPr>
          <w:rFonts w:ascii="Times New Roman" w:hAnsi="Times New Roman" w:cs="Times New Roman"/>
          <w:sz w:val="24"/>
          <w:szCs w:val="24"/>
        </w:rPr>
        <w:t>ce vizează activitatea CNPDCP</w:t>
      </w:r>
      <w:r w:rsidR="001F0AB1">
        <w:rPr>
          <w:rFonts w:ascii="Times New Roman" w:hAnsi="Times New Roman" w:cs="Times New Roman"/>
          <w:sz w:val="24"/>
          <w:szCs w:val="24"/>
        </w:rPr>
        <w:t>,</w:t>
      </w:r>
      <w:r w:rsidR="00F674BD" w:rsidRPr="004D2FF7">
        <w:rPr>
          <w:rFonts w:ascii="Times New Roman" w:hAnsi="Times New Roman" w:cs="Times New Roman"/>
          <w:sz w:val="24"/>
          <w:szCs w:val="24"/>
        </w:rPr>
        <w:t xml:space="preserve"> </w:t>
      </w:r>
      <w:r w:rsidRPr="004D2FF7">
        <w:rPr>
          <w:rFonts w:ascii="Times New Roman" w:hAnsi="Times New Roman" w:cs="Times New Roman"/>
          <w:sz w:val="24"/>
          <w:szCs w:val="24"/>
        </w:rPr>
        <w:t xml:space="preserve">nu </w:t>
      </w:r>
      <w:r w:rsidR="00F80C93" w:rsidRPr="004D2FF7">
        <w:rPr>
          <w:rFonts w:ascii="Times New Roman" w:hAnsi="Times New Roman" w:cs="Times New Roman"/>
          <w:sz w:val="24"/>
          <w:szCs w:val="24"/>
        </w:rPr>
        <w:t>au fost</w:t>
      </w:r>
      <w:r w:rsidRPr="004D2FF7">
        <w:rPr>
          <w:rFonts w:ascii="Times New Roman" w:hAnsi="Times New Roman" w:cs="Times New Roman"/>
          <w:sz w:val="24"/>
          <w:szCs w:val="24"/>
        </w:rPr>
        <w:t xml:space="preserve"> adoptate alte</w:t>
      </w:r>
      <w:r w:rsidR="006F1AFE" w:rsidRPr="004D2FF7">
        <w:rPr>
          <w:rFonts w:ascii="Times New Roman" w:hAnsi="Times New Roman" w:cs="Times New Roman"/>
          <w:sz w:val="24"/>
          <w:szCs w:val="24"/>
        </w:rPr>
        <w:t xml:space="preserve"> 5</w:t>
      </w:r>
      <w:r w:rsidRPr="004D2FF7">
        <w:rPr>
          <w:rFonts w:ascii="Times New Roman" w:hAnsi="Times New Roman" w:cs="Times New Roman"/>
          <w:sz w:val="24"/>
          <w:szCs w:val="24"/>
        </w:rPr>
        <w:t xml:space="preserve"> legi </w:t>
      </w:r>
      <w:r w:rsidR="00F674BD" w:rsidRPr="004D2FF7">
        <w:rPr>
          <w:rFonts w:ascii="Times New Roman" w:eastAsia="Times New Roman" w:hAnsi="Times New Roman" w:cs="Times New Roman"/>
          <w:sz w:val="24"/>
          <w:szCs w:val="24"/>
          <w:lang w:val="ro-RO"/>
        </w:rPr>
        <w:t xml:space="preserve">al căror </w:t>
      </w:r>
      <w:r w:rsidR="00F674BD" w:rsidRPr="004D2FF7">
        <w:rPr>
          <w:rFonts w:ascii="Times New Roman" w:hAnsi="Times New Roman" w:cs="Times New Roman"/>
          <w:bCs/>
          <w:iCs/>
          <w:sz w:val="24"/>
          <w:szCs w:val="24"/>
        </w:rPr>
        <w:t>termen de realizare a expirat în trimestrul III a</w:t>
      </w:r>
      <w:r w:rsidR="001F0AB1">
        <w:rPr>
          <w:rFonts w:ascii="Times New Roman" w:hAnsi="Times New Roman" w:cs="Times New Roman"/>
          <w:bCs/>
          <w:iCs/>
          <w:sz w:val="24"/>
          <w:szCs w:val="24"/>
        </w:rPr>
        <w:t>l anului</w:t>
      </w:r>
      <w:r w:rsidR="00F674BD" w:rsidRPr="004D2FF7">
        <w:rPr>
          <w:rFonts w:ascii="Times New Roman" w:hAnsi="Times New Roman" w:cs="Times New Roman"/>
          <w:bCs/>
          <w:iCs/>
          <w:sz w:val="24"/>
          <w:szCs w:val="24"/>
        </w:rPr>
        <w:t xml:space="preserve"> 2018</w:t>
      </w:r>
      <w:r w:rsidR="001F0AB1">
        <w:rPr>
          <w:rFonts w:ascii="Times New Roman" w:hAnsi="Times New Roman" w:cs="Times New Roman"/>
          <w:bCs/>
          <w:iCs/>
          <w:sz w:val="24"/>
          <w:szCs w:val="24"/>
        </w:rPr>
        <w:t>, acestea fiind</w:t>
      </w:r>
      <w:r w:rsidR="00F674BD" w:rsidRPr="004D2FF7">
        <w:rPr>
          <w:rFonts w:ascii="Times New Roman" w:hAnsi="Times New Roman" w:cs="Times New Roman"/>
          <w:bCs/>
          <w:iCs/>
          <w:sz w:val="24"/>
          <w:szCs w:val="24"/>
        </w:rPr>
        <w:t xml:space="preserve"> </w:t>
      </w:r>
      <w:r w:rsidRPr="004D2FF7">
        <w:rPr>
          <w:rFonts w:ascii="Times New Roman" w:hAnsi="Times New Roman" w:cs="Times New Roman"/>
          <w:sz w:val="24"/>
          <w:szCs w:val="24"/>
        </w:rPr>
        <w:t xml:space="preserve">prevăzute la art.13 din </w:t>
      </w:r>
      <w:r w:rsidRPr="004D2FF7">
        <w:rPr>
          <w:rFonts w:ascii="Times New Roman" w:hAnsi="Times New Roman" w:cs="Times New Roman"/>
          <w:sz w:val="24"/>
          <w:szCs w:val="24"/>
          <w:lang w:val="ro-RO"/>
        </w:rPr>
        <w:t>Planul național de acțiuni pentru implementarea Acordului de Asociere Republica Moldova - Uniunea Europeană</w:t>
      </w:r>
      <w:r w:rsidRPr="004D2FF7">
        <w:rPr>
          <w:rStyle w:val="FootnoteReference"/>
          <w:rFonts w:ascii="Times New Roman" w:hAnsi="Times New Roman" w:cs="Times New Roman"/>
          <w:sz w:val="24"/>
          <w:szCs w:val="24"/>
          <w:lang w:val="ro-RO"/>
        </w:rPr>
        <w:footnoteReference w:id="47"/>
      </w:r>
      <w:r w:rsidR="001F0AB1">
        <w:rPr>
          <w:rFonts w:ascii="Times New Roman" w:hAnsi="Times New Roman" w:cs="Times New Roman"/>
          <w:sz w:val="24"/>
          <w:szCs w:val="24"/>
          <w:lang w:val="ro-RO"/>
        </w:rPr>
        <w:t>,</w:t>
      </w:r>
      <w:r w:rsidRPr="004D2FF7">
        <w:rPr>
          <w:rFonts w:ascii="Times New Roman" w:hAnsi="Times New Roman" w:cs="Times New Roman"/>
          <w:sz w:val="24"/>
          <w:szCs w:val="24"/>
          <w:lang w:val="ro-RO"/>
        </w:rPr>
        <w:t xml:space="preserve"> și anume</w:t>
      </w:r>
      <w:r w:rsidR="00F80C93" w:rsidRPr="004D2FF7">
        <w:rPr>
          <w:rFonts w:ascii="Times New Roman" w:hAnsi="Times New Roman" w:cs="Times New Roman"/>
          <w:sz w:val="24"/>
          <w:szCs w:val="24"/>
          <w:lang w:val="ro-RO"/>
        </w:rPr>
        <w:t>:</w:t>
      </w:r>
      <w:r w:rsidRPr="004D2FF7">
        <w:rPr>
          <w:rFonts w:ascii="Times New Roman" w:hAnsi="Times New Roman" w:cs="Times New Roman"/>
          <w:sz w:val="24"/>
          <w:szCs w:val="24"/>
          <w:lang w:val="ro-RO"/>
        </w:rPr>
        <w:t xml:space="preserve"> </w:t>
      </w:r>
      <w:r w:rsidR="001F0AB1">
        <w:rPr>
          <w:rFonts w:ascii="Times New Roman" w:hAnsi="Times New Roman" w:cs="Times New Roman"/>
          <w:sz w:val="24"/>
          <w:szCs w:val="24"/>
          <w:lang w:val="ro-RO"/>
        </w:rPr>
        <w:t>p</w:t>
      </w:r>
      <w:r w:rsidRPr="004D2FF7">
        <w:rPr>
          <w:rFonts w:ascii="Times New Roman" w:hAnsi="Times New Roman" w:cs="Times New Roman"/>
          <w:sz w:val="24"/>
          <w:szCs w:val="24"/>
          <w:lang w:val="ro-RO"/>
        </w:rPr>
        <w:t xml:space="preserve">roiectul de lege privind regimul mijloacelor video, </w:t>
      </w:r>
      <w:r w:rsidR="001F0AB1">
        <w:rPr>
          <w:rFonts w:ascii="Times New Roman" w:eastAsia="Times New Roman" w:hAnsi="Times New Roman" w:cs="Times New Roman"/>
          <w:sz w:val="24"/>
          <w:szCs w:val="24"/>
          <w:lang w:val="ro-RO"/>
        </w:rPr>
        <w:t>p</w:t>
      </w:r>
      <w:r w:rsidRPr="004D2FF7">
        <w:rPr>
          <w:rFonts w:ascii="Times New Roman" w:eastAsia="Times New Roman" w:hAnsi="Times New Roman" w:cs="Times New Roman"/>
          <w:sz w:val="24"/>
          <w:szCs w:val="24"/>
          <w:lang w:val="ro-RO"/>
        </w:rPr>
        <w:t xml:space="preserve">roiectul de lege privind modificarea şi completarea </w:t>
      </w:r>
      <w:hyperlink r:id="rId17" w:history="1">
        <w:r w:rsidRPr="004D2FF7">
          <w:rPr>
            <w:rFonts w:ascii="Times New Roman" w:eastAsia="Times New Roman" w:hAnsi="Times New Roman" w:cs="Times New Roman"/>
            <w:sz w:val="24"/>
            <w:szCs w:val="24"/>
            <w:lang w:val="ro-RO"/>
          </w:rPr>
          <w:t>Legii nr.71 din 22 martie 2007</w:t>
        </w:r>
      </w:hyperlink>
      <w:r w:rsidRPr="004D2FF7">
        <w:rPr>
          <w:rFonts w:ascii="Times New Roman" w:eastAsia="Times New Roman" w:hAnsi="Times New Roman" w:cs="Times New Roman"/>
          <w:sz w:val="24"/>
          <w:szCs w:val="24"/>
          <w:lang w:val="ro-RO"/>
        </w:rPr>
        <w:t xml:space="preserve"> cu privire la registre și alte </w:t>
      </w:r>
      <w:r w:rsidR="003B02F9" w:rsidRPr="004D2FF7">
        <w:rPr>
          <w:rFonts w:ascii="Times New Roman" w:eastAsia="Times New Roman" w:hAnsi="Times New Roman" w:cs="Times New Roman"/>
          <w:sz w:val="24"/>
          <w:szCs w:val="24"/>
          <w:lang w:val="ro-RO"/>
        </w:rPr>
        <w:t>3</w:t>
      </w:r>
      <w:r w:rsidRPr="004D2FF7">
        <w:rPr>
          <w:rFonts w:ascii="Times New Roman" w:eastAsia="Times New Roman" w:hAnsi="Times New Roman" w:cs="Times New Roman"/>
          <w:sz w:val="24"/>
          <w:szCs w:val="24"/>
          <w:lang w:val="ro-RO"/>
        </w:rPr>
        <w:t xml:space="preserve"> legi</w:t>
      </w:r>
      <w:r w:rsidRPr="004D2FF7">
        <w:rPr>
          <w:rFonts w:ascii="Times New Roman" w:hAnsi="Times New Roman" w:cs="Times New Roman"/>
          <w:bCs/>
          <w:iCs/>
          <w:sz w:val="24"/>
          <w:szCs w:val="24"/>
        </w:rPr>
        <w:t xml:space="preserve">. </w:t>
      </w:r>
      <w:r w:rsidR="00CA05EB" w:rsidRPr="00CA05EB">
        <w:rPr>
          <w:rFonts w:ascii="Times New Roman" w:hAnsi="Times New Roman" w:cs="Times New Roman"/>
          <w:sz w:val="24"/>
          <w:szCs w:val="24"/>
        </w:rPr>
        <w:t>CNPDCP a comunicat că a elaborat și/sau a participat la elaborarea proiectelor de legi vizate, unele proiecte fiind transmise spre promovare autorităților de resort, însă echipa de audit atestă că acestea nu au fost adoptate/promovate.</w:t>
      </w:r>
    </w:p>
    <w:p w14:paraId="5DE8C6C3" w14:textId="1BEEADC6" w:rsidR="007070CA" w:rsidRPr="004D2FF7" w:rsidRDefault="007070CA" w:rsidP="003B1590">
      <w:pPr>
        <w:spacing w:after="120" w:line="276" w:lineRule="auto"/>
        <w:jc w:val="both"/>
        <w:rPr>
          <w:rFonts w:ascii="Times New Roman" w:hAnsi="Times New Roman" w:cs="Times New Roman"/>
          <w:sz w:val="24"/>
          <w:szCs w:val="24"/>
        </w:rPr>
      </w:pPr>
      <w:r w:rsidRPr="004D2FF7">
        <w:rPr>
          <w:rFonts w:ascii="Times New Roman" w:eastAsia="Times New Roman" w:hAnsi="Times New Roman" w:cs="Times New Roman"/>
          <w:sz w:val="24"/>
          <w:szCs w:val="24"/>
          <w:lang w:val="ro-RO"/>
        </w:rPr>
        <w:t>De asemenea</w:t>
      </w:r>
      <w:r w:rsidR="00FA0520">
        <w:rPr>
          <w:rFonts w:ascii="Times New Roman" w:eastAsia="Times New Roman" w:hAnsi="Times New Roman" w:cs="Times New Roman"/>
          <w:sz w:val="24"/>
          <w:szCs w:val="24"/>
          <w:lang w:val="ro-RO"/>
        </w:rPr>
        <w:t>,</w:t>
      </w:r>
      <w:r w:rsidRPr="004D2FF7">
        <w:rPr>
          <w:rFonts w:ascii="Times New Roman" w:eastAsia="Times New Roman" w:hAnsi="Times New Roman" w:cs="Times New Roman"/>
          <w:sz w:val="24"/>
          <w:szCs w:val="24"/>
          <w:lang w:val="ro-RO"/>
        </w:rPr>
        <w:t xml:space="preserve"> din cauza tergiversări</w:t>
      </w:r>
      <w:r w:rsidR="00FA0520">
        <w:rPr>
          <w:rFonts w:ascii="Times New Roman" w:eastAsia="Times New Roman" w:hAnsi="Times New Roman" w:cs="Times New Roman"/>
          <w:sz w:val="24"/>
          <w:szCs w:val="24"/>
          <w:lang w:val="ro-RO"/>
        </w:rPr>
        <w:t>i</w:t>
      </w:r>
      <w:r w:rsidR="00F674BD" w:rsidRPr="004D2FF7">
        <w:rPr>
          <w:rFonts w:ascii="Times New Roman" w:eastAsia="Times New Roman" w:hAnsi="Times New Roman" w:cs="Times New Roman"/>
          <w:sz w:val="24"/>
          <w:szCs w:val="24"/>
          <w:lang w:val="ro-RO"/>
        </w:rPr>
        <w:t xml:space="preserve"> adoptării acestor legi</w:t>
      </w:r>
      <w:r w:rsidR="00FA0520">
        <w:rPr>
          <w:rFonts w:ascii="Times New Roman" w:eastAsia="Times New Roman" w:hAnsi="Times New Roman" w:cs="Times New Roman"/>
          <w:sz w:val="24"/>
          <w:szCs w:val="24"/>
          <w:lang w:val="ro-RO"/>
        </w:rPr>
        <w:t>,</w:t>
      </w:r>
      <w:r w:rsidRPr="004D2FF7">
        <w:rPr>
          <w:rFonts w:ascii="Times New Roman" w:eastAsia="Times New Roman" w:hAnsi="Times New Roman" w:cs="Times New Roman"/>
          <w:sz w:val="24"/>
          <w:szCs w:val="24"/>
          <w:lang w:val="ro-RO"/>
        </w:rPr>
        <w:t xml:space="preserve"> nu pot fi promovate nici</w:t>
      </w:r>
      <w:r w:rsidR="009878AF" w:rsidRPr="004D2FF7">
        <w:rPr>
          <w:rFonts w:ascii="Times New Roman" w:eastAsia="Times New Roman" w:hAnsi="Times New Roman" w:cs="Times New Roman"/>
          <w:sz w:val="24"/>
          <w:szCs w:val="24"/>
          <w:lang w:val="ro-RO"/>
        </w:rPr>
        <w:t xml:space="preserve"> Instrucțiunile privind prelucrarea datelor cu caracter personal</w:t>
      </w:r>
      <w:r w:rsidR="00BA2AD5" w:rsidRPr="004D2FF7">
        <w:rPr>
          <w:rFonts w:ascii="Times New Roman" w:eastAsia="Times New Roman" w:hAnsi="Times New Roman" w:cs="Times New Roman"/>
          <w:sz w:val="24"/>
          <w:szCs w:val="24"/>
          <w:lang w:val="ro-RO"/>
        </w:rPr>
        <w:t xml:space="preserve"> </w:t>
      </w:r>
      <w:r w:rsidR="00BA2AD5" w:rsidRPr="004D2FF7">
        <w:rPr>
          <w:rFonts w:ascii="Times New Roman" w:hAnsi="Times New Roman" w:cs="Times New Roman"/>
          <w:bCs/>
          <w:iCs/>
          <w:sz w:val="24"/>
          <w:szCs w:val="24"/>
          <w:lang w:val="ro-RO"/>
        </w:rPr>
        <w:t>(linii directo</w:t>
      </w:r>
      <w:r w:rsidR="00FA0520">
        <w:rPr>
          <w:rFonts w:ascii="Times New Roman" w:hAnsi="Times New Roman" w:cs="Times New Roman"/>
          <w:bCs/>
          <w:iCs/>
          <w:sz w:val="24"/>
          <w:szCs w:val="24"/>
          <w:lang w:val="ro-RO"/>
        </w:rPr>
        <w:t>a</w:t>
      </w:r>
      <w:r w:rsidR="00BA2AD5" w:rsidRPr="004D2FF7">
        <w:rPr>
          <w:rFonts w:ascii="Times New Roman" w:hAnsi="Times New Roman" w:cs="Times New Roman"/>
          <w:bCs/>
          <w:iCs/>
          <w:sz w:val="24"/>
          <w:szCs w:val="24"/>
          <w:lang w:val="ro-RO"/>
        </w:rPr>
        <w:t>r</w:t>
      </w:r>
      <w:r w:rsidR="00FA0520">
        <w:rPr>
          <w:rFonts w:ascii="Times New Roman" w:hAnsi="Times New Roman" w:cs="Times New Roman"/>
          <w:bCs/>
          <w:iCs/>
          <w:sz w:val="24"/>
          <w:szCs w:val="24"/>
          <w:lang w:val="ro-RO"/>
        </w:rPr>
        <w:t>e</w:t>
      </w:r>
      <w:r w:rsidR="00BA2AD5" w:rsidRPr="004D2FF7">
        <w:rPr>
          <w:rFonts w:ascii="Times New Roman" w:hAnsi="Times New Roman" w:cs="Times New Roman"/>
          <w:bCs/>
          <w:iCs/>
          <w:sz w:val="24"/>
          <w:szCs w:val="24"/>
          <w:lang w:val="ro-RO"/>
        </w:rPr>
        <w:t xml:space="preserve">) </w:t>
      </w:r>
      <w:r w:rsidR="006A4554" w:rsidRPr="004D2FF7">
        <w:rPr>
          <w:rFonts w:ascii="Times New Roman" w:eastAsia="Times New Roman" w:hAnsi="Times New Roman" w:cs="Times New Roman"/>
          <w:sz w:val="24"/>
          <w:szCs w:val="24"/>
          <w:lang w:val="ro-RO"/>
        </w:rPr>
        <w:t>î</w:t>
      </w:r>
      <w:r w:rsidR="008E0E73" w:rsidRPr="004D2FF7">
        <w:rPr>
          <w:rFonts w:ascii="Times New Roman" w:eastAsia="Times New Roman" w:hAnsi="Times New Roman" w:cs="Times New Roman"/>
          <w:sz w:val="24"/>
          <w:szCs w:val="24"/>
          <w:lang w:val="ro-RO"/>
        </w:rPr>
        <w:t>n domeniul financiar, mass-media, electoral, supravegherea video, organelor de ocrotire a legii și comunicațiilor electronice</w:t>
      </w:r>
      <w:r w:rsidR="00F74042" w:rsidRPr="004D2FF7">
        <w:rPr>
          <w:rFonts w:ascii="Times New Roman" w:eastAsia="Times New Roman" w:hAnsi="Times New Roman" w:cs="Times New Roman"/>
          <w:sz w:val="24"/>
          <w:szCs w:val="24"/>
          <w:lang w:val="ro-RO"/>
        </w:rPr>
        <w:t>,</w:t>
      </w:r>
      <w:r w:rsidR="009E22BD" w:rsidRPr="004D2FF7">
        <w:rPr>
          <w:rFonts w:ascii="Times New Roman" w:eastAsia="Times New Roman" w:hAnsi="Times New Roman" w:cs="Times New Roman"/>
          <w:sz w:val="24"/>
          <w:szCs w:val="24"/>
          <w:lang w:val="ro-RO"/>
        </w:rPr>
        <w:t xml:space="preserve"> care urmau a fi</w:t>
      </w:r>
      <w:r w:rsidR="00F674BD" w:rsidRPr="004D2FF7">
        <w:rPr>
          <w:rFonts w:ascii="Times New Roman" w:hAnsi="Times New Roman" w:cs="Times New Roman"/>
          <w:bCs/>
          <w:iCs/>
          <w:sz w:val="24"/>
          <w:szCs w:val="24"/>
          <w:lang w:val="ro-RO"/>
        </w:rPr>
        <w:t xml:space="preserve"> elaborate </w:t>
      </w:r>
      <w:r w:rsidRPr="004D2FF7">
        <w:rPr>
          <w:rFonts w:ascii="Times New Roman" w:eastAsia="Times New Roman" w:hAnsi="Times New Roman" w:cs="Times New Roman"/>
          <w:sz w:val="24"/>
          <w:szCs w:val="24"/>
          <w:lang w:val="ro-RO"/>
        </w:rPr>
        <w:t xml:space="preserve">în corespundere cu </w:t>
      </w:r>
      <w:r w:rsidRPr="004D2FF7">
        <w:rPr>
          <w:rFonts w:ascii="Times New Roman" w:eastAsia="Times New Roman" w:hAnsi="Times New Roman" w:cs="Times New Roman"/>
          <w:bCs/>
          <w:sz w:val="24"/>
          <w:szCs w:val="24"/>
          <w:lang w:val="ro-RO"/>
        </w:rPr>
        <w:t>Directiva (UE) 2016/680 și</w:t>
      </w:r>
      <w:r w:rsidRPr="004D2FF7">
        <w:rPr>
          <w:rFonts w:ascii="Times New Roman" w:hAnsi="Times New Roman" w:cs="Times New Roman"/>
          <w:bCs/>
          <w:iCs/>
          <w:sz w:val="24"/>
          <w:szCs w:val="24"/>
          <w:lang w:val="ro-RO"/>
        </w:rPr>
        <w:t xml:space="preserve"> Regulamentul (UE) 2016/679 ale Parlamentului European și al</w:t>
      </w:r>
      <w:r w:rsidR="007E49D5">
        <w:rPr>
          <w:rFonts w:ascii="Times New Roman" w:hAnsi="Times New Roman" w:cs="Times New Roman"/>
          <w:bCs/>
          <w:iCs/>
          <w:sz w:val="24"/>
          <w:szCs w:val="24"/>
          <w:lang w:val="ro-RO"/>
        </w:rPr>
        <w:t>e</w:t>
      </w:r>
      <w:r w:rsidRPr="004D2FF7">
        <w:rPr>
          <w:rFonts w:ascii="Times New Roman" w:hAnsi="Times New Roman" w:cs="Times New Roman"/>
          <w:bCs/>
          <w:iCs/>
          <w:sz w:val="24"/>
          <w:szCs w:val="24"/>
          <w:lang w:val="ro-RO"/>
        </w:rPr>
        <w:t xml:space="preserve"> Consiliului din 27 aprilie 2016.</w:t>
      </w:r>
      <w:r w:rsidR="00AF3AC6" w:rsidRPr="004D2FF7">
        <w:rPr>
          <w:rFonts w:ascii="Times New Roman" w:hAnsi="Times New Roman" w:cs="Times New Roman"/>
          <w:bCs/>
          <w:iCs/>
          <w:sz w:val="24"/>
          <w:szCs w:val="24"/>
          <w:lang w:val="ro-RO"/>
        </w:rPr>
        <w:t xml:space="preserve"> </w:t>
      </w:r>
    </w:p>
    <w:p w14:paraId="461E1E5A" w14:textId="2E8D516F" w:rsidR="00550653" w:rsidRPr="004D2FF7" w:rsidRDefault="00CF34ED" w:rsidP="003B1590">
      <w:pPr>
        <w:spacing w:after="120" w:line="276" w:lineRule="auto"/>
        <w:jc w:val="both"/>
        <w:rPr>
          <w:rStyle w:val="Bodytext285pt"/>
          <w:rFonts w:ascii="Times New Roman" w:hAnsi="Times New Roman" w:cs="Times New Roman"/>
          <w:sz w:val="24"/>
          <w:szCs w:val="24"/>
          <w:lang w:val="ro-RO"/>
        </w:rPr>
      </w:pPr>
      <w:r w:rsidRPr="004D2FF7">
        <w:rPr>
          <w:rFonts w:ascii="Times New Roman" w:hAnsi="Times New Roman" w:cs="Times New Roman"/>
          <w:sz w:val="24"/>
          <w:szCs w:val="24"/>
          <w:lang w:val="ro-RO"/>
        </w:rPr>
        <w:lastRenderedPageBreak/>
        <w:t>S</w:t>
      </w:r>
      <w:r w:rsidRPr="004D2FF7">
        <w:rPr>
          <w:rFonts w:ascii="Times New Roman" w:hAnsi="Times New Roman" w:cs="Times New Roman"/>
          <w:sz w:val="24"/>
          <w:szCs w:val="24"/>
        </w:rPr>
        <w:t>-a constatat că</w:t>
      </w:r>
      <w:r w:rsidR="008F5D46" w:rsidRPr="004D2FF7">
        <w:rPr>
          <w:rFonts w:ascii="Times New Roman" w:hAnsi="Times New Roman" w:cs="Times New Roman"/>
          <w:sz w:val="24"/>
          <w:szCs w:val="24"/>
        </w:rPr>
        <w:t xml:space="preserve"> </w:t>
      </w:r>
      <w:r w:rsidRPr="004D2FF7">
        <w:rPr>
          <w:rFonts w:ascii="Times New Roman" w:hAnsi="Times New Roman" w:cs="Times New Roman"/>
          <w:sz w:val="24"/>
          <w:szCs w:val="24"/>
        </w:rPr>
        <w:t>CNPDCP activează</w:t>
      </w:r>
      <w:r w:rsidR="00306E7B" w:rsidRPr="004D2FF7">
        <w:rPr>
          <w:rFonts w:ascii="Times New Roman" w:hAnsi="Times New Roman" w:cs="Times New Roman"/>
          <w:sz w:val="24"/>
          <w:szCs w:val="24"/>
        </w:rPr>
        <w:t xml:space="preserve"> timp de 5 ani</w:t>
      </w:r>
      <w:r w:rsidRPr="004D2FF7">
        <w:rPr>
          <w:rFonts w:ascii="Times New Roman" w:hAnsi="Times New Roman" w:cs="Times New Roman"/>
          <w:sz w:val="24"/>
          <w:szCs w:val="24"/>
        </w:rPr>
        <w:t xml:space="preserve"> în li</w:t>
      </w:r>
      <w:r w:rsidR="00EF2A58" w:rsidRPr="004D2FF7">
        <w:rPr>
          <w:rFonts w:ascii="Times New Roman" w:hAnsi="Times New Roman" w:cs="Times New Roman"/>
          <w:sz w:val="24"/>
          <w:szCs w:val="24"/>
        </w:rPr>
        <w:t>p</w:t>
      </w:r>
      <w:r w:rsidRPr="004D2FF7">
        <w:rPr>
          <w:rFonts w:ascii="Times New Roman" w:hAnsi="Times New Roman" w:cs="Times New Roman"/>
          <w:sz w:val="24"/>
          <w:szCs w:val="24"/>
        </w:rPr>
        <w:t>sa unei Strategii în domeniul protecției datelor cu caracter personal</w:t>
      </w:r>
      <w:r w:rsidR="005C4548" w:rsidRPr="004D2FF7">
        <w:rPr>
          <w:rFonts w:ascii="Times New Roman" w:hAnsi="Times New Roman" w:cs="Times New Roman"/>
          <w:sz w:val="24"/>
          <w:szCs w:val="24"/>
        </w:rPr>
        <w:t>,</w:t>
      </w:r>
      <w:r w:rsidR="00F87614" w:rsidRPr="004D2FF7">
        <w:rPr>
          <w:rFonts w:ascii="Times New Roman" w:hAnsi="Times New Roman" w:cs="Times New Roman"/>
          <w:sz w:val="24"/>
          <w:szCs w:val="24"/>
        </w:rPr>
        <w:t xml:space="preserve"> care ar</w:t>
      </w:r>
      <w:r w:rsidR="005C4548" w:rsidRPr="004D2FF7">
        <w:rPr>
          <w:rFonts w:ascii="Times New Roman" w:hAnsi="Times New Roman" w:cs="Times New Roman"/>
          <w:sz w:val="24"/>
          <w:szCs w:val="24"/>
        </w:rPr>
        <w:t xml:space="preserve"> asigura</w:t>
      </w:r>
      <w:r w:rsidR="00F87614" w:rsidRPr="004D2FF7">
        <w:rPr>
          <w:rFonts w:ascii="Times New Roman" w:hAnsi="Times New Roman" w:cs="Times New Roman"/>
          <w:sz w:val="24"/>
          <w:szCs w:val="24"/>
        </w:rPr>
        <w:t xml:space="preserve"> </w:t>
      </w:r>
      <w:r w:rsidR="00F87614" w:rsidRPr="004D2FF7">
        <w:rPr>
          <w:rFonts w:ascii="Times New Roman" w:eastAsia="Times New Roman" w:hAnsi="Times New Roman" w:cs="Times New Roman"/>
          <w:sz w:val="24"/>
          <w:szCs w:val="24"/>
        </w:rPr>
        <w:t>consolida</w:t>
      </w:r>
      <w:r w:rsidR="005C4548" w:rsidRPr="004D2FF7">
        <w:rPr>
          <w:rFonts w:ascii="Times New Roman" w:eastAsia="Times New Roman" w:hAnsi="Times New Roman" w:cs="Times New Roman"/>
          <w:sz w:val="24"/>
          <w:szCs w:val="24"/>
        </w:rPr>
        <w:t>rea</w:t>
      </w:r>
      <w:r w:rsidR="00F87614" w:rsidRPr="004D2FF7">
        <w:rPr>
          <w:rFonts w:ascii="Times New Roman" w:eastAsia="Times New Roman" w:hAnsi="Times New Roman" w:cs="Times New Roman"/>
          <w:sz w:val="24"/>
          <w:szCs w:val="24"/>
        </w:rPr>
        <w:t xml:space="preserve"> cadr</w:t>
      </w:r>
      <w:r w:rsidR="005C4548" w:rsidRPr="004D2FF7">
        <w:rPr>
          <w:rFonts w:ascii="Times New Roman" w:eastAsia="Times New Roman" w:hAnsi="Times New Roman" w:cs="Times New Roman"/>
          <w:sz w:val="24"/>
          <w:szCs w:val="24"/>
        </w:rPr>
        <w:t>ului</w:t>
      </w:r>
      <w:r w:rsidR="00F87614" w:rsidRPr="004D2FF7">
        <w:rPr>
          <w:rFonts w:ascii="Times New Roman" w:eastAsia="Times New Roman" w:hAnsi="Times New Roman" w:cs="Times New Roman"/>
          <w:sz w:val="24"/>
          <w:szCs w:val="24"/>
        </w:rPr>
        <w:t xml:space="preserve"> juridic, </w:t>
      </w:r>
      <w:r w:rsidR="005C4548" w:rsidRPr="004D2FF7">
        <w:rPr>
          <w:rFonts w:ascii="Times New Roman" w:eastAsia="Times New Roman" w:hAnsi="Times New Roman" w:cs="Times New Roman"/>
          <w:sz w:val="24"/>
          <w:szCs w:val="24"/>
        </w:rPr>
        <w:t>instituțional</w:t>
      </w:r>
      <w:r w:rsidRPr="004D2FF7">
        <w:rPr>
          <w:rFonts w:ascii="Times New Roman" w:hAnsi="Times New Roman" w:cs="Times New Roman"/>
          <w:sz w:val="24"/>
          <w:szCs w:val="24"/>
        </w:rPr>
        <w:t xml:space="preserve"> </w:t>
      </w:r>
      <w:r w:rsidR="005C4548" w:rsidRPr="004D2FF7">
        <w:rPr>
          <w:rFonts w:ascii="Times New Roman" w:hAnsi="Times New Roman" w:cs="Times New Roman"/>
          <w:sz w:val="24"/>
          <w:szCs w:val="24"/>
        </w:rPr>
        <w:t xml:space="preserve">și </w:t>
      </w:r>
      <w:r w:rsidR="005C4548" w:rsidRPr="004D2FF7">
        <w:rPr>
          <w:rFonts w:ascii="Times New Roman" w:hAnsi="Times New Roman" w:cs="Times New Roman"/>
          <w:color w:val="00000A"/>
          <w:sz w:val="24"/>
          <w:szCs w:val="24"/>
        </w:rPr>
        <w:t xml:space="preserve">social adecvat în scopul </w:t>
      </w:r>
      <w:r w:rsidR="005C4548" w:rsidRPr="004D2FF7">
        <w:rPr>
          <w:rFonts w:ascii="Times New Roman" w:hAnsi="Times New Roman" w:cs="Times New Roman"/>
          <w:color w:val="000000"/>
          <w:sz w:val="24"/>
          <w:szCs w:val="24"/>
        </w:rPr>
        <w:t xml:space="preserve">asigurării </w:t>
      </w:r>
      <w:r w:rsidR="005C4548" w:rsidRPr="004D2FF7">
        <w:rPr>
          <w:rFonts w:ascii="Times New Roman" w:hAnsi="Times New Roman" w:cs="Times New Roman"/>
          <w:color w:val="00000A"/>
          <w:sz w:val="24"/>
          <w:szCs w:val="24"/>
        </w:rPr>
        <w:t>protecției drepturilor şi libertăților fundamentale ale persoanei fizice în ceea ce privește prelucrarea datelor cu caracter personal, în special a dreptului la inviolabilitatea vieții intime, familiale şi private</w:t>
      </w:r>
      <w:r w:rsidR="005C4548" w:rsidRPr="004D2FF7">
        <w:rPr>
          <w:rFonts w:ascii="Times New Roman" w:hAnsi="Times New Roman" w:cs="Times New Roman"/>
          <w:color w:val="000000"/>
          <w:sz w:val="24"/>
          <w:szCs w:val="24"/>
        </w:rPr>
        <w:t>, consfințit</w:t>
      </w:r>
      <w:r w:rsidR="00F80C93" w:rsidRPr="004D2FF7">
        <w:rPr>
          <w:rFonts w:ascii="Times New Roman" w:hAnsi="Times New Roman" w:cs="Times New Roman"/>
          <w:color w:val="000000"/>
          <w:sz w:val="24"/>
          <w:szCs w:val="24"/>
        </w:rPr>
        <w:t>e</w:t>
      </w:r>
      <w:r w:rsidR="005C4548" w:rsidRPr="004D2FF7">
        <w:rPr>
          <w:rFonts w:ascii="Times New Roman" w:hAnsi="Times New Roman" w:cs="Times New Roman"/>
          <w:color w:val="000000"/>
          <w:sz w:val="24"/>
          <w:szCs w:val="24"/>
        </w:rPr>
        <w:t xml:space="preserve"> în Constituția Republicii Moldova</w:t>
      </w:r>
      <w:r w:rsidR="005C4548" w:rsidRPr="004D2FF7">
        <w:rPr>
          <w:rStyle w:val="FootnoteReference"/>
          <w:rFonts w:ascii="Times New Roman" w:hAnsi="Times New Roman" w:cs="Times New Roman"/>
          <w:color w:val="000000"/>
          <w:sz w:val="24"/>
          <w:szCs w:val="24"/>
        </w:rPr>
        <w:footnoteReference w:id="48"/>
      </w:r>
      <w:r w:rsidR="005C4548" w:rsidRPr="004D2FF7">
        <w:rPr>
          <w:rFonts w:ascii="Times New Roman" w:hAnsi="Times New Roman" w:cs="Times New Roman"/>
          <w:color w:val="000000"/>
          <w:sz w:val="24"/>
          <w:szCs w:val="24"/>
        </w:rPr>
        <w:t xml:space="preserve">. </w:t>
      </w:r>
      <w:r w:rsidR="00DB77EA" w:rsidRPr="004D2FF7">
        <w:rPr>
          <w:rFonts w:ascii="Times New Roman" w:hAnsi="Times New Roman" w:cs="Times New Roman"/>
          <w:sz w:val="24"/>
          <w:szCs w:val="24"/>
          <w:lang w:val="ro-RO"/>
        </w:rPr>
        <w:t xml:space="preserve">Strategia </w:t>
      </w:r>
      <w:r w:rsidRPr="004D2FF7">
        <w:rPr>
          <w:rFonts w:ascii="Times New Roman" w:eastAsia="Times New Roman" w:hAnsi="Times New Roman" w:cs="Times New Roman"/>
          <w:bCs/>
          <w:sz w:val="24"/>
          <w:szCs w:val="24"/>
          <w:lang w:val="ro-RO"/>
        </w:rPr>
        <w:t xml:space="preserve">națională în </w:t>
      </w:r>
      <w:r w:rsidR="00DB77EA" w:rsidRPr="004D2FF7">
        <w:rPr>
          <w:rFonts w:ascii="Times New Roman" w:hAnsi="Times New Roman" w:cs="Times New Roman"/>
          <w:sz w:val="24"/>
          <w:szCs w:val="24"/>
          <w:lang w:val="ro-RO"/>
        </w:rPr>
        <w:t>domeniu</w:t>
      </w:r>
      <w:r w:rsidR="00E35632">
        <w:rPr>
          <w:rFonts w:ascii="Times New Roman" w:hAnsi="Times New Roman" w:cs="Times New Roman"/>
          <w:sz w:val="24"/>
          <w:szCs w:val="24"/>
          <w:lang w:val="ro-RO"/>
        </w:rPr>
        <w:t>l</w:t>
      </w:r>
      <w:r w:rsidR="00DB77EA" w:rsidRPr="004D2FF7">
        <w:rPr>
          <w:rFonts w:ascii="Times New Roman" w:hAnsi="Times New Roman" w:cs="Times New Roman"/>
          <w:sz w:val="24"/>
          <w:szCs w:val="24"/>
          <w:lang w:val="ro-RO"/>
        </w:rPr>
        <w:t xml:space="preserve"> protecției datelor cu caracter personal</w:t>
      </w:r>
      <w:r w:rsidRPr="004D2FF7">
        <w:rPr>
          <w:rFonts w:ascii="Times New Roman" w:eastAsia="Times New Roman" w:hAnsi="Times New Roman" w:cs="Times New Roman"/>
          <w:bCs/>
          <w:sz w:val="24"/>
          <w:szCs w:val="24"/>
          <w:lang w:val="ro-RO"/>
        </w:rPr>
        <w:t xml:space="preserve"> pentru anii 2013-2018 şi Planul de acțiuni privind implementarea acesteia</w:t>
      </w:r>
      <w:r w:rsidRPr="004D2FF7">
        <w:rPr>
          <w:rStyle w:val="FootnoteReference"/>
          <w:rFonts w:ascii="Times New Roman" w:eastAsia="Times New Roman" w:hAnsi="Times New Roman" w:cs="Times New Roman"/>
          <w:bCs/>
          <w:sz w:val="24"/>
          <w:szCs w:val="24"/>
          <w:lang w:val="ro-RO"/>
        </w:rPr>
        <w:footnoteReference w:id="49"/>
      </w:r>
      <w:r w:rsidR="00DB77EA" w:rsidRPr="004D2FF7">
        <w:rPr>
          <w:rFonts w:ascii="Times New Roman" w:hAnsi="Times New Roman" w:cs="Times New Roman"/>
          <w:sz w:val="24"/>
          <w:szCs w:val="24"/>
          <w:lang w:val="ro-RO"/>
        </w:rPr>
        <w:t xml:space="preserve"> a</w:t>
      </w:r>
      <w:r w:rsidRPr="004D2FF7">
        <w:rPr>
          <w:rFonts w:ascii="Times New Roman" w:hAnsi="Times New Roman" w:cs="Times New Roman"/>
          <w:sz w:val="24"/>
          <w:szCs w:val="24"/>
          <w:lang w:val="ro-RO"/>
        </w:rPr>
        <w:t>u</w:t>
      </w:r>
      <w:r w:rsidR="00DB77EA" w:rsidRPr="004D2FF7">
        <w:rPr>
          <w:rFonts w:ascii="Times New Roman" w:hAnsi="Times New Roman" w:cs="Times New Roman"/>
          <w:sz w:val="24"/>
          <w:szCs w:val="24"/>
          <w:lang w:val="ro-RO"/>
        </w:rPr>
        <w:t xml:space="preserve"> expirat în anul 2018</w:t>
      </w:r>
      <w:r w:rsidRPr="004D2FF7">
        <w:rPr>
          <w:rFonts w:ascii="Times New Roman" w:hAnsi="Times New Roman" w:cs="Times New Roman"/>
          <w:sz w:val="24"/>
          <w:szCs w:val="24"/>
          <w:lang w:val="ro-RO"/>
        </w:rPr>
        <w:t>.</w:t>
      </w:r>
      <w:r w:rsidR="00394952" w:rsidRPr="004D2FF7">
        <w:rPr>
          <w:rFonts w:ascii="Times New Roman" w:hAnsi="Times New Roman" w:cs="Times New Roman"/>
          <w:sz w:val="24"/>
          <w:szCs w:val="24"/>
          <w:lang w:val="ro-RO"/>
        </w:rPr>
        <w:t xml:space="preserve"> Strategia urmează a fi promovat</w:t>
      </w:r>
      <w:r w:rsidR="00E35632">
        <w:rPr>
          <w:rFonts w:ascii="Times New Roman" w:hAnsi="Times New Roman" w:cs="Times New Roman"/>
          <w:sz w:val="24"/>
          <w:szCs w:val="24"/>
          <w:lang w:val="ro-RO"/>
        </w:rPr>
        <w:t>ă</w:t>
      </w:r>
      <w:r w:rsidR="00394952" w:rsidRPr="004D2FF7">
        <w:rPr>
          <w:rFonts w:ascii="Times New Roman" w:hAnsi="Times New Roman" w:cs="Times New Roman"/>
          <w:sz w:val="24"/>
          <w:szCs w:val="24"/>
          <w:lang w:val="ro-RO"/>
        </w:rPr>
        <w:t xml:space="preserve"> odată cu adoptarea proiectelor de legi menționate.</w:t>
      </w:r>
    </w:p>
    <w:p w14:paraId="0C7F31AC" w14:textId="3BD90E32" w:rsidR="00A14D6A" w:rsidRPr="004D2FF7" w:rsidRDefault="00DF6D75" w:rsidP="003B1590">
      <w:pPr>
        <w:spacing w:after="120" w:line="276" w:lineRule="auto"/>
        <w:jc w:val="both"/>
        <w:rPr>
          <w:rFonts w:ascii="Times New Roman" w:hAnsi="Times New Roman" w:cs="Times New Roman"/>
          <w:sz w:val="24"/>
          <w:szCs w:val="24"/>
          <w:lang w:val="ro-RO"/>
        </w:rPr>
      </w:pPr>
      <w:r w:rsidRPr="004D2FF7">
        <w:rPr>
          <w:rStyle w:val="Bodytext285pt"/>
          <w:rFonts w:ascii="Times New Roman" w:hAnsi="Times New Roman" w:cs="Times New Roman"/>
          <w:sz w:val="24"/>
          <w:szCs w:val="24"/>
          <w:lang w:val="ro-RO"/>
        </w:rPr>
        <w:t xml:space="preserve">În </w:t>
      </w:r>
      <w:r w:rsidRPr="004D2FF7">
        <w:rPr>
          <w:rFonts w:ascii="Times New Roman" w:hAnsi="Times New Roman" w:cs="Times New Roman"/>
          <w:sz w:val="24"/>
          <w:szCs w:val="24"/>
          <w:lang w:val="ro-RO"/>
        </w:rPr>
        <w:t>perioada de referinț</w:t>
      </w:r>
      <w:r w:rsidR="00E35632">
        <w:rPr>
          <w:rFonts w:ascii="Times New Roman" w:hAnsi="Times New Roman" w:cs="Times New Roman"/>
          <w:sz w:val="24"/>
          <w:szCs w:val="24"/>
          <w:lang w:val="ro-RO"/>
        </w:rPr>
        <w:t>ă</w:t>
      </w:r>
      <w:r w:rsidRPr="004D2FF7">
        <w:rPr>
          <w:rFonts w:ascii="Times New Roman" w:hAnsi="Times New Roman" w:cs="Times New Roman"/>
          <w:sz w:val="24"/>
          <w:szCs w:val="24"/>
          <w:lang w:val="ro-RO"/>
        </w:rPr>
        <w:t xml:space="preserve"> a fost adoptat</w:t>
      </w:r>
      <w:r w:rsidR="00E35632">
        <w:rPr>
          <w:rFonts w:ascii="Times New Roman" w:hAnsi="Times New Roman" w:cs="Times New Roman"/>
          <w:sz w:val="24"/>
          <w:szCs w:val="24"/>
          <w:lang w:val="ro-RO"/>
        </w:rPr>
        <w:t>ă</w:t>
      </w:r>
      <w:hyperlink r:id="rId18" w:history="1">
        <w:r w:rsidRPr="004D2FF7">
          <w:rPr>
            <w:rFonts w:ascii="Times New Roman" w:hAnsi="Times New Roman" w:cs="Times New Roman"/>
            <w:sz w:val="24"/>
            <w:szCs w:val="24"/>
            <w:lang w:val="ro-RO"/>
          </w:rPr>
          <w:t xml:space="preserve"> Legea</w:t>
        </w:r>
        <w:r w:rsidRPr="004D2FF7">
          <w:rPr>
            <w:rFonts w:ascii="Times New Roman" w:hAnsi="Times New Roman" w:cs="Times New Roman"/>
            <w:sz w:val="24"/>
            <w:szCs w:val="24"/>
          </w:rPr>
          <w:t xml:space="preserve"> </w:t>
        </w:r>
        <w:r w:rsidRPr="004D2FF7">
          <w:rPr>
            <w:rFonts w:ascii="Times New Roman" w:hAnsi="Times New Roman" w:cs="Times New Roman"/>
            <w:sz w:val="24"/>
            <w:szCs w:val="24"/>
            <w:lang w:val="ro-RO"/>
          </w:rPr>
          <w:t>nr.175 din 11.11.2021</w:t>
        </w:r>
        <w:r w:rsidR="00B60DBE" w:rsidRPr="004D2FF7">
          <w:rPr>
            <w:rStyle w:val="FootnoteReference"/>
            <w:rFonts w:ascii="Times New Roman" w:hAnsi="Times New Roman" w:cs="Times New Roman"/>
            <w:sz w:val="24"/>
            <w:szCs w:val="24"/>
            <w:lang w:val="ro-RO"/>
          </w:rPr>
          <w:footnoteReference w:id="50"/>
        </w:r>
        <w:r w:rsidRPr="004D2FF7">
          <w:rPr>
            <w:rFonts w:ascii="Times New Roman" w:eastAsia="Times New Roman" w:hAnsi="Times New Roman" w:cs="Times New Roman"/>
            <w:bCs/>
            <w:sz w:val="24"/>
            <w:szCs w:val="24"/>
          </w:rPr>
          <w:t xml:space="preserve"> prin care </w:t>
        </w:r>
      </w:hyperlink>
      <w:r w:rsidRPr="004D2FF7">
        <w:rPr>
          <w:rFonts w:ascii="Times New Roman" w:hAnsi="Times New Roman" w:cs="Times New Roman"/>
          <w:sz w:val="24"/>
          <w:szCs w:val="24"/>
          <w:lang w:val="ro-RO"/>
        </w:rPr>
        <w:t xml:space="preserve">a fost modificată Legea </w:t>
      </w:r>
      <w:r w:rsidRPr="004D2FF7">
        <w:rPr>
          <w:rFonts w:ascii="Times New Roman" w:hAnsi="Times New Roman" w:cs="Times New Roman"/>
          <w:bCs/>
          <w:sz w:val="24"/>
          <w:szCs w:val="24"/>
          <w:lang w:val="ro-RO"/>
        </w:rPr>
        <w:t xml:space="preserve">nr.133 din 08.07.2011 </w:t>
      </w:r>
      <w:r w:rsidRPr="004D2FF7">
        <w:rPr>
          <w:rFonts w:ascii="Times New Roman" w:hAnsi="Times New Roman" w:cs="Times New Roman"/>
          <w:sz w:val="24"/>
          <w:szCs w:val="24"/>
          <w:lang w:val="ro-RO"/>
        </w:rPr>
        <w:t>privind protecția datelor cu caracter personal</w:t>
      </w:r>
      <w:r w:rsidR="00023EFD" w:rsidRPr="004D2FF7">
        <w:rPr>
          <w:rFonts w:ascii="Times New Roman" w:hAnsi="Times New Roman" w:cs="Times New Roman"/>
          <w:sz w:val="24"/>
          <w:szCs w:val="24"/>
          <w:lang w:val="ro-RO"/>
        </w:rPr>
        <w:t>,</w:t>
      </w:r>
      <w:r w:rsidRPr="004D2FF7">
        <w:rPr>
          <w:rFonts w:ascii="Times New Roman" w:hAnsi="Times New Roman" w:cs="Times New Roman"/>
          <w:sz w:val="24"/>
          <w:szCs w:val="24"/>
          <w:lang w:val="ro-RO"/>
        </w:rPr>
        <w:t xml:space="preserve"> care </w:t>
      </w:r>
      <w:r w:rsidR="00A14D6A" w:rsidRPr="004D2FF7">
        <w:rPr>
          <w:rFonts w:ascii="Times New Roman" w:hAnsi="Times New Roman" w:cs="Times New Roman"/>
          <w:sz w:val="24"/>
          <w:szCs w:val="24"/>
          <w:lang w:val="ro-RO"/>
        </w:rPr>
        <w:t>a vizat</w:t>
      </w:r>
      <w:r w:rsidR="00CB1DD0" w:rsidRPr="004D2FF7">
        <w:rPr>
          <w:rFonts w:ascii="Times New Roman" w:hAnsi="Times New Roman" w:cs="Times New Roman"/>
          <w:sz w:val="24"/>
          <w:szCs w:val="24"/>
          <w:lang w:val="ro-RO"/>
        </w:rPr>
        <w:t xml:space="preserve"> lichidarea </w:t>
      </w:r>
      <w:r w:rsidR="00CB1DD0" w:rsidRPr="004D2FF7">
        <w:rPr>
          <w:rFonts w:ascii="Times New Roman" w:hAnsi="Times New Roman" w:cs="Times New Roman"/>
          <w:sz w:val="24"/>
          <w:szCs w:val="24"/>
        </w:rPr>
        <w:t>„</w:t>
      </w:r>
      <w:r w:rsidR="00CB1DD0" w:rsidRPr="004D2FF7">
        <w:rPr>
          <w:rFonts w:ascii="Times New Roman" w:hAnsi="Times New Roman" w:cs="Times New Roman"/>
          <w:color w:val="000000"/>
          <w:sz w:val="24"/>
          <w:szCs w:val="24"/>
          <w:lang w:val="ro-RO"/>
        </w:rPr>
        <w:t>Registrului de eviden</w:t>
      </w:r>
      <w:r w:rsidR="00E35632">
        <w:rPr>
          <w:rFonts w:ascii="Times New Roman" w:hAnsi="Times New Roman" w:cs="Times New Roman"/>
          <w:color w:val="000000"/>
          <w:sz w:val="24"/>
          <w:szCs w:val="24"/>
          <w:lang w:val="ro-RO"/>
        </w:rPr>
        <w:t>ț</w:t>
      </w:r>
      <w:r w:rsidR="00CB1DD0" w:rsidRPr="004D2FF7">
        <w:rPr>
          <w:rFonts w:ascii="Times New Roman" w:hAnsi="Times New Roman" w:cs="Times New Roman"/>
          <w:color w:val="000000"/>
          <w:sz w:val="24"/>
          <w:szCs w:val="24"/>
          <w:lang w:val="ro-RO"/>
        </w:rPr>
        <w:t>ă al operatorilor de date cu caracter personal”;</w:t>
      </w:r>
      <w:r w:rsidR="00A14D6A" w:rsidRPr="004D2FF7">
        <w:rPr>
          <w:rFonts w:ascii="Times New Roman" w:hAnsi="Times New Roman" w:cs="Times New Roman"/>
          <w:sz w:val="24"/>
          <w:szCs w:val="24"/>
          <w:lang w:val="ro-RO"/>
        </w:rPr>
        <w:t xml:space="preserve"> excluderea procedurii de notificare, în calitate de operator de date cu caracter personal</w:t>
      </w:r>
      <w:r w:rsidR="00CB1DD0" w:rsidRPr="004D2FF7">
        <w:rPr>
          <w:rFonts w:ascii="Times New Roman" w:hAnsi="Times New Roman" w:cs="Times New Roman"/>
          <w:sz w:val="24"/>
          <w:szCs w:val="24"/>
          <w:lang w:val="ro-RO"/>
        </w:rPr>
        <w:t xml:space="preserve">; </w:t>
      </w:r>
      <w:r w:rsidR="00A14D6A" w:rsidRPr="004D2FF7">
        <w:rPr>
          <w:rFonts w:ascii="Times New Roman" w:hAnsi="Times New Roman" w:cs="Times New Roman"/>
          <w:sz w:val="24"/>
          <w:szCs w:val="24"/>
          <w:lang w:val="ro-RO"/>
        </w:rPr>
        <w:t>extin</w:t>
      </w:r>
      <w:r w:rsidR="00E35632">
        <w:rPr>
          <w:rFonts w:ascii="Times New Roman" w:hAnsi="Times New Roman" w:cs="Times New Roman"/>
          <w:sz w:val="24"/>
          <w:szCs w:val="24"/>
          <w:lang w:val="ro-RO"/>
        </w:rPr>
        <w:t>derea</w:t>
      </w:r>
      <w:r w:rsidR="00A14D6A" w:rsidRPr="004D2FF7">
        <w:rPr>
          <w:rFonts w:ascii="Times New Roman" w:hAnsi="Times New Roman" w:cs="Times New Roman"/>
          <w:sz w:val="24"/>
          <w:szCs w:val="24"/>
          <w:lang w:val="ro-RO"/>
        </w:rPr>
        <w:t xml:space="preserve"> formel</w:t>
      </w:r>
      <w:r w:rsidR="00E35632">
        <w:rPr>
          <w:rFonts w:ascii="Times New Roman" w:hAnsi="Times New Roman" w:cs="Times New Roman"/>
          <w:sz w:val="24"/>
          <w:szCs w:val="24"/>
          <w:lang w:val="ro-RO"/>
        </w:rPr>
        <w:t>or</w:t>
      </w:r>
      <w:r w:rsidR="00A14D6A" w:rsidRPr="004D2FF7">
        <w:rPr>
          <w:rFonts w:ascii="Times New Roman" w:hAnsi="Times New Roman" w:cs="Times New Roman"/>
          <w:sz w:val="24"/>
          <w:szCs w:val="24"/>
          <w:lang w:val="ro-RO"/>
        </w:rPr>
        <w:t xml:space="preserve"> legale de exprimare a consimțământului cetățeanului </w:t>
      </w:r>
      <w:r w:rsidRPr="004D2FF7">
        <w:rPr>
          <w:rFonts w:ascii="Times New Roman" w:hAnsi="Times New Roman" w:cs="Times New Roman"/>
          <w:sz w:val="24"/>
          <w:szCs w:val="24"/>
          <w:lang w:val="ro-RO"/>
        </w:rPr>
        <w:t>la procesarea datelor personale</w:t>
      </w:r>
      <w:r w:rsidR="008F4888">
        <w:rPr>
          <w:rFonts w:ascii="Times New Roman" w:hAnsi="Times New Roman" w:cs="Times New Roman"/>
          <w:sz w:val="24"/>
          <w:szCs w:val="24"/>
          <w:lang w:val="ro-RO"/>
        </w:rPr>
        <w:t xml:space="preserve">. </w:t>
      </w:r>
    </w:p>
    <w:p w14:paraId="06A15833" w14:textId="22351137" w:rsidR="00151A8C" w:rsidRPr="004D2FF7" w:rsidRDefault="00E41B8A" w:rsidP="003B1590">
      <w:pPr>
        <w:spacing w:after="0" w:line="276" w:lineRule="auto"/>
        <w:jc w:val="both"/>
        <w:rPr>
          <w:rFonts w:ascii="Times New Roman" w:hAnsi="Times New Roman" w:cs="Times New Roman"/>
          <w:color w:val="333333"/>
          <w:sz w:val="24"/>
          <w:szCs w:val="24"/>
          <w:shd w:val="clear" w:color="auto" w:fill="FFFFFF"/>
          <w:lang w:val="ro-RO"/>
        </w:rPr>
      </w:pPr>
      <w:r w:rsidRPr="004D2FF7">
        <w:rPr>
          <w:rFonts w:ascii="Times New Roman" w:hAnsi="Times New Roman" w:cs="Times New Roman"/>
          <w:sz w:val="24"/>
          <w:szCs w:val="24"/>
        </w:rPr>
        <w:t xml:space="preserve">Deși </w:t>
      </w:r>
      <w:r w:rsidR="00AC6888" w:rsidRPr="004D2FF7">
        <w:rPr>
          <w:rFonts w:ascii="Times New Roman" w:hAnsi="Times New Roman" w:cs="Times New Roman"/>
          <w:sz w:val="24"/>
          <w:szCs w:val="24"/>
        </w:rPr>
        <w:t>CNPDCP în explicațiile sale menționează „</w:t>
      </w:r>
      <w:r w:rsidR="00AC6888" w:rsidRPr="004D2FF7">
        <w:rPr>
          <w:rFonts w:ascii="Times New Roman" w:hAnsi="Times New Roman" w:cs="Times New Roman"/>
          <w:sz w:val="24"/>
          <w:szCs w:val="24"/>
          <w:lang w:val="ro-RO"/>
        </w:rPr>
        <w:t>faptul că în legislația națională nu au fost transpuse actele europene planificate, nu înseamnă că legislația națională care reglementează domeniul protecției datelor cu caracter personal și care pe parcurs a fost ajustată,</w:t>
      </w:r>
      <w:r w:rsidR="00AC6888" w:rsidRPr="004D2FF7">
        <w:rPr>
          <w:rFonts w:ascii="Times New Roman" w:hAnsi="Times New Roman" w:cs="Times New Roman"/>
          <w:sz w:val="24"/>
          <w:szCs w:val="24"/>
          <w:lang w:val="en-US"/>
        </w:rPr>
        <w:t xml:space="preserve"> </w:t>
      </w:r>
      <w:r w:rsidR="00AC6888" w:rsidRPr="004D2FF7">
        <w:rPr>
          <w:rFonts w:ascii="Times New Roman" w:hAnsi="Times New Roman" w:cs="Times New Roman"/>
          <w:sz w:val="24"/>
          <w:szCs w:val="24"/>
          <w:lang w:val="ro-RO"/>
        </w:rPr>
        <w:t>nu înglobează prevederi care să asigure un nivel adecvat de protecție a datelor cu caracter personal, or, acestea, în ansamblu, sunt compatibile cu principiile generale prevăzute de actele europene în domeniu”</w:t>
      </w:r>
      <w:r w:rsidRPr="004D2FF7">
        <w:rPr>
          <w:rFonts w:ascii="Times New Roman" w:hAnsi="Times New Roman" w:cs="Times New Roman"/>
          <w:sz w:val="24"/>
          <w:szCs w:val="24"/>
          <w:lang w:val="ro-RO"/>
        </w:rPr>
        <w:t xml:space="preserve">,  auditul relevă că Legea </w:t>
      </w:r>
      <w:r w:rsidRPr="004D2FF7">
        <w:rPr>
          <w:rFonts w:ascii="Times New Roman" w:hAnsi="Times New Roman" w:cs="Times New Roman"/>
          <w:bCs/>
          <w:sz w:val="24"/>
          <w:szCs w:val="24"/>
          <w:lang w:val="ro-RO"/>
        </w:rPr>
        <w:t xml:space="preserve">nr.133 din 08.07.2011 </w:t>
      </w:r>
      <w:r w:rsidRPr="004D2FF7">
        <w:rPr>
          <w:rFonts w:ascii="Times New Roman" w:hAnsi="Times New Roman" w:cs="Times New Roman"/>
          <w:sz w:val="24"/>
          <w:szCs w:val="24"/>
          <w:lang w:val="ro-RO"/>
        </w:rPr>
        <w:t>privind protecția datelor cu caracter personal</w:t>
      </w:r>
      <w:r w:rsidRPr="004D2FF7">
        <w:rPr>
          <w:rFonts w:ascii="Times New Roman" w:hAnsi="Times New Roman" w:cs="Times New Roman"/>
          <w:color w:val="333333"/>
          <w:sz w:val="24"/>
          <w:szCs w:val="24"/>
          <w:shd w:val="clear" w:color="auto" w:fill="FFFFFF"/>
        </w:rPr>
        <w:t xml:space="preserve"> </w:t>
      </w:r>
      <w:r w:rsidR="00AC6888" w:rsidRPr="004D2FF7">
        <w:rPr>
          <w:rFonts w:ascii="Times New Roman" w:hAnsi="Times New Roman" w:cs="Times New Roman"/>
          <w:color w:val="333333"/>
          <w:sz w:val="24"/>
          <w:szCs w:val="24"/>
          <w:shd w:val="clear" w:color="auto" w:fill="FFFFFF"/>
        </w:rPr>
        <w:t xml:space="preserve">creează cadrul juridic necesar aplicării Directivei 95/46/CE a Parlamentului European şi a Consiliului din 24 octombrie 1995 privind </w:t>
      </w:r>
      <w:r w:rsidRPr="004D2FF7">
        <w:rPr>
          <w:rFonts w:ascii="Times New Roman" w:hAnsi="Times New Roman" w:cs="Times New Roman"/>
          <w:color w:val="333333"/>
          <w:sz w:val="24"/>
          <w:szCs w:val="24"/>
          <w:shd w:val="clear" w:color="auto" w:fill="FFFFFF"/>
        </w:rPr>
        <w:t>protecția</w:t>
      </w:r>
      <w:r w:rsidR="00AC6888" w:rsidRPr="004D2FF7">
        <w:rPr>
          <w:rFonts w:ascii="Times New Roman" w:hAnsi="Times New Roman" w:cs="Times New Roman"/>
          <w:color w:val="333333"/>
          <w:sz w:val="24"/>
          <w:szCs w:val="24"/>
          <w:shd w:val="clear" w:color="auto" w:fill="FFFFFF"/>
        </w:rPr>
        <w:t xml:space="preserve"> persoanelor fizice în ceea ce </w:t>
      </w:r>
      <w:r w:rsidRPr="004D2FF7">
        <w:rPr>
          <w:rFonts w:ascii="Times New Roman" w:hAnsi="Times New Roman" w:cs="Times New Roman"/>
          <w:color w:val="333333"/>
          <w:sz w:val="24"/>
          <w:szCs w:val="24"/>
          <w:shd w:val="clear" w:color="auto" w:fill="FFFFFF"/>
        </w:rPr>
        <w:t>privește</w:t>
      </w:r>
      <w:r w:rsidR="00AC6888" w:rsidRPr="004D2FF7">
        <w:rPr>
          <w:rFonts w:ascii="Times New Roman" w:hAnsi="Times New Roman" w:cs="Times New Roman"/>
          <w:color w:val="333333"/>
          <w:sz w:val="24"/>
          <w:szCs w:val="24"/>
          <w:shd w:val="clear" w:color="auto" w:fill="FFFFFF"/>
        </w:rPr>
        <w:t xml:space="preserve"> prelucrarea datelor cu caracter personal şi libera </w:t>
      </w:r>
      <w:r w:rsidRPr="004D2FF7">
        <w:rPr>
          <w:rFonts w:ascii="Times New Roman" w:hAnsi="Times New Roman" w:cs="Times New Roman"/>
          <w:color w:val="333333"/>
          <w:sz w:val="24"/>
          <w:szCs w:val="24"/>
          <w:shd w:val="clear" w:color="auto" w:fill="FFFFFF"/>
        </w:rPr>
        <w:t>circulație</w:t>
      </w:r>
      <w:r w:rsidR="00AC6888" w:rsidRPr="004D2FF7">
        <w:rPr>
          <w:rFonts w:ascii="Times New Roman" w:hAnsi="Times New Roman" w:cs="Times New Roman"/>
          <w:color w:val="333333"/>
          <w:sz w:val="24"/>
          <w:szCs w:val="24"/>
          <w:shd w:val="clear" w:color="auto" w:fill="FFFFFF"/>
        </w:rPr>
        <w:t xml:space="preserve"> a acestor date</w:t>
      </w:r>
      <w:r w:rsidRPr="004D2FF7">
        <w:rPr>
          <w:rFonts w:ascii="Times New Roman" w:hAnsi="Times New Roman" w:cs="Times New Roman"/>
          <w:color w:val="333333"/>
          <w:sz w:val="24"/>
          <w:szCs w:val="24"/>
          <w:shd w:val="clear" w:color="auto" w:fill="FFFFFF"/>
        </w:rPr>
        <w:t>, care a fost abrogată</w:t>
      </w:r>
      <w:r w:rsidR="00915243" w:rsidRPr="004D2FF7">
        <w:rPr>
          <w:rFonts w:ascii="Times New Roman" w:eastAsia="Times New Roman" w:hAnsi="Times New Roman" w:cs="Times New Roman"/>
          <w:sz w:val="24"/>
          <w:szCs w:val="24"/>
          <w:lang w:val="ro-RO"/>
        </w:rPr>
        <w:t xml:space="preserve"> la </w:t>
      </w:r>
      <w:r w:rsidR="00915243" w:rsidRPr="004D2FF7">
        <w:rPr>
          <w:rFonts w:ascii="Times New Roman" w:hAnsi="Times New Roman" w:cs="Times New Roman"/>
          <w:bCs/>
          <w:iCs/>
          <w:sz w:val="24"/>
          <w:szCs w:val="24"/>
          <w:lang w:val="ro-RO"/>
        </w:rPr>
        <w:t>2</w:t>
      </w:r>
      <w:r w:rsidR="00CA05EB">
        <w:rPr>
          <w:rFonts w:ascii="Times New Roman" w:hAnsi="Times New Roman" w:cs="Times New Roman"/>
          <w:bCs/>
          <w:iCs/>
          <w:sz w:val="24"/>
          <w:szCs w:val="24"/>
          <w:lang w:val="ro-RO"/>
        </w:rPr>
        <w:t>5</w:t>
      </w:r>
      <w:r w:rsidR="00915243" w:rsidRPr="004D2FF7">
        <w:rPr>
          <w:rFonts w:ascii="Times New Roman" w:hAnsi="Times New Roman" w:cs="Times New Roman"/>
          <w:bCs/>
          <w:iCs/>
          <w:sz w:val="24"/>
          <w:szCs w:val="24"/>
          <w:lang w:val="ro-RO"/>
        </w:rPr>
        <w:t xml:space="preserve"> </w:t>
      </w:r>
      <w:r w:rsidR="00CA05EB">
        <w:rPr>
          <w:rFonts w:ascii="Times New Roman" w:hAnsi="Times New Roman" w:cs="Times New Roman"/>
          <w:bCs/>
          <w:iCs/>
          <w:sz w:val="24"/>
          <w:szCs w:val="24"/>
          <w:lang w:val="ro-RO"/>
        </w:rPr>
        <w:t>mai</w:t>
      </w:r>
      <w:r w:rsidR="00915243" w:rsidRPr="004D2FF7">
        <w:rPr>
          <w:rFonts w:ascii="Times New Roman" w:hAnsi="Times New Roman" w:cs="Times New Roman"/>
          <w:bCs/>
          <w:iCs/>
          <w:sz w:val="24"/>
          <w:szCs w:val="24"/>
          <w:lang w:val="ro-RO"/>
        </w:rPr>
        <w:t xml:space="preserve"> 201</w:t>
      </w:r>
      <w:r w:rsidR="00CA05EB">
        <w:rPr>
          <w:rFonts w:ascii="Times New Roman" w:hAnsi="Times New Roman" w:cs="Times New Roman"/>
          <w:bCs/>
          <w:iCs/>
          <w:sz w:val="24"/>
          <w:szCs w:val="24"/>
          <w:lang w:val="ro-RO"/>
        </w:rPr>
        <w:t>8</w:t>
      </w:r>
      <w:r w:rsidR="00915243" w:rsidRPr="004D2FF7">
        <w:rPr>
          <w:rFonts w:ascii="Times New Roman" w:eastAsia="Times New Roman" w:hAnsi="Times New Roman" w:cs="Times New Roman"/>
          <w:sz w:val="24"/>
          <w:szCs w:val="24"/>
          <w:lang w:val="ro-RO"/>
        </w:rPr>
        <w:t xml:space="preserve"> de către </w:t>
      </w:r>
      <w:r w:rsidR="00915243" w:rsidRPr="004D2FF7">
        <w:rPr>
          <w:rFonts w:ascii="Times New Roman" w:hAnsi="Times New Roman" w:cs="Times New Roman"/>
          <w:bCs/>
          <w:iCs/>
          <w:sz w:val="24"/>
          <w:szCs w:val="24"/>
          <w:lang w:val="ro-RO"/>
        </w:rPr>
        <w:t>Parlamentul European și Consiliul</w:t>
      </w:r>
      <w:r w:rsidR="00402944" w:rsidRPr="004D2FF7">
        <w:rPr>
          <w:rFonts w:ascii="Times New Roman" w:hAnsi="Times New Roman" w:cs="Times New Roman"/>
          <w:color w:val="333333"/>
          <w:sz w:val="24"/>
          <w:szCs w:val="24"/>
          <w:shd w:val="clear" w:color="auto" w:fill="FFFFFF"/>
        </w:rPr>
        <w:t>. Prin urma</w:t>
      </w:r>
      <w:r w:rsidR="00E35632">
        <w:rPr>
          <w:rFonts w:ascii="Times New Roman" w:hAnsi="Times New Roman" w:cs="Times New Roman"/>
          <w:color w:val="333333"/>
          <w:sz w:val="24"/>
          <w:szCs w:val="24"/>
          <w:shd w:val="clear" w:color="auto" w:fill="FFFFFF"/>
        </w:rPr>
        <w:t>r</w:t>
      </w:r>
      <w:r w:rsidR="00402944" w:rsidRPr="004D2FF7">
        <w:rPr>
          <w:rFonts w:ascii="Times New Roman" w:hAnsi="Times New Roman" w:cs="Times New Roman"/>
          <w:color w:val="333333"/>
          <w:sz w:val="24"/>
          <w:szCs w:val="24"/>
          <w:shd w:val="clear" w:color="auto" w:fill="FFFFFF"/>
        </w:rPr>
        <w:t>e</w:t>
      </w:r>
      <w:r w:rsidR="00E35632">
        <w:rPr>
          <w:rFonts w:ascii="Times New Roman" w:hAnsi="Times New Roman" w:cs="Times New Roman"/>
          <w:color w:val="333333"/>
          <w:sz w:val="24"/>
          <w:szCs w:val="24"/>
          <w:shd w:val="clear" w:color="auto" w:fill="FFFFFF"/>
        </w:rPr>
        <w:t>,</w:t>
      </w:r>
      <w:r w:rsidR="00402944" w:rsidRPr="004D2FF7">
        <w:rPr>
          <w:rFonts w:ascii="Times New Roman" w:hAnsi="Times New Roman" w:cs="Times New Roman"/>
          <w:color w:val="333333"/>
          <w:sz w:val="24"/>
          <w:szCs w:val="24"/>
          <w:shd w:val="clear" w:color="auto" w:fill="FFFFFF"/>
        </w:rPr>
        <w:t xml:space="preserve"> cadrul juridic în baza căruia a fost elaborată </w:t>
      </w:r>
      <w:r w:rsidR="00402944" w:rsidRPr="004D2FF7">
        <w:rPr>
          <w:rFonts w:ascii="Times New Roman" w:hAnsi="Times New Roman" w:cs="Times New Roman"/>
          <w:sz w:val="24"/>
          <w:szCs w:val="24"/>
          <w:lang w:val="ro-RO"/>
        </w:rPr>
        <w:t xml:space="preserve">Legea </w:t>
      </w:r>
      <w:r w:rsidR="00402944" w:rsidRPr="004D2FF7">
        <w:rPr>
          <w:rFonts w:ascii="Times New Roman" w:hAnsi="Times New Roman" w:cs="Times New Roman"/>
          <w:bCs/>
          <w:sz w:val="24"/>
          <w:szCs w:val="24"/>
          <w:lang w:val="ro-RO"/>
        </w:rPr>
        <w:t>nr.133 din 08.07.2011</w:t>
      </w:r>
      <w:r w:rsidR="00402944" w:rsidRPr="004D2FF7">
        <w:rPr>
          <w:rFonts w:ascii="Times New Roman" w:hAnsi="Times New Roman" w:cs="Times New Roman"/>
          <w:sz w:val="24"/>
          <w:szCs w:val="24"/>
          <w:lang w:val="ro-RO"/>
        </w:rPr>
        <w:t xml:space="preserve"> este învechit și desuet</w:t>
      </w:r>
      <w:r w:rsidR="00602FDC" w:rsidRPr="004D2FF7">
        <w:rPr>
          <w:rFonts w:ascii="Times New Roman" w:hAnsi="Times New Roman" w:cs="Times New Roman"/>
          <w:sz w:val="24"/>
          <w:szCs w:val="24"/>
          <w:lang w:val="ro-RO"/>
        </w:rPr>
        <w:t xml:space="preserve">. </w:t>
      </w:r>
    </w:p>
    <w:p w14:paraId="76C13F4B" w14:textId="77777777" w:rsidR="008C5C1F" w:rsidRDefault="008C5C1F" w:rsidP="00AC6888">
      <w:pPr>
        <w:spacing w:after="0" w:line="240" w:lineRule="auto"/>
        <w:jc w:val="both"/>
        <w:rPr>
          <w:rFonts w:ascii="Times New Roman" w:hAnsi="Times New Roman" w:cs="Times New Roman"/>
          <w:color w:val="333333"/>
          <w:sz w:val="24"/>
          <w:szCs w:val="24"/>
          <w:shd w:val="clear" w:color="auto" w:fill="FFFFFF"/>
          <w:lang w:val="ro-RO"/>
        </w:rPr>
      </w:pPr>
    </w:p>
    <w:p w14:paraId="6EA604DF" w14:textId="496B50E6" w:rsidR="0081124B" w:rsidRDefault="008A5385" w:rsidP="00C54CE1">
      <w:pPr>
        <w:spacing w:after="0" w:line="276" w:lineRule="auto"/>
        <w:ind w:firstLine="720"/>
        <w:jc w:val="both"/>
        <w:rPr>
          <w:rFonts w:ascii="Times New Roman" w:hAnsi="Times New Roman" w:cs="Times New Roman"/>
          <w:i/>
          <w:sz w:val="24"/>
          <w:szCs w:val="24"/>
        </w:rPr>
      </w:pPr>
      <w:r w:rsidRPr="008A5385">
        <w:rPr>
          <w:rFonts w:ascii="Times New Roman" w:hAnsi="Times New Roman" w:cs="Times New Roman"/>
          <w:b/>
          <w:i/>
          <w:color w:val="333333"/>
          <w:sz w:val="24"/>
          <w:szCs w:val="24"/>
          <w:shd w:val="clear" w:color="auto" w:fill="FFFFFF"/>
          <w:lang w:val="ro-RO"/>
        </w:rPr>
        <w:t>Notă:</w:t>
      </w:r>
      <w:r w:rsidR="00AF2922">
        <w:rPr>
          <w:rFonts w:ascii="Times New Roman" w:hAnsi="Times New Roman" w:cs="Times New Roman"/>
          <w:b/>
          <w:i/>
          <w:color w:val="333333"/>
          <w:sz w:val="24"/>
          <w:szCs w:val="24"/>
          <w:shd w:val="clear" w:color="auto" w:fill="FFFFFF"/>
          <w:lang w:val="ro-RO"/>
        </w:rPr>
        <w:t xml:space="preserve"> </w:t>
      </w:r>
      <w:r w:rsidR="00AF2922" w:rsidRPr="00AF2922">
        <w:rPr>
          <w:rFonts w:ascii="Times New Roman" w:hAnsi="Times New Roman" w:cs="Times New Roman"/>
          <w:i/>
          <w:color w:val="333333"/>
          <w:sz w:val="24"/>
          <w:szCs w:val="24"/>
          <w:shd w:val="clear" w:color="auto" w:fill="FFFFFF"/>
          <w:lang w:val="ro-RO"/>
        </w:rPr>
        <w:t>La solicitarea echipei de audit, Ministerul Justiției</w:t>
      </w:r>
      <w:r w:rsidR="00E35632">
        <w:rPr>
          <w:rFonts w:ascii="Times New Roman" w:hAnsi="Times New Roman" w:cs="Times New Roman"/>
          <w:i/>
          <w:color w:val="333333"/>
          <w:sz w:val="24"/>
          <w:szCs w:val="24"/>
          <w:shd w:val="clear" w:color="auto" w:fill="FFFFFF"/>
          <w:lang w:val="ro-RO"/>
        </w:rPr>
        <w:t>,</w:t>
      </w:r>
      <w:r w:rsidR="00AF2922" w:rsidRPr="00AF2922">
        <w:rPr>
          <w:rFonts w:ascii="Times New Roman" w:hAnsi="Times New Roman" w:cs="Times New Roman"/>
          <w:i/>
          <w:color w:val="333333"/>
          <w:sz w:val="24"/>
          <w:szCs w:val="24"/>
          <w:shd w:val="clear" w:color="auto" w:fill="FFFFFF"/>
          <w:lang w:val="ro-RO"/>
        </w:rPr>
        <w:t xml:space="preserve"> prin scrisoarea nr.03/320 din 10.01.2024</w:t>
      </w:r>
      <w:r w:rsidR="00E35632">
        <w:rPr>
          <w:rFonts w:ascii="Times New Roman" w:hAnsi="Times New Roman" w:cs="Times New Roman"/>
          <w:i/>
          <w:color w:val="333333"/>
          <w:sz w:val="24"/>
          <w:szCs w:val="24"/>
          <w:shd w:val="clear" w:color="auto" w:fill="FFFFFF"/>
          <w:lang w:val="ro-RO"/>
        </w:rPr>
        <w:t>,</w:t>
      </w:r>
      <w:r w:rsidR="00AF2922">
        <w:rPr>
          <w:rFonts w:ascii="Times New Roman" w:hAnsi="Times New Roman" w:cs="Times New Roman"/>
          <w:i/>
          <w:color w:val="333333"/>
          <w:sz w:val="24"/>
          <w:szCs w:val="24"/>
          <w:shd w:val="clear" w:color="auto" w:fill="FFFFFF"/>
          <w:lang w:val="ro-RO"/>
        </w:rPr>
        <w:t xml:space="preserve"> a </w:t>
      </w:r>
      <w:r w:rsidR="00546DB0">
        <w:rPr>
          <w:rFonts w:ascii="Times New Roman" w:hAnsi="Times New Roman" w:cs="Times New Roman"/>
          <w:i/>
          <w:color w:val="333333"/>
          <w:sz w:val="24"/>
          <w:szCs w:val="24"/>
          <w:shd w:val="clear" w:color="auto" w:fill="FFFFFF"/>
          <w:lang w:val="ro-RO"/>
        </w:rPr>
        <w:t>comunicat</w:t>
      </w:r>
      <w:r w:rsidR="00075AA1">
        <w:rPr>
          <w:rFonts w:ascii="Times New Roman" w:hAnsi="Times New Roman" w:cs="Times New Roman"/>
          <w:i/>
          <w:color w:val="333333"/>
          <w:sz w:val="24"/>
          <w:szCs w:val="24"/>
          <w:shd w:val="clear" w:color="auto" w:fill="FFFFFF"/>
          <w:lang w:val="ro-RO"/>
        </w:rPr>
        <w:t xml:space="preserve"> </w:t>
      </w:r>
      <w:r w:rsidR="00075AA1" w:rsidRPr="0081124B">
        <w:rPr>
          <w:rFonts w:ascii="Times New Roman" w:hAnsi="Times New Roman" w:cs="Times New Roman"/>
          <w:i/>
          <w:color w:val="333333"/>
          <w:sz w:val="24"/>
          <w:szCs w:val="24"/>
          <w:shd w:val="clear" w:color="auto" w:fill="FFFFFF"/>
          <w:lang w:val="ro-RO"/>
        </w:rPr>
        <w:t xml:space="preserve">că </w:t>
      </w:r>
      <w:r w:rsidR="0081124B">
        <w:rPr>
          <w:rFonts w:ascii="Times New Roman" w:hAnsi="Times New Roman" w:cs="Times New Roman"/>
          <w:i/>
          <w:color w:val="333333"/>
          <w:sz w:val="24"/>
          <w:szCs w:val="24"/>
          <w:shd w:val="clear" w:color="auto" w:fill="FFFFFF"/>
          <w:lang w:val="ro-RO"/>
        </w:rPr>
        <w:t>î</w:t>
      </w:r>
      <w:r w:rsidR="0081124B" w:rsidRPr="0081124B">
        <w:rPr>
          <w:rFonts w:ascii="Times New Roman" w:hAnsi="Times New Roman" w:cs="Times New Roman"/>
          <w:i/>
          <w:color w:val="000000"/>
          <w:sz w:val="24"/>
          <w:szCs w:val="24"/>
          <w:lang w:val="ro-RO"/>
        </w:rPr>
        <w:t xml:space="preserve">n anul 2022, în vederea asigurării transpunerii depline în legislația națională a </w:t>
      </w:r>
      <w:r w:rsidR="0081124B" w:rsidRPr="0081124B">
        <w:rPr>
          <w:rFonts w:ascii="Times New Roman" w:hAnsi="Times New Roman" w:cs="Times New Roman"/>
          <w:i/>
          <w:iCs/>
          <w:color w:val="000000"/>
          <w:sz w:val="24"/>
          <w:szCs w:val="24"/>
          <w:lang w:val="ro-RO"/>
        </w:rPr>
        <w:t>Regulamentului (UE) 2016/679</w:t>
      </w:r>
      <w:r w:rsidR="0081124B" w:rsidRPr="0081124B">
        <w:rPr>
          <w:rFonts w:ascii="Times New Roman" w:hAnsi="Times New Roman" w:cs="Times New Roman"/>
          <w:i/>
          <w:color w:val="000000"/>
          <w:sz w:val="24"/>
          <w:szCs w:val="24"/>
          <w:lang w:val="ro-RO"/>
        </w:rPr>
        <w:t xml:space="preserve">, </w:t>
      </w:r>
      <w:r w:rsidR="0040562C">
        <w:rPr>
          <w:rFonts w:ascii="Times New Roman" w:hAnsi="Times New Roman" w:cs="Times New Roman"/>
          <w:i/>
          <w:color w:val="000000"/>
          <w:sz w:val="24"/>
          <w:szCs w:val="24"/>
          <w:lang w:val="ro-RO"/>
        </w:rPr>
        <w:t>î</w:t>
      </w:r>
      <w:r w:rsidR="0081124B" w:rsidRPr="0081124B">
        <w:rPr>
          <w:rFonts w:ascii="Times New Roman" w:hAnsi="Times New Roman" w:cs="Times New Roman"/>
          <w:i/>
          <w:color w:val="000000"/>
          <w:sz w:val="24"/>
          <w:szCs w:val="24"/>
          <w:lang w:val="ro-RO"/>
        </w:rPr>
        <w:t>n perioada august 2022</w:t>
      </w:r>
      <w:r w:rsidR="00E35632">
        <w:rPr>
          <w:rFonts w:ascii="Times New Roman" w:hAnsi="Times New Roman" w:cs="Times New Roman"/>
          <w:i/>
          <w:color w:val="000000"/>
          <w:sz w:val="24"/>
          <w:szCs w:val="24"/>
          <w:lang w:val="ro-RO"/>
        </w:rPr>
        <w:t xml:space="preserve"> </w:t>
      </w:r>
      <w:r w:rsidR="0081124B" w:rsidRPr="0081124B">
        <w:rPr>
          <w:rFonts w:ascii="Times New Roman" w:hAnsi="Times New Roman" w:cs="Times New Roman"/>
          <w:i/>
          <w:color w:val="000000"/>
          <w:sz w:val="24"/>
          <w:szCs w:val="24"/>
          <w:lang w:val="ro-RO"/>
        </w:rPr>
        <w:t>–</w:t>
      </w:r>
      <w:r w:rsidR="00E35632">
        <w:rPr>
          <w:rFonts w:ascii="Times New Roman" w:hAnsi="Times New Roman" w:cs="Times New Roman"/>
          <w:i/>
          <w:color w:val="000000"/>
          <w:sz w:val="24"/>
          <w:szCs w:val="24"/>
          <w:lang w:val="ro-RO"/>
        </w:rPr>
        <w:t xml:space="preserve"> </w:t>
      </w:r>
      <w:r w:rsidR="0081124B" w:rsidRPr="0081124B">
        <w:rPr>
          <w:rFonts w:ascii="Times New Roman" w:hAnsi="Times New Roman" w:cs="Times New Roman"/>
          <w:i/>
          <w:color w:val="000000"/>
          <w:sz w:val="24"/>
          <w:szCs w:val="24"/>
          <w:lang w:val="ro-RO"/>
        </w:rPr>
        <w:t xml:space="preserve">decembrie 2023, </w:t>
      </w:r>
      <w:r w:rsidR="00BC5357">
        <w:rPr>
          <w:rFonts w:ascii="Times New Roman" w:hAnsi="Times New Roman" w:cs="Times New Roman"/>
          <w:i/>
          <w:color w:val="000000"/>
          <w:sz w:val="24"/>
          <w:szCs w:val="24"/>
          <w:lang w:val="ro-RO"/>
        </w:rPr>
        <w:t xml:space="preserve">în cadrul unui grup de lucru interinstituțional </w:t>
      </w:r>
      <w:r w:rsidR="00F66A5E">
        <w:rPr>
          <w:rFonts w:ascii="Times New Roman" w:hAnsi="Times New Roman" w:cs="Times New Roman"/>
          <w:i/>
          <w:color w:val="000000"/>
          <w:sz w:val="24"/>
          <w:szCs w:val="24"/>
          <w:lang w:val="ro-RO"/>
        </w:rPr>
        <w:t>constituit pe platforma</w:t>
      </w:r>
      <w:r w:rsidR="00BC5357">
        <w:rPr>
          <w:rFonts w:ascii="Times New Roman" w:hAnsi="Times New Roman" w:cs="Times New Roman"/>
          <w:i/>
          <w:color w:val="000000"/>
          <w:sz w:val="24"/>
          <w:szCs w:val="24"/>
          <w:lang w:val="ro-RO"/>
        </w:rPr>
        <w:t xml:space="preserve"> </w:t>
      </w:r>
      <w:r w:rsidR="0081124B" w:rsidRPr="0081124B">
        <w:rPr>
          <w:rFonts w:ascii="Times New Roman" w:hAnsi="Times New Roman" w:cs="Times New Roman"/>
          <w:i/>
          <w:color w:val="000000"/>
          <w:sz w:val="24"/>
          <w:szCs w:val="24"/>
          <w:lang w:val="ro-RO"/>
        </w:rPr>
        <w:t>Ministerul</w:t>
      </w:r>
      <w:r w:rsidR="00F66A5E">
        <w:rPr>
          <w:rFonts w:ascii="Times New Roman" w:hAnsi="Times New Roman" w:cs="Times New Roman"/>
          <w:i/>
          <w:color w:val="000000"/>
          <w:sz w:val="24"/>
          <w:szCs w:val="24"/>
          <w:lang w:val="ro-RO"/>
        </w:rPr>
        <w:t>ui</w:t>
      </w:r>
      <w:r w:rsidR="0081124B" w:rsidRPr="0081124B">
        <w:rPr>
          <w:rFonts w:ascii="Times New Roman" w:hAnsi="Times New Roman" w:cs="Times New Roman"/>
          <w:i/>
          <w:color w:val="000000"/>
          <w:sz w:val="24"/>
          <w:szCs w:val="24"/>
          <w:lang w:val="ro-RO"/>
        </w:rPr>
        <w:t xml:space="preserve"> Justiției</w:t>
      </w:r>
      <w:r w:rsidR="008C14EF">
        <w:rPr>
          <w:rFonts w:ascii="Times New Roman" w:hAnsi="Times New Roman" w:cs="Times New Roman"/>
          <w:i/>
          <w:color w:val="000000"/>
          <w:sz w:val="24"/>
          <w:szCs w:val="24"/>
          <w:lang w:val="ro-RO"/>
        </w:rPr>
        <w:t>,</w:t>
      </w:r>
      <w:r w:rsidR="0081124B" w:rsidRPr="0081124B">
        <w:rPr>
          <w:rFonts w:ascii="Times New Roman" w:hAnsi="Times New Roman" w:cs="Times New Roman"/>
          <w:i/>
          <w:color w:val="000000"/>
          <w:sz w:val="24"/>
          <w:szCs w:val="24"/>
          <w:lang w:val="ro-RO"/>
        </w:rPr>
        <w:t xml:space="preserve"> a</w:t>
      </w:r>
      <w:r w:rsidR="00BC5357">
        <w:rPr>
          <w:rFonts w:ascii="Times New Roman" w:hAnsi="Times New Roman" w:cs="Times New Roman"/>
          <w:i/>
          <w:color w:val="000000"/>
          <w:sz w:val="24"/>
          <w:szCs w:val="24"/>
          <w:lang w:val="ro-RO"/>
        </w:rPr>
        <w:t xml:space="preserve"> fost</w:t>
      </w:r>
      <w:r w:rsidR="0081124B" w:rsidRPr="0081124B">
        <w:rPr>
          <w:rFonts w:ascii="Times New Roman" w:hAnsi="Times New Roman" w:cs="Times New Roman"/>
          <w:i/>
          <w:color w:val="000000"/>
          <w:sz w:val="24"/>
          <w:szCs w:val="24"/>
          <w:lang w:val="ro-RO"/>
        </w:rPr>
        <w:t xml:space="preserve"> elaborat și definitivat un nou proiect de lege privind protecția datelor cu caracter personal, care a parcurs două runde de avizare și consultare publică și care a fost expertizat pozitiv de Centrul de Armonizare a Legislației și </w:t>
      </w:r>
      <w:r w:rsidR="00E35632">
        <w:rPr>
          <w:rFonts w:ascii="Times New Roman" w:hAnsi="Times New Roman" w:cs="Times New Roman"/>
          <w:i/>
          <w:color w:val="000000"/>
          <w:sz w:val="24"/>
          <w:szCs w:val="24"/>
          <w:lang w:val="ro-RO"/>
        </w:rPr>
        <w:t xml:space="preserve">de </w:t>
      </w:r>
      <w:r w:rsidR="0081124B" w:rsidRPr="0081124B">
        <w:rPr>
          <w:rFonts w:ascii="Times New Roman" w:hAnsi="Times New Roman" w:cs="Times New Roman"/>
          <w:i/>
          <w:color w:val="000000"/>
          <w:sz w:val="24"/>
          <w:szCs w:val="24"/>
          <w:lang w:val="ro-RO"/>
        </w:rPr>
        <w:t>Centrul Național Anticorupție. Proiectul se definitivează și, în termeni proximi, urmează a fi expediat Guvernului spre aprobare.</w:t>
      </w:r>
      <w:r w:rsidR="00FE6F23">
        <w:rPr>
          <w:rFonts w:ascii="Times New Roman" w:hAnsi="Times New Roman" w:cs="Times New Roman"/>
          <w:i/>
          <w:color w:val="000000"/>
          <w:sz w:val="24"/>
          <w:szCs w:val="24"/>
          <w:lang w:val="ro-RO"/>
        </w:rPr>
        <w:t xml:space="preserve"> </w:t>
      </w:r>
      <w:r w:rsidR="00FE6F23">
        <w:rPr>
          <w:rFonts w:ascii="Times New Roman" w:hAnsi="Times New Roman" w:cs="Times New Roman"/>
          <w:i/>
          <w:sz w:val="24"/>
          <w:szCs w:val="24"/>
        </w:rPr>
        <w:t xml:space="preserve">Totodată, </w:t>
      </w:r>
      <w:r w:rsidR="0081124B" w:rsidRPr="0081124B">
        <w:rPr>
          <w:rFonts w:ascii="Times New Roman" w:hAnsi="Times New Roman" w:cs="Times New Roman"/>
          <w:i/>
          <w:sz w:val="24"/>
          <w:szCs w:val="24"/>
        </w:rPr>
        <w:t xml:space="preserve">termenul-limită de adoptare a legii de transpunere a </w:t>
      </w:r>
      <w:r w:rsidR="0081124B" w:rsidRPr="0081124B">
        <w:rPr>
          <w:rFonts w:ascii="Times New Roman" w:hAnsi="Times New Roman" w:cs="Times New Roman"/>
          <w:i/>
          <w:iCs/>
          <w:sz w:val="24"/>
          <w:szCs w:val="24"/>
        </w:rPr>
        <w:t xml:space="preserve">Directivei (UE) 2016/680 </w:t>
      </w:r>
      <w:r w:rsidR="0081124B" w:rsidRPr="0081124B">
        <w:rPr>
          <w:rFonts w:ascii="Times New Roman" w:hAnsi="Times New Roman" w:cs="Times New Roman"/>
          <w:i/>
          <w:sz w:val="24"/>
          <w:szCs w:val="24"/>
        </w:rPr>
        <w:t xml:space="preserve">este </w:t>
      </w:r>
      <w:r w:rsidR="0081124B" w:rsidRPr="0081124B">
        <w:rPr>
          <w:rFonts w:ascii="Times New Roman" w:hAnsi="Times New Roman" w:cs="Times New Roman"/>
          <w:bCs/>
          <w:i/>
          <w:sz w:val="24"/>
          <w:szCs w:val="24"/>
        </w:rPr>
        <w:t>noiembrie 2024</w:t>
      </w:r>
      <w:r w:rsidR="0081124B">
        <w:rPr>
          <w:rFonts w:ascii="Times New Roman" w:hAnsi="Times New Roman" w:cs="Times New Roman"/>
          <w:i/>
          <w:sz w:val="24"/>
          <w:szCs w:val="24"/>
        </w:rPr>
        <w:t>.</w:t>
      </w:r>
    </w:p>
    <w:p w14:paraId="7215DD1D" w14:textId="77777777" w:rsidR="00EE0BC3" w:rsidRPr="0081124B" w:rsidRDefault="00EE0BC3" w:rsidP="00C54CE1">
      <w:pPr>
        <w:spacing w:after="0" w:line="276" w:lineRule="auto"/>
        <w:jc w:val="both"/>
        <w:rPr>
          <w:rFonts w:ascii="Times New Roman" w:hAnsi="Times New Roman" w:cs="Times New Roman"/>
          <w:i/>
          <w:color w:val="333333"/>
          <w:sz w:val="24"/>
          <w:szCs w:val="24"/>
          <w:shd w:val="clear" w:color="auto" w:fill="FFFFFF"/>
          <w:lang w:val="ro-RO"/>
        </w:rPr>
      </w:pPr>
    </w:p>
    <w:p w14:paraId="4BD09659" w14:textId="46E7F278" w:rsidR="006049D5" w:rsidRDefault="009E06DA" w:rsidP="00ED5A00">
      <w:pPr>
        <w:pStyle w:val="Heading2"/>
        <w:numPr>
          <w:ilvl w:val="1"/>
          <w:numId w:val="4"/>
        </w:numPr>
        <w:tabs>
          <w:tab w:val="left" w:pos="567"/>
        </w:tabs>
        <w:spacing w:after="120" w:line="276" w:lineRule="auto"/>
        <w:ind w:left="0" w:right="-235" w:firstLine="0"/>
        <w:jc w:val="both"/>
        <w:rPr>
          <w:rFonts w:ascii="Times New Roman" w:hAnsi="Times New Roman" w:cs="Times New Roman"/>
          <w:b/>
          <w:color w:val="auto"/>
          <w:sz w:val="28"/>
          <w:szCs w:val="28"/>
          <w:lang w:eastAsia="ro-RO" w:bidi="ro-RO"/>
        </w:rPr>
      </w:pPr>
      <w:bookmarkStart w:id="31" w:name="_Toc157776093"/>
      <w:r w:rsidRPr="00A6623F">
        <w:rPr>
          <w:rFonts w:ascii="Times New Roman" w:hAnsi="Times New Roman" w:cs="Times New Roman"/>
          <w:b/>
          <w:color w:val="auto"/>
          <w:sz w:val="28"/>
          <w:szCs w:val="28"/>
          <w:lang w:eastAsia="ro-RO" w:bidi="ro-RO"/>
        </w:rPr>
        <w:lastRenderedPageBreak/>
        <w:t>CNPDCP</w:t>
      </w:r>
      <w:r w:rsidR="00AA5E96" w:rsidRPr="00A6623F">
        <w:rPr>
          <w:rFonts w:ascii="Times New Roman" w:hAnsi="Times New Roman" w:cs="Times New Roman"/>
          <w:b/>
          <w:color w:val="auto"/>
          <w:sz w:val="28"/>
          <w:szCs w:val="28"/>
          <w:lang w:eastAsia="ro-RO" w:bidi="ro-RO"/>
        </w:rPr>
        <w:t xml:space="preserve"> dispune</w:t>
      </w:r>
      <w:r w:rsidR="006049D5" w:rsidRPr="00A6623F">
        <w:rPr>
          <w:rFonts w:ascii="Times New Roman" w:hAnsi="Times New Roman" w:cs="Times New Roman"/>
          <w:b/>
          <w:color w:val="auto"/>
          <w:sz w:val="28"/>
          <w:szCs w:val="28"/>
          <w:lang w:eastAsia="ro-RO" w:bidi="ro-RO"/>
        </w:rPr>
        <w:t xml:space="preserve"> de procese operaționale funcționale care să asigure valorificarea mijloacelor bugetare alocate instituției în conformitate cu principiile bunei guvernări?</w:t>
      </w:r>
      <w:bookmarkEnd w:id="31"/>
      <w:r w:rsidR="006049D5" w:rsidRPr="00A6623F">
        <w:rPr>
          <w:rFonts w:ascii="Times New Roman" w:hAnsi="Times New Roman" w:cs="Times New Roman"/>
          <w:b/>
          <w:color w:val="auto"/>
          <w:sz w:val="28"/>
          <w:szCs w:val="28"/>
          <w:lang w:eastAsia="ro-RO" w:bidi="ro-RO"/>
        </w:rPr>
        <w:t xml:space="preserve"> </w:t>
      </w:r>
    </w:p>
    <w:p w14:paraId="1C24B511" w14:textId="09A41F2E" w:rsidR="00981DAD" w:rsidRPr="00981DAD" w:rsidRDefault="00981DAD" w:rsidP="00981DAD">
      <w:pPr>
        <w:pBdr>
          <w:top w:val="single" w:sz="4" w:space="1" w:color="auto"/>
          <w:left w:val="single" w:sz="4" w:space="4" w:color="auto"/>
          <w:bottom w:val="single" w:sz="4" w:space="1" w:color="auto"/>
          <w:right w:val="single" w:sz="4" w:space="4" w:color="auto"/>
        </w:pBdr>
        <w:tabs>
          <w:tab w:val="left" w:pos="360"/>
          <w:tab w:val="left" w:pos="426"/>
        </w:tabs>
        <w:spacing w:after="80" w:line="276" w:lineRule="auto"/>
        <w:jc w:val="both"/>
        <w:rPr>
          <w:rFonts w:ascii="Times New Roman" w:hAnsi="Times New Roman" w:cs="Times New Roman"/>
          <w:i/>
          <w:sz w:val="24"/>
          <w:szCs w:val="24"/>
          <w:lang w:val="ro-RO"/>
        </w:rPr>
      </w:pPr>
      <w:r w:rsidRPr="00981DAD">
        <w:rPr>
          <w:rFonts w:ascii="Times New Roman" w:hAnsi="Times New Roman" w:cs="Times New Roman"/>
          <w:i/>
          <w:sz w:val="24"/>
          <w:szCs w:val="24"/>
        </w:rPr>
        <w:t>Neconformități sistemice au fost constatate în gestionarea procese</w:t>
      </w:r>
      <w:r w:rsidR="008619FC">
        <w:rPr>
          <w:rFonts w:ascii="Times New Roman" w:hAnsi="Times New Roman" w:cs="Times New Roman"/>
          <w:i/>
          <w:sz w:val="24"/>
          <w:szCs w:val="24"/>
        </w:rPr>
        <w:t>lor</w:t>
      </w:r>
      <w:r w:rsidRPr="00981DAD">
        <w:rPr>
          <w:rFonts w:ascii="Times New Roman" w:hAnsi="Times New Roman" w:cs="Times New Roman"/>
          <w:i/>
          <w:sz w:val="24"/>
          <w:szCs w:val="24"/>
        </w:rPr>
        <w:t xml:space="preserve"> operaționale, nefiind asigurată</w:t>
      </w:r>
      <w:r w:rsidRPr="00981DAD">
        <w:rPr>
          <w:rFonts w:ascii="Times New Roman" w:hAnsi="Times New Roman" w:cs="Times New Roman"/>
          <w:sz w:val="24"/>
          <w:szCs w:val="24"/>
        </w:rPr>
        <w:t xml:space="preserve"> </w:t>
      </w:r>
      <w:r w:rsidRPr="00981DAD">
        <w:rPr>
          <w:rFonts w:ascii="Times New Roman" w:hAnsi="Times New Roman" w:cs="Times New Roman"/>
          <w:i/>
          <w:sz w:val="24"/>
          <w:szCs w:val="24"/>
        </w:rPr>
        <w:t>conformitatea executării</w:t>
      </w:r>
      <w:r w:rsidR="00DD6B29">
        <w:rPr>
          <w:rFonts w:ascii="Times New Roman" w:hAnsi="Times New Roman" w:cs="Times New Roman"/>
          <w:i/>
          <w:sz w:val="24"/>
          <w:szCs w:val="24"/>
        </w:rPr>
        <w:t xml:space="preserve"> unor</w:t>
      </w:r>
      <w:r w:rsidRPr="00981DAD">
        <w:rPr>
          <w:rFonts w:ascii="Times New Roman" w:hAnsi="Times New Roman" w:cs="Times New Roman"/>
          <w:i/>
          <w:sz w:val="24"/>
          <w:szCs w:val="24"/>
        </w:rPr>
        <w:t xml:space="preserve"> cheltuieli</w:t>
      </w:r>
      <w:r w:rsidR="00E35632">
        <w:rPr>
          <w:rFonts w:ascii="Times New Roman" w:hAnsi="Times New Roman" w:cs="Times New Roman"/>
          <w:i/>
          <w:sz w:val="24"/>
          <w:szCs w:val="24"/>
        </w:rPr>
        <w:t>,</w:t>
      </w:r>
      <w:r w:rsidRPr="00981DAD">
        <w:rPr>
          <w:rFonts w:ascii="Times New Roman" w:hAnsi="Times New Roman" w:cs="Times New Roman"/>
          <w:i/>
          <w:sz w:val="24"/>
          <w:szCs w:val="24"/>
        </w:rPr>
        <w:t xml:space="preserve"> care se exprimă prin: planificarea lacunară a necesităților de achiziții</w:t>
      </w:r>
      <w:r w:rsidRPr="00981DAD">
        <w:rPr>
          <w:rFonts w:asciiTheme="majorHAnsi" w:hAnsiTheme="majorHAnsi" w:cstheme="majorHAnsi"/>
          <w:i/>
          <w:szCs w:val="28"/>
        </w:rPr>
        <w:t xml:space="preserve"> </w:t>
      </w:r>
      <w:r w:rsidRPr="00981DAD">
        <w:rPr>
          <w:rFonts w:ascii="Times New Roman" w:hAnsi="Times New Roman" w:cs="Times New Roman"/>
          <w:i/>
          <w:sz w:val="24"/>
          <w:szCs w:val="24"/>
        </w:rPr>
        <w:t xml:space="preserve">în lipsa respectării principiilor ce reglementează acest proces </w:t>
      </w:r>
      <w:r w:rsidRPr="00981DAD">
        <w:rPr>
          <w:rFonts w:ascii="Times New Roman" w:hAnsi="Times New Roman" w:cs="Times New Roman"/>
          <w:bCs/>
          <w:i/>
          <w:noProof/>
          <w:sz w:val="24"/>
          <w:szCs w:val="24"/>
          <w:lang w:val="ro-RO" w:eastAsia="ru-RU"/>
        </w:rPr>
        <w:t>(4</w:t>
      </w:r>
      <w:r w:rsidR="00E35632">
        <w:rPr>
          <w:rFonts w:ascii="Times New Roman" w:hAnsi="Times New Roman" w:cs="Times New Roman"/>
          <w:bCs/>
          <w:i/>
          <w:noProof/>
          <w:sz w:val="24"/>
          <w:szCs w:val="24"/>
          <w:lang w:val="ro-RO" w:eastAsia="ru-RU"/>
        </w:rPr>
        <w:t>.</w:t>
      </w:r>
      <w:r w:rsidRPr="00981DAD">
        <w:rPr>
          <w:rFonts w:ascii="Times New Roman" w:hAnsi="Times New Roman" w:cs="Times New Roman"/>
          <w:bCs/>
          <w:i/>
          <w:noProof/>
          <w:sz w:val="24"/>
          <w:szCs w:val="24"/>
          <w:lang w:val="ro-RO" w:eastAsia="ru-RU"/>
        </w:rPr>
        <w:t>151,9 m</w:t>
      </w:r>
      <w:r w:rsidRPr="00981DAD">
        <w:rPr>
          <w:rFonts w:ascii="Times New Roman" w:hAnsi="Times New Roman" w:cs="Times New Roman"/>
          <w:i/>
          <w:noProof/>
          <w:sz w:val="24"/>
          <w:szCs w:val="24"/>
          <w:lang w:val="ro-RO"/>
        </w:rPr>
        <w:t>ii lei);</w:t>
      </w:r>
      <w:r w:rsidRPr="00981DAD">
        <w:rPr>
          <w:rFonts w:ascii="Times New Roman" w:hAnsi="Times New Roman" w:cs="Times New Roman"/>
          <w:i/>
          <w:sz w:val="24"/>
          <w:szCs w:val="24"/>
          <w:lang w:val="ro-RO"/>
        </w:rPr>
        <w:t xml:space="preserve"> nemodificarea planurilor anuale de achiziție pe paginile web deținute</w:t>
      </w:r>
      <w:r w:rsidR="00E35632">
        <w:rPr>
          <w:rFonts w:ascii="Times New Roman" w:hAnsi="Times New Roman" w:cs="Times New Roman"/>
          <w:i/>
          <w:sz w:val="24"/>
          <w:szCs w:val="24"/>
          <w:lang w:val="ro-RO"/>
        </w:rPr>
        <w:t>,</w:t>
      </w:r>
      <w:r w:rsidRPr="00981DAD">
        <w:rPr>
          <w:rFonts w:ascii="Times New Roman" w:hAnsi="Times New Roman" w:cs="Times New Roman"/>
          <w:i/>
          <w:sz w:val="24"/>
          <w:szCs w:val="24"/>
          <w:lang w:val="ro-RO"/>
        </w:rPr>
        <w:t xml:space="preserve"> ținând cont de alocațiile precizate </w:t>
      </w:r>
      <w:r w:rsidRPr="00981DAD">
        <w:rPr>
          <w:rFonts w:ascii="Times New Roman" w:eastAsia="Calibri" w:hAnsi="Times New Roman" w:cs="Times New Roman"/>
          <w:i/>
          <w:sz w:val="24"/>
          <w:szCs w:val="24"/>
          <w:lang w:val="ro-RO"/>
        </w:rPr>
        <w:t>(4</w:t>
      </w:r>
      <w:r w:rsidR="00E35632">
        <w:rPr>
          <w:rFonts w:ascii="Times New Roman" w:eastAsia="Calibri" w:hAnsi="Times New Roman" w:cs="Times New Roman"/>
          <w:i/>
          <w:sz w:val="24"/>
          <w:szCs w:val="24"/>
          <w:lang w:val="ro-RO"/>
        </w:rPr>
        <w:t>.</w:t>
      </w:r>
      <w:r w:rsidRPr="00981DAD">
        <w:rPr>
          <w:rFonts w:ascii="Times New Roman" w:eastAsia="Calibri" w:hAnsi="Times New Roman" w:cs="Times New Roman"/>
          <w:i/>
          <w:sz w:val="24"/>
          <w:szCs w:val="24"/>
          <w:lang w:val="ro-RO"/>
        </w:rPr>
        <w:t>929,4 mii lei);</w:t>
      </w:r>
      <w:r w:rsidRPr="00981DAD">
        <w:rPr>
          <w:rFonts w:ascii="Times New Roman" w:hAnsi="Times New Roman" w:cs="Times New Roman"/>
          <w:i/>
          <w:sz w:val="24"/>
          <w:szCs w:val="24"/>
        </w:rPr>
        <w:t xml:space="preserve"> </w:t>
      </w:r>
      <w:r w:rsidRPr="00981DAD">
        <w:rPr>
          <w:rFonts w:ascii="Times New Roman" w:eastAsia="Times New Roman" w:hAnsi="Times New Roman" w:cs="Times New Roman"/>
          <w:i/>
          <w:noProof/>
          <w:sz w:val="24"/>
          <w:szCs w:val="24"/>
          <w:lang w:val="ro-RO" w:eastAsia="ru-RU"/>
        </w:rPr>
        <w:t>neincluderea în planurile anuale de achiziții a 32 de contracte închei</w:t>
      </w:r>
      <w:r w:rsidR="00E35632">
        <w:rPr>
          <w:rFonts w:ascii="Times New Roman" w:eastAsia="Times New Roman" w:hAnsi="Times New Roman" w:cs="Times New Roman"/>
          <w:i/>
          <w:noProof/>
          <w:sz w:val="24"/>
          <w:szCs w:val="24"/>
          <w:lang w:val="ro-RO" w:eastAsia="ru-RU"/>
        </w:rPr>
        <w:t>a</w:t>
      </w:r>
      <w:r w:rsidRPr="00981DAD">
        <w:rPr>
          <w:rFonts w:ascii="Times New Roman" w:eastAsia="Times New Roman" w:hAnsi="Times New Roman" w:cs="Times New Roman"/>
          <w:i/>
          <w:noProof/>
          <w:sz w:val="24"/>
          <w:szCs w:val="24"/>
          <w:lang w:val="ro-RO" w:eastAsia="ru-RU"/>
        </w:rPr>
        <w:t>te (1</w:t>
      </w:r>
      <w:r w:rsidR="00E35632">
        <w:rPr>
          <w:rFonts w:ascii="Times New Roman" w:eastAsia="Times New Roman" w:hAnsi="Times New Roman" w:cs="Times New Roman"/>
          <w:i/>
          <w:noProof/>
          <w:sz w:val="24"/>
          <w:szCs w:val="24"/>
          <w:lang w:val="ro-RO" w:eastAsia="ru-RU"/>
        </w:rPr>
        <w:t>.</w:t>
      </w:r>
      <w:r w:rsidRPr="00981DAD">
        <w:rPr>
          <w:rFonts w:ascii="Times New Roman" w:eastAsia="Times New Roman" w:hAnsi="Times New Roman" w:cs="Times New Roman"/>
          <w:i/>
          <w:noProof/>
          <w:sz w:val="24"/>
          <w:szCs w:val="24"/>
          <w:lang w:val="ro-RO" w:eastAsia="ru-RU"/>
        </w:rPr>
        <w:t xml:space="preserve">356,6 mii lei); </w:t>
      </w:r>
      <w:r w:rsidRPr="00981DAD">
        <w:rPr>
          <w:rFonts w:ascii="Times New Roman" w:hAnsi="Times New Roman" w:cs="Times New Roman"/>
          <w:i/>
          <w:sz w:val="24"/>
          <w:szCs w:val="24"/>
        </w:rPr>
        <w:t xml:space="preserve">divizarea achizițiilor </w:t>
      </w:r>
      <w:r w:rsidRPr="00981DAD">
        <w:rPr>
          <w:rFonts w:ascii="Times New Roman" w:eastAsia="Calibri" w:hAnsi="Times New Roman" w:cs="Times New Roman"/>
          <w:i/>
          <w:sz w:val="24"/>
          <w:szCs w:val="24"/>
          <w:lang w:val="ro-RO"/>
        </w:rPr>
        <w:t>(</w:t>
      </w:r>
      <w:r w:rsidRPr="00981DAD">
        <w:rPr>
          <w:rFonts w:ascii="Times New Roman" w:hAnsi="Times New Roman" w:cs="Times New Roman"/>
          <w:i/>
          <w:sz w:val="24"/>
          <w:szCs w:val="24"/>
        </w:rPr>
        <w:t>632,3 mii lei</w:t>
      </w:r>
      <w:r w:rsidRPr="00981DAD">
        <w:rPr>
          <w:rFonts w:ascii="Times New Roman" w:eastAsia="Calibri" w:hAnsi="Times New Roman" w:cs="Times New Roman"/>
          <w:i/>
          <w:sz w:val="24"/>
          <w:szCs w:val="24"/>
          <w:lang w:val="ro-RO"/>
        </w:rPr>
        <w:t>);</w:t>
      </w:r>
      <w:r w:rsidRPr="00981DAD">
        <w:rPr>
          <w:rFonts w:ascii="Times New Roman" w:hAnsi="Times New Roman" w:cs="Times New Roman"/>
          <w:sz w:val="24"/>
          <w:szCs w:val="24"/>
          <w:lang w:val="ro-RO"/>
        </w:rPr>
        <w:t xml:space="preserve"> </w:t>
      </w:r>
      <w:r w:rsidRPr="00981DAD">
        <w:rPr>
          <w:rFonts w:ascii="Times New Roman" w:hAnsi="Times New Roman" w:cs="Times New Roman"/>
          <w:i/>
          <w:sz w:val="24"/>
          <w:szCs w:val="24"/>
          <w:lang w:val="ro-RO"/>
        </w:rPr>
        <w:t xml:space="preserve">nesolicitarea, în toate cazurile, a ofertelor operatorilor economici, acestea fiind prezente doar în cazul a 20,7% (1120,5 mii lei) din valoarea totală a achizițiilor de valoare mică, ca urmare nefiind asigurată </w:t>
      </w:r>
      <w:r w:rsidRPr="00981DAD">
        <w:rPr>
          <w:rFonts w:ascii="Times New Roman" w:hAnsi="Times New Roman" w:cs="Times New Roman"/>
          <w:i/>
          <w:noProof/>
          <w:sz w:val="24"/>
          <w:szCs w:val="24"/>
          <w:lang w:val="ro-RO"/>
        </w:rPr>
        <w:t>transparența, concurența și eficiența utilizării banilor publici;</w:t>
      </w:r>
      <w:r w:rsidRPr="00981DAD">
        <w:rPr>
          <w:rFonts w:ascii="Times New Roman" w:hAnsi="Times New Roman" w:cs="Times New Roman"/>
          <w:i/>
          <w:sz w:val="24"/>
          <w:szCs w:val="24"/>
        </w:rPr>
        <w:t xml:space="preserve"> executarea unor cheltuieli neeficiente pentru întreținerea mijloacelor de transport (322,6 mii lei);</w:t>
      </w:r>
      <w:r w:rsidR="005D39DA" w:rsidRPr="005D39DA">
        <w:rPr>
          <w:rFonts w:ascii="Times New Roman" w:hAnsi="Times New Roman" w:cs="Times New Roman"/>
          <w:i/>
          <w:sz w:val="24"/>
          <w:szCs w:val="24"/>
        </w:rPr>
        <w:t xml:space="preserve"> </w:t>
      </w:r>
      <w:r w:rsidR="005D39DA" w:rsidRPr="00981DAD">
        <w:rPr>
          <w:rFonts w:ascii="Times New Roman" w:hAnsi="Times New Roman" w:cs="Times New Roman"/>
          <w:i/>
          <w:sz w:val="24"/>
          <w:szCs w:val="24"/>
        </w:rPr>
        <w:t>implicarea</w:t>
      </w:r>
      <w:r w:rsidR="005D39DA" w:rsidRPr="00981DAD">
        <w:rPr>
          <w:rFonts w:ascii="Times New Roman" w:hAnsi="Times New Roman" w:cs="Times New Roman"/>
          <w:i/>
          <w:sz w:val="24"/>
          <w:szCs w:val="24"/>
          <w:lang w:val="ro-RO"/>
        </w:rPr>
        <w:t xml:space="preserve"> în anii 2015-2023 a </w:t>
      </w:r>
      <w:r w:rsidR="005D39DA" w:rsidRPr="00981DAD">
        <w:rPr>
          <w:rFonts w:ascii="Times New Roman" w:hAnsi="Times New Roman" w:cs="Times New Roman"/>
          <w:i/>
          <w:sz w:val="24"/>
          <w:szCs w:val="24"/>
        </w:rPr>
        <w:t>autoturismelor de serviciu în 14 accidente rutiere</w:t>
      </w:r>
      <w:r w:rsidR="005D39DA" w:rsidRPr="0077171B">
        <w:rPr>
          <w:rStyle w:val="FootnoteReference"/>
          <w:rFonts w:ascii="Times New Roman" w:hAnsi="Times New Roman" w:cs="Times New Roman"/>
          <w:i/>
          <w:sz w:val="24"/>
          <w:szCs w:val="24"/>
          <w:lang w:val="ro-RO"/>
        </w:rPr>
        <w:footnoteReference w:id="51"/>
      </w:r>
      <w:r w:rsidR="005D39DA" w:rsidRPr="00E35632">
        <w:rPr>
          <w:rFonts w:ascii="Times New Roman" w:hAnsi="Times New Roman" w:cs="Times New Roman"/>
          <w:i/>
          <w:sz w:val="24"/>
          <w:szCs w:val="24"/>
        </w:rPr>
        <w:t>;</w:t>
      </w:r>
      <w:r w:rsidR="005D39DA" w:rsidRPr="00981DAD">
        <w:rPr>
          <w:rFonts w:ascii="Times New Roman" w:hAnsi="Times New Roman" w:cs="Times New Roman"/>
          <w:i/>
          <w:sz w:val="24"/>
          <w:szCs w:val="24"/>
        </w:rPr>
        <w:t xml:space="preserve"> </w:t>
      </w:r>
      <w:r w:rsidRPr="00981DAD">
        <w:rPr>
          <w:rFonts w:ascii="Times New Roman" w:hAnsi="Times New Roman" w:cs="Times New Roman"/>
          <w:i/>
          <w:sz w:val="24"/>
          <w:szCs w:val="24"/>
          <w:lang w:val="ro-RO" w:eastAsia="ru-RU"/>
        </w:rPr>
        <w:t xml:space="preserve">achitarea </w:t>
      </w:r>
      <w:r w:rsidRPr="00981DAD">
        <w:rPr>
          <w:rFonts w:ascii="Times New Roman" w:hAnsi="Times New Roman" w:cs="Times New Roman"/>
          <w:i/>
          <w:sz w:val="24"/>
          <w:szCs w:val="24"/>
          <w:lang w:val="ro-RO"/>
        </w:rPr>
        <w:t>premiilor unice în mod neuniform și în variații semnificative, achitarea unor sporuri cu emiterea post-factum a ordinelor de plată (289,1 mii lei) și admiterea unor plăți nejustificate (44,8 mii lei);</w:t>
      </w:r>
      <w:r>
        <w:rPr>
          <w:rFonts w:ascii="Times New Roman" w:hAnsi="Times New Roman" w:cs="Times New Roman"/>
          <w:i/>
          <w:sz w:val="24"/>
          <w:szCs w:val="24"/>
          <w:lang w:val="ro-RO"/>
        </w:rPr>
        <w:t xml:space="preserve"> </w:t>
      </w:r>
      <w:r>
        <w:rPr>
          <w:rFonts w:ascii="Times New Roman" w:hAnsi="Times New Roman" w:cs="Times New Roman"/>
          <w:i/>
          <w:sz w:val="24"/>
          <w:szCs w:val="24"/>
        </w:rPr>
        <w:t>ne</w:t>
      </w:r>
      <w:r w:rsidRPr="00981DAD">
        <w:rPr>
          <w:rFonts w:ascii="Times New Roman" w:hAnsi="Times New Roman" w:cs="Times New Roman"/>
          <w:i/>
          <w:sz w:val="24"/>
          <w:szCs w:val="24"/>
          <w:lang w:val="ro-RO"/>
        </w:rPr>
        <w:t>respectarea prevederilor regulamentare privind deplasările de serviciu în străinătate a determinat limitarea transparenței cheltuielilor executate în aceste scopuri (</w:t>
      </w:r>
      <w:r w:rsidRPr="00981DAD">
        <w:rPr>
          <w:rFonts w:ascii="Times New Roman" w:eastAsia="Calibri" w:hAnsi="Times New Roman" w:cs="Times New Roman"/>
          <w:i/>
          <w:color w:val="000000"/>
          <w:sz w:val="24"/>
          <w:szCs w:val="24"/>
          <w:lang w:val="ro-RO"/>
        </w:rPr>
        <w:t>1</w:t>
      </w:r>
      <w:r w:rsidR="00D43D91">
        <w:rPr>
          <w:rFonts w:ascii="Times New Roman" w:eastAsia="Calibri" w:hAnsi="Times New Roman" w:cs="Times New Roman"/>
          <w:i/>
          <w:color w:val="000000"/>
          <w:sz w:val="24"/>
          <w:szCs w:val="24"/>
          <w:lang w:val="ro-RO"/>
        </w:rPr>
        <w:t>.</w:t>
      </w:r>
      <w:r w:rsidRPr="00981DAD">
        <w:rPr>
          <w:rFonts w:ascii="Times New Roman" w:eastAsia="Calibri" w:hAnsi="Times New Roman" w:cs="Times New Roman"/>
          <w:i/>
          <w:color w:val="000000"/>
          <w:sz w:val="24"/>
          <w:szCs w:val="24"/>
          <w:lang w:val="ro-RO"/>
        </w:rPr>
        <w:t xml:space="preserve">034,9 mii lei), neconformitatea unor cheltuieli (18,8 mii lei), precum și </w:t>
      </w:r>
      <w:r w:rsidRPr="00981DAD">
        <w:rPr>
          <w:rFonts w:ascii="Times New Roman" w:hAnsi="Times New Roman" w:cs="Times New Roman"/>
          <w:i/>
          <w:sz w:val="24"/>
          <w:szCs w:val="24"/>
          <w:lang w:val="ro-RO"/>
        </w:rPr>
        <w:t>neraportarea impactului deplasărilor de serviciu ca plusvaloare asupra activității de bază și a personalului entității</w:t>
      </w:r>
      <w:r>
        <w:rPr>
          <w:rFonts w:ascii="Times New Roman" w:hAnsi="Times New Roman" w:cs="Times New Roman"/>
          <w:i/>
          <w:sz w:val="24"/>
          <w:szCs w:val="24"/>
          <w:lang w:val="ro-RO"/>
        </w:rPr>
        <w:t>.</w:t>
      </w:r>
    </w:p>
    <w:p w14:paraId="474313C2" w14:textId="77777777" w:rsidR="00981DAD" w:rsidRPr="004D2FF7" w:rsidRDefault="00981DAD" w:rsidP="00B536B0">
      <w:pPr>
        <w:pStyle w:val="Default"/>
        <w:spacing w:after="120" w:line="276" w:lineRule="auto"/>
        <w:jc w:val="both"/>
        <w:outlineLvl w:val="2"/>
        <w:rPr>
          <w:b/>
          <w:i/>
          <w:color w:val="2E74B5" w:themeColor="accent1" w:themeShade="BF"/>
          <w:lang w:val="ro-RO"/>
        </w:rPr>
      </w:pPr>
    </w:p>
    <w:p w14:paraId="7359D75C" w14:textId="77777777" w:rsidR="00107A7E" w:rsidRPr="004D2FF7" w:rsidRDefault="00107A7E" w:rsidP="00B536B0">
      <w:pPr>
        <w:pStyle w:val="Default"/>
        <w:spacing w:after="120" w:line="276" w:lineRule="auto"/>
        <w:jc w:val="both"/>
        <w:outlineLvl w:val="2"/>
        <w:rPr>
          <w:b/>
          <w:i/>
          <w:color w:val="2E74B5" w:themeColor="accent1" w:themeShade="BF"/>
          <w:lang w:val="ro-RO"/>
        </w:rPr>
      </w:pPr>
      <w:bookmarkStart w:id="32" w:name="_Toc157776094"/>
      <w:r w:rsidRPr="004D2FF7">
        <w:rPr>
          <w:b/>
          <w:i/>
          <w:color w:val="2E74B5" w:themeColor="accent1" w:themeShade="BF"/>
          <w:lang w:val="ro-RO"/>
        </w:rPr>
        <w:t>4.</w:t>
      </w:r>
      <w:r w:rsidR="00121761" w:rsidRPr="004D2FF7">
        <w:rPr>
          <w:b/>
          <w:i/>
          <w:color w:val="2E74B5" w:themeColor="accent1" w:themeShade="BF"/>
          <w:lang w:val="ro-RO"/>
        </w:rPr>
        <w:t>2</w:t>
      </w:r>
      <w:r w:rsidRPr="004D2FF7">
        <w:rPr>
          <w:b/>
          <w:i/>
          <w:color w:val="2E74B5" w:themeColor="accent1" w:themeShade="BF"/>
          <w:lang w:val="ro-RO"/>
        </w:rPr>
        <w:t>.</w:t>
      </w:r>
      <w:r w:rsidR="00121761" w:rsidRPr="004D2FF7">
        <w:rPr>
          <w:b/>
          <w:i/>
          <w:color w:val="2E74B5" w:themeColor="accent1" w:themeShade="BF"/>
          <w:lang w:val="ro-RO"/>
        </w:rPr>
        <w:t>1</w:t>
      </w:r>
      <w:r w:rsidRPr="004D2FF7">
        <w:rPr>
          <w:b/>
          <w:i/>
          <w:color w:val="2E74B5" w:themeColor="accent1" w:themeShade="BF"/>
          <w:lang w:val="ro-RO"/>
        </w:rPr>
        <w:t>. CNPDCP</w:t>
      </w:r>
      <w:r w:rsidR="00D43D91">
        <w:rPr>
          <w:b/>
          <w:i/>
          <w:color w:val="2E74B5" w:themeColor="accent1" w:themeShade="BF"/>
          <w:lang w:val="ro-RO"/>
        </w:rPr>
        <w:t>,</w:t>
      </w:r>
      <w:r w:rsidRPr="004D2FF7">
        <w:rPr>
          <w:b/>
          <w:i/>
          <w:color w:val="2E74B5" w:themeColor="accent1" w:themeShade="BF"/>
          <w:lang w:val="ro-RO"/>
        </w:rPr>
        <w:t xml:space="preserve"> în calitate de autoritate contractantă</w:t>
      </w:r>
      <w:r w:rsidR="00D43D91">
        <w:rPr>
          <w:b/>
          <w:i/>
          <w:color w:val="2E74B5" w:themeColor="accent1" w:themeShade="BF"/>
          <w:lang w:val="ro-RO"/>
        </w:rPr>
        <w:t>,</w:t>
      </w:r>
      <w:r w:rsidRPr="004D2FF7">
        <w:rPr>
          <w:b/>
          <w:i/>
          <w:color w:val="2E74B5" w:themeColor="accent1" w:themeShade="BF"/>
          <w:lang w:val="ro-RO"/>
        </w:rPr>
        <w:t xml:space="preserve"> nu a asigurat respectarea condițiilor și principiilor de bază aplicate la planificarea achizițiilor publice</w:t>
      </w:r>
      <w:r w:rsidR="00D43D91">
        <w:rPr>
          <w:b/>
          <w:i/>
          <w:color w:val="2E74B5" w:themeColor="accent1" w:themeShade="BF"/>
          <w:lang w:val="ro-RO"/>
        </w:rPr>
        <w:t>,</w:t>
      </w:r>
      <w:r w:rsidRPr="004D2FF7">
        <w:rPr>
          <w:b/>
          <w:bCs/>
          <w:i/>
          <w:noProof/>
          <w:color w:val="2E74B5" w:themeColor="accent1" w:themeShade="BF"/>
          <w:lang w:val="ro-RO"/>
        </w:rPr>
        <w:t xml:space="preserve"> fiind atestate neconformități la </w:t>
      </w:r>
      <w:r w:rsidRPr="004D2FF7">
        <w:rPr>
          <w:rFonts w:eastAsia="Times New Roman"/>
          <w:b/>
          <w:bCs/>
          <w:i/>
          <w:color w:val="2E74B5" w:themeColor="accent1" w:themeShade="BF"/>
        </w:rPr>
        <w:t>utilizarea</w:t>
      </w:r>
      <w:r w:rsidR="00423E6D" w:rsidRPr="004D2FF7">
        <w:rPr>
          <w:rFonts w:eastAsia="Times New Roman"/>
          <w:b/>
          <w:bCs/>
          <w:i/>
          <w:color w:val="2E74B5" w:themeColor="accent1" w:themeShade="BF"/>
        </w:rPr>
        <w:t xml:space="preserve"> transparentă și eficientă a</w:t>
      </w:r>
      <w:r w:rsidRPr="004D2FF7">
        <w:rPr>
          <w:rFonts w:eastAsia="Times New Roman"/>
          <w:b/>
          <w:bCs/>
          <w:i/>
          <w:color w:val="2E74B5" w:themeColor="accent1" w:themeShade="BF"/>
        </w:rPr>
        <w:t xml:space="preserve"> mijloacelor bugetare pentru achiziția bunurilor și serviciilor</w:t>
      </w:r>
      <w:r w:rsidR="00D43D91">
        <w:rPr>
          <w:rFonts w:eastAsia="Times New Roman"/>
          <w:b/>
          <w:bCs/>
          <w:i/>
          <w:color w:val="2E74B5" w:themeColor="accent1" w:themeShade="BF"/>
        </w:rPr>
        <w:t>.</w:t>
      </w:r>
      <w:bookmarkEnd w:id="32"/>
      <w:r w:rsidRPr="004D2FF7">
        <w:rPr>
          <w:b/>
          <w:i/>
          <w:color w:val="2E74B5" w:themeColor="accent1" w:themeShade="BF"/>
          <w:lang w:val="ro-RO"/>
        </w:rPr>
        <w:t xml:space="preserve"> </w:t>
      </w:r>
    </w:p>
    <w:p w14:paraId="58A7D51D" w14:textId="77777777" w:rsidR="00107A7E" w:rsidRPr="004D2FF7" w:rsidRDefault="00040F89" w:rsidP="00B536B0">
      <w:pPr>
        <w:pStyle w:val="Default"/>
        <w:spacing w:after="120" w:line="276" w:lineRule="auto"/>
        <w:jc w:val="both"/>
        <w:rPr>
          <w:lang w:val="ro-RO"/>
        </w:rPr>
      </w:pPr>
      <w:r w:rsidRPr="004D2FF7">
        <w:rPr>
          <w:rFonts w:eastAsia="Times New Roman"/>
          <w:lang w:eastAsia="ro-MD"/>
        </w:rPr>
        <w:t xml:space="preserve">Achizițiile publice transparente dau tonul bunei guvernări. </w:t>
      </w:r>
      <w:r w:rsidRPr="004D2FF7">
        <w:rPr>
          <w:rFonts w:eastAsia="Times New Roman"/>
          <w:noProof/>
        </w:rPr>
        <w:t>Se mențonează că s</w:t>
      </w:r>
      <w:r w:rsidRPr="004D2FF7">
        <w:rPr>
          <w:noProof/>
        </w:rPr>
        <w:t>istemul de achiziții publice din cadrul CNPDCP se confruntă cu o serie de probleme, precum</w:t>
      </w:r>
      <w:r w:rsidRPr="004D2FF7">
        <w:rPr>
          <w:rFonts w:eastAsia="Times New Roman"/>
          <w:noProof/>
        </w:rPr>
        <w:t>: planificarea neregulamentară a achizițiilor publice; elaborarea de o calitate scăzută a documentaței de atribuire</w:t>
      </w:r>
      <w:r w:rsidRPr="004D2FF7">
        <w:t xml:space="preserve"> </w:t>
      </w:r>
      <w:r w:rsidRPr="004D2FF7">
        <w:rPr>
          <w:rFonts w:eastAsia="Times New Roman"/>
          <w:noProof/>
        </w:rPr>
        <w:t>aplicată</w:t>
      </w:r>
      <w:r w:rsidRPr="004D2FF7">
        <w:t xml:space="preserve"> în cadrul procedurilor de achiziții publice</w:t>
      </w:r>
      <w:r w:rsidRPr="004D2FF7">
        <w:rPr>
          <w:rFonts w:eastAsia="Times New Roman"/>
          <w:noProof/>
        </w:rPr>
        <w:t>; divizarea achiziţiilor publice, evitarea utilizării metodelor competitive la desfăşurarea procedurilor de achiziţii publice;</w:t>
      </w:r>
      <w:r w:rsidRPr="004D2FF7">
        <w:rPr>
          <w:noProof/>
        </w:rPr>
        <w:t xml:space="preserve"> lipsa transparenței; concurența limitată, dar și ineficiența în utilizarea banilor publici.  </w:t>
      </w:r>
    </w:p>
    <w:p w14:paraId="39A79A91" w14:textId="7EB5FA3F" w:rsidR="007433DF" w:rsidRPr="004D2FF7" w:rsidRDefault="00EC6A97" w:rsidP="009D1ABB">
      <w:pPr>
        <w:shd w:val="clear" w:color="auto" w:fill="FFFFFF"/>
        <w:tabs>
          <w:tab w:val="left" w:pos="0"/>
          <w:tab w:val="left" w:pos="450"/>
          <w:tab w:val="left" w:pos="720"/>
        </w:tabs>
        <w:spacing w:after="120" w:line="276" w:lineRule="auto"/>
        <w:ind w:right="9"/>
        <w:jc w:val="both"/>
        <w:rPr>
          <w:rFonts w:ascii="Times New Roman" w:eastAsia="Calibri" w:hAnsi="Times New Roman" w:cs="Times New Roman"/>
          <w:b/>
          <w:i/>
          <w:sz w:val="24"/>
          <w:szCs w:val="24"/>
          <w:lang w:val="ro-RO"/>
        </w:rPr>
      </w:pPr>
      <w:r w:rsidRPr="004D2FF7">
        <w:rPr>
          <w:rFonts w:ascii="Times New Roman" w:eastAsia="Calibri" w:hAnsi="Times New Roman" w:cs="Times New Roman"/>
          <w:b/>
          <w:bCs/>
          <w:i/>
          <w:iCs/>
          <w:sz w:val="24"/>
          <w:szCs w:val="24"/>
          <w:lang w:val="ro-RO"/>
        </w:rPr>
        <w:t>a</w:t>
      </w:r>
      <w:r w:rsidR="009D1ABB" w:rsidRPr="004D2FF7">
        <w:rPr>
          <w:rFonts w:ascii="Times New Roman" w:eastAsia="Calibri" w:hAnsi="Times New Roman" w:cs="Times New Roman"/>
          <w:b/>
          <w:bCs/>
          <w:i/>
          <w:iCs/>
          <w:sz w:val="24"/>
          <w:szCs w:val="24"/>
          <w:lang w:val="ro-RO"/>
        </w:rPr>
        <w:t xml:space="preserve">) </w:t>
      </w:r>
      <w:r w:rsidR="007433DF" w:rsidRPr="004D2FF7">
        <w:rPr>
          <w:rFonts w:ascii="Times New Roman" w:eastAsia="Calibri" w:hAnsi="Times New Roman" w:cs="Times New Roman"/>
          <w:b/>
          <w:bCs/>
          <w:i/>
          <w:iCs/>
          <w:sz w:val="24"/>
          <w:szCs w:val="24"/>
          <w:lang w:val="ro-RO"/>
        </w:rPr>
        <w:t xml:space="preserve">Verificările auditului public extern asupra conformității </w:t>
      </w:r>
      <w:r w:rsidR="007433DF" w:rsidRPr="004D2FF7">
        <w:rPr>
          <w:rFonts w:ascii="Times New Roman" w:eastAsia="Calibri" w:hAnsi="Times New Roman" w:cs="Times New Roman"/>
          <w:b/>
          <w:i/>
          <w:sz w:val="24"/>
          <w:szCs w:val="24"/>
          <w:lang w:val="ro-RO"/>
        </w:rPr>
        <w:t xml:space="preserve">procedurilor de achiziții publice și executării cheltuielilor aferente achizițiilor în cadrul CNPDCP au stabilit </w:t>
      </w:r>
      <w:r w:rsidR="00D43D91">
        <w:rPr>
          <w:rFonts w:ascii="Times New Roman" w:eastAsia="Calibri" w:hAnsi="Times New Roman" w:cs="Times New Roman"/>
          <w:b/>
          <w:i/>
          <w:sz w:val="24"/>
          <w:szCs w:val="24"/>
          <w:lang w:val="ro-RO"/>
        </w:rPr>
        <w:t>mai multe</w:t>
      </w:r>
      <w:r w:rsidR="00D43D91" w:rsidRPr="004D2FF7">
        <w:rPr>
          <w:rFonts w:ascii="Times New Roman" w:eastAsia="Calibri" w:hAnsi="Times New Roman" w:cs="Times New Roman"/>
          <w:b/>
          <w:i/>
          <w:sz w:val="24"/>
          <w:szCs w:val="24"/>
          <w:lang w:val="ro-RO"/>
        </w:rPr>
        <w:t xml:space="preserve"> </w:t>
      </w:r>
      <w:r w:rsidR="003D09FD" w:rsidRPr="004D2FF7">
        <w:rPr>
          <w:rFonts w:ascii="Times New Roman" w:eastAsia="Calibri" w:hAnsi="Times New Roman" w:cs="Times New Roman"/>
          <w:b/>
          <w:i/>
          <w:sz w:val="24"/>
          <w:szCs w:val="24"/>
          <w:lang w:val="ro-RO"/>
        </w:rPr>
        <w:t>problematici și deficiențe</w:t>
      </w:r>
      <w:r w:rsidR="00D43D91">
        <w:rPr>
          <w:rFonts w:ascii="Times New Roman" w:eastAsia="Calibri" w:hAnsi="Times New Roman" w:cs="Times New Roman"/>
          <w:b/>
          <w:i/>
          <w:sz w:val="24"/>
          <w:szCs w:val="24"/>
          <w:lang w:val="ro-RO"/>
        </w:rPr>
        <w:t>.</w:t>
      </w:r>
    </w:p>
    <w:p w14:paraId="6DE18F21" w14:textId="77777777" w:rsidR="005451E5" w:rsidRPr="004D2FF7" w:rsidRDefault="00C968A4" w:rsidP="003D09FD">
      <w:pPr>
        <w:pStyle w:val="Default"/>
        <w:spacing w:after="120" w:line="276" w:lineRule="auto"/>
        <w:jc w:val="both"/>
        <w:rPr>
          <w:noProof/>
          <w:lang w:val="ro-RO"/>
        </w:rPr>
      </w:pPr>
      <w:r w:rsidRPr="004D2FF7">
        <w:rPr>
          <w:lang w:val="ro-RO"/>
        </w:rPr>
        <w:t>Potrivit cadrului normativ</w:t>
      </w:r>
      <w:r w:rsidRPr="004D2FF7">
        <w:rPr>
          <w:rStyle w:val="FootnoteReference"/>
          <w:lang w:val="ro-RO"/>
        </w:rPr>
        <w:footnoteReference w:id="52"/>
      </w:r>
      <w:r w:rsidRPr="004D2FF7">
        <w:rPr>
          <w:lang w:val="ro-RO"/>
        </w:rPr>
        <w:t>, p</w:t>
      </w:r>
      <w:r w:rsidRPr="004D2FF7">
        <w:rPr>
          <w:iCs/>
          <w:lang w:val="ro-RO"/>
        </w:rPr>
        <w:t>lanul de achiziții</w:t>
      </w:r>
      <w:r w:rsidRPr="004D2FF7">
        <w:rPr>
          <w:lang w:val="ro-RO"/>
        </w:rPr>
        <w:t xml:space="preserve"> al autorității contractante reprezintă ansamblul necesităților de bunuri, lucrări și servicii pentru întregul an bugetar, necesități care urmează a fi realizate prin încheierea unuia sau mai multor contracte de achiziții publice, în funcție de modul de planificare a acestora. Planul de achiziții trebuie să corespundă principiilor anualității; fundamentării </w:t>
      </w:r>
      <w:r w:rsidRPr="004D2FF7">
        <w:rPr>
          <w:lang w:val="ro-RO"/>
        </w:rPr>
        <w:lastRenderedPageBreak/>
        <w:t>pe necesitățile reale; acoperirii financiare; accesibilității și transparenței. Totodată, l</w:t>
      </w:r>
      <w:r w:rsidRPr="004D2FF7">
        <w:rPr>
          <w:lang w:val="ro-RO" w:eastAsia="ru-RU"/>
        </w:rPr>
        <w:t>a planificarea achizițiilor publice, grupul de lucru este obligat să respecte principiile asigurării concurenței, eficienței, transparenței, tratamentului egal, nediscriminării şi nedivizării acestora</w:t>
      </w:r>
      <w:r w:rsidRPr="004D2FF7">
        <w:rPr>
          <w:vertAlign w:val="superscript"/>
          <w:lang w:val="ro-RO" w:eastAsia="ru-RU"/>
        </w:rPr>
        <w:footnoteReference w:id="53"/>
      </w:r>
      <w:r w:rsidRPr="004D2FF7">
        <w:rPr>
          <w:lang w:val="ro-RO" w:eastAsia="ru-RU"/>
        </w:rPr>
        <w:t xml:space="preserve">. </w:t>
      </w:r>
      <w:r w:rsidR="005451E5" w:rsidRPr="004D2FF7">
        <w:rPr>
          <w:noProof/>
          <w:lang w:val="ro-RO"/>
        </w:rPr>
        <w:t>În contextul celor consemnate, auditul relevă următoarele</w:t>
      </w:r>
      <w:r w:rsidR="00647F6C">
        <w:rPr>
          <w:noProof/>
          <w:lang w:val="ro-RO"/>
        </w:rPr>
        <w:t xml:space="preserve"> observații de audit:</w:t>
      </w:r>
    </w:p>
    <w:p w14:paraId="013CD8C2" w14:textId="77777777" w:rsidR="00440C75" w:rsidRDefault="005451E5" w:rsidP="00440C75">
      <w:pPr>
        <w:pStyle w:val="Default"/>
        <w:numPr>
          <w:ilvl w:val="0"/>
          <w:numId w:val="34"/>
        </w:numPr>
        <w:tabs>
          <w:tab w:val="left" w:pos="567"/>
        </w:tabs>
        <w:spacing w:line="276" w:lineRule="auto"/>
        <w:ind w:left="0" w:firstLine="284"/>
        <w:jc w:val="both"/>
        <w:rPr>
          <w:rFonts w:eastAsia="Times New Roman"/>
          <w:noProof/>
          <w:lang w:val="ro-RO" w:eastAsia="ru-RU"/>
        </w:rPr>
      </w:pPr>
      <w:r w:rsidRPr="004D2FF7">
        <w:rPr>
          <w:rFonts w:eastAsia="Times New Roman"/>
          <w:bCs/>
        </w:rPr>
        <w:t>CNPDCP</w:t>
      </w:r>
      <w:r w:rsidR="00B57E0B" w:rsidRPr="004D2FF7">
        <w:rPr>
          <w:rFonts w:eastAsia="Times New Roman"/>
          <w:bCs/>
        </w:rPr>
        <w:t xml:space="preserve">, </w:t>
      </w:r>
      <w:r w:rsidRPr="004D2FF7">
        <w:rPr>
          <w:rFonts w:eastAsia="Times New Roman"/>
          <w:bCs/>
        </w:rPr>
        <w:t>ca a</w:t>
      </w:r>
      <w:r w:rsidRPr="004D2FF7">
        <w:rPr>
          <w:rFonts w:eastAsia="Times New Roman"/>
          <w:noProof/>
          <w:lang w:val="ro-RO" w:eastAsia="ru-RU"/>
        </w:rPr>
        <w:t xml:space="preserve">utoritate contractantă </w:t>
      </w:r>
      <w:r w:rsidR="00CC24D3" w:rsidRPr="004D2FF7">
        <w:rPr>
          <w:rFonts w:eastAsia="Times New Roman"/>
          <w:noProof/>
          <w:lang w:val="ro-RO" w:eastAsia="ru-RU"/>
        </w:rPr>
        <w:t xml:space="preserve">a </w:t>
      </w:r>
      <w:r w:rsidRPr="004D2FF7">
        <w:rPr>
          <w:rFonts w:eastAsia="Times New Roman"/>
          <w:noProof/>
          <w:lang w:val="ro-RO" w:eastAsia="ru-RU"/>
        </w:rPr>
        <w:t>subestim</w:t>
      </w:r>
      <w:r w:rsidR="00CC24D3" w:rsidRPr="004D2FF7">
        <w:rPr>
          <w:rFonts w:eastAsia="Times New Roman"/>
          <w:noProof/>
          <w:lang w:val="ro-RO" w:eastAsia="ru-RU"/>
        </w:rPr>
        <w:t>at</w:t>
      </w:r>
      <w:r w:rsidRPr="004D2FF7">
        <w:rPr>
          <w:rFonts w:eastAsia="Times New Roman"/>
          <w:noProof/>
          <w:lang w:val="ro-RO" w:eastAsia="ru-RU"/>
        </w:rPr>
        <w:t xml:space="preserve"> etapa de planificare a procesului de achiziții publice, iar planurile anuale privind achizițiile de bunuri, lucrări și servicii nu sunt realiste și fundamentate</w:t>
      </w:r>
      <w:r w:rsidR="00280FFC" w:rsidRPr="004D2FF7">
        <w:rPr>
          <w:rFonts w:eastAsia="Times New Roman"/>
          <w:noProof/>
          <w:lang w:val="ro-RO" w:eastAsia="ru-RU"/>
        </w:rPr>
        <w:t>;</w:t>
      </w:r>
    </w:p>
    <w:p w14:paraId="16543005" w14:textId="385F72E5" w:rsidR="00440C75" w:rsidRDefault="00DA11DE" w:rsidP="00440C75">
      <w:pPr>
        <w:pStyle w:val="Default"/>
        <w:numPr>
          <w:ilvl w:val="0"/>
          <w:numId w:val="34"/>
        </w:numPr>
        <w:tabs>
          <w:tab w:val="left" w:pos="567"/>
        </w:tabs>
        <w:spacing w:line="276" w:lineRule="auto"/>
        <w:ind w:left="0" w:firstLine="284"/>
        <w:jc w:val="both"/>
        <w:rPr>
          <w:rFonts w:eastAsia="Times New Roman"/>
          <w:noProof/>
          <w:lang w:val="ro-RO" w:eastAsia="ru-RU"/>
        </w:rPr>
      </w:pPr>
      <w:r>
        <w:rPr>
          <w:rFonts w:eastAsia="Times New Roman"/>
          <w:noProof/>
          <w:lang w:eastAsia="ru-RU"/>
        </w:rPr>
        <w:t>c</w:t>
      </w:r>
      <w:r w:rsidR="00B57E0B" w:rsidRPr="00440C75">
        <w:rPr>
          <w:rFonts w:eastAsia="Times New Roman"/>
          <w:noProof/>
          <w:lang w:eastAsia="ru-RU"/>
        </w:rPr>
        <w:t>ontrar prevederilor legale</w:t>
      </w:r>
      <w:r w:rsidR="00A714FC" w:rsidRPr="004D2FF7">
        <w:rPr>
          <w:rStyle w:val="FootnoteReference"/>
          <w:rFonts w:eastAsia="Times New Roman"/>
          <w:noProof/>
          <w:lang w:eastAsia="ru-RU"/>
        </w:rPr>
        <w:footnoteReference w:id="54"/>
      </w:r>
      <w:r>
        <w:rPr>
          <w:rFonts w:eastAsia="Times New Roman"/>
          <w:noProof/>
          <w:lang w:eastAsia="ru-RU"/>
        </w:rPr>
        <w:t>,</w:t>
      </w:r>
      <w:r w:rsidR="00B57E0B" w:rsidRPr="00440C75">
        <w:rPr>
          <w:rFonts w:eastAsia="Times New Roman"/>
          <w:noProof/>
          <w:lang w:eastAsia="ru-RU"/>
        </w:rPr>
        <w:t xml:space="preserve"> </w:t>
      </w:r>
      <w:r w:rsidR="00B57E0B" w:rsidRPr="00440C75">
        <w:rPr>
          <w:rFonts w:eastAsia="Times New Roman"/>
        </w:rPr>
        <w:t xml:space="preserve">autoritatea contractată nu a publicat </w:t>
      </w:r>
      <w:r w:rsidR="00B57E0B" w:rsidRPr="004D2FF7">
        <w:t>regulamentar</w:t>
      </w:r>
      <w:r w:rsidR="00F06277" w:rsidRPr="00440C75">
        <w:rPr>
          <w:rFonts w:eastAsia="Times New Roman"/>
        </w:rPr>
        <w:t xml:space="preserve"> </w:t>
      </w:r>
      <w:r w:rsidR="00F51C1C" w:rsidRPr="004D2FF7">
        <w:t>planurile de achiziții publice de mărfuri și servicii pe anii 2018-2021</w:t>
      </w:r>
      <w:r w:rsidR="00F51C1C" w:rsidRPr="004D2FF7">
        <w:rPr>
          <w:rStyle w:val="FootnoteReference"/>
          <w:lang w:val="ro-RO"/>
        </w:rPr>
        <w:footnoteReference w:id="55"/>
      </w:r>
      <w:r>
        <w:t>,</w:t>
      </w:r>
      <w:r w:rsidR="00F51C1C" w:rsidRPr="00440C75">
        <w:rPr>
          <w:lang w:val="ro-RO"/>
        </w:rPr>
        <w:t xml:space="preserve"> în sumă de 6</w:t>
      </w:r>
      <w:r>
        <w:rPr>
          <w:lang w:val="ro-RO"/>
        </w:rPr>
        <w:t>.</w:t>
      </w:r>
      <w:r w:rsidR="00F51C1C" w:rsidRPr="00440C75">
        <w:rPr>
          <w:lang w:val="ro-RO"/>
        </w:rPr>
        <w:t>835,5 mi</w:t>
      </w:r>
      <w:r w:rsidR="00EE7E90">
        <w:rPr>
          <w:lang w:val="ro-RO"/>
        </w:rPr>
        <w:t xml:space="preserve">i </w:t>
      </w:r>
      <w:r w:rsidR="00F51C1C" w:rsidRPr="00440C75">
        <w:rPr>
          <w:lang w:val="ro-RO"/>
        </w:rPr>
        <w:t>lei (fără TVA)</w:t>
      </w:r>
      <w:r>
        <w:rPr>
          <w:lang w:val="ro-RO"/>
        </w:rPr>
        <w:t>,</w:t>
      </w:r>
      <w:r w:rsidR="00F51C1C" w:rsidRPr="00440C75">
        <w:rPr>
          <w:lang w:val="ro-RO"/>
        </w:rPr>
        <w:t xml:space="preserve"> </w:t>
      </w:r>
      <w:r w:rsidR="00F06277" w:rsidRPr="00440C75">
        <w:rPr>
          <w:rFonts w:eastAsia="Times New Roman"/>
        </w:rPr>
        <w:t>pe pagina sa web în termen de 15 zile de la aprobarea</w:t>
      </w:r>
      <w:r w:rsidR="00F51C1C" w:rsidRPr="00440C75">
        <w:rPr>
          <w:rFonts w:eastAsia="Times New Roman"/>
        </w:rPr>
        <w:t xml:space="preserve"> acestora</w:t>
      </w:r>
      <w:r w:rsidR="00F06277" w:rsidRPr="00440C75">
        <w:rPr>
          <w:rFonts w:eastAsia="Times New Roman"/>
        </w:rPr>
        <w:t xml:space="preserve"> sau în 5 zile de la modificarea acestuia</w:t>
      </w:r>
      <w:r w:rsidR="00F06277" w:rsidRPr="00440C75">
        <w:rPr>
          <w:lang w:val="ro-RO"/>
        </w:rPr>
        <w:t xml:space="preserve">. </w:t>
      </w:r>
      <w:r w:rsidR="0016269A" w:rsidRPr="00440C75">
        <w:rPr>
          <w:lang w:val="ro-RO"/>
        </w:rPr>
        <w:t xml:space="preserve">Auditul a stabilit că </w:t>
      </w:r>
      <w:r w:rsidR="00F06277" w:rsidRPr="004D2FF7">
        <w:t>plan</w:t>
      </w:r>
      <w:r w:rsidR="00647F6C">
        <w:t>urile</w:t>
      </w:r>
      <w:r w:rsidR="00F06277" w:rsidRPr="004D2FF7">
        <w:t xml:space="preserve"> de achiziții</w:t>
      </w:r>
      <w:r w:rsidR="00AB49A2" w:rsidRPr="004D2FF7">
        <w:t xml:space="preserve"> </w:t>
      </w:r>
      <w:r w:rsidR="00F06277" w:rsidRPr="004D2FF7">
        <w:t>pe an</w:t>
      </w:r>
      <w:r w:rsidR="00647F6C">
        <w:t>ii</w:t>
      </w:r>
      <w:r w:rsidR="00F06277" w:rsidRPr="004D2FF7">
        <w:t xml:space="preserve"> 2018</w:t>
      </w:r>
      <w:r w:rsidR="00647F6C">
        <w:t>-2019</w:t>
      </w:r>
      <w:r w:rsidR="00AB49A2" w:rsidRPr="004D2FF7">
        <w:t xml:space="preserve"> în </w:t>
      </w:r>
      <w:r w:rsidR="00647F6C">
        <w:t>valoare</w:t>
      </w:r>
      <w:r w:rsidR="00AB49A2" w:rsidRPr="004D2FF7">
        <w:t xml:space="preserve"> de </w:t>
      </w:r>
      <w:r w:rsidR="00AB49A2" w:rsidRPr="00440C75">
        <w:rPr>
          <w:lang w:val="ro-RO"/>
        </w:rPr>
        <w:t>2</w:t>
      </w:r>
      <w:r>
        <w:rPr>
          <w:lang w:val="ro-RO"/>
        </w:rPr>
        <w:t>.</w:t>
      </w:r>
      <w:r w:rsidR="00AB49A2" w:rsidRPr="00440C75">
        <w:rPr>
          <w:lang w:val="ro-RO"/>
        </w:rPr>
        <w:t>434,8 mii lei</w:t>
      </w:r>
      <w:r w:rsidR="00647F6C" w:rsidRPr="00440C75">
        <w:rPr>
          <w:lang w:val="ro-RO"/>
        </w:rPr>
        <w:t xml:space="preserve"> și</w:t>
      </w:r>
      <w:r>
        <w:rPr>
          <w:lang w:val="ro-RO"/>
        </w:rPr>
        <w:t>,</w:t>
      </w:r>
      <w:r w:rsidR="00647F6C" w:rsidRPr="00440C75">
        <w:rPr>
          <w:lang w:val="ro-RO"/>
        </w:rPr>
        <w:t xml:space="preserve"> respectiv</w:t>
      </w:r>
      <w:r>
        <w:rPr>
          <w:lang w:val="ro-RO"/>
        </w:rPr>
        <w:t>,</w:t>
      </w:r>
      <w:r w:rsidR="00647F6C" w:rsidRPr="00647F6C">
        <w:t xml:space="preserve"> </w:t>
      </w:r>
      <w:r w:rsidR="00647F6C" w:rsidRPr="004D2FF7">
        <w:t xml:space="preserve">de </w:t>
      </w:r>
      <w:r w:rsidR="00647F6C" w:rsidRPr="00440C75">
        <w:rPr>
          <w:lang w:val="ro-RO"/>
        </w:rPr>
        <w:t>1</w:t>
      </w:r>
      <w:r>
        <w:rPr>
          <w:lang w:val="ro-RO"/>
        </w:rPr>
        <w:t>.</w:t>
      </w:r>
      <w:r w:rsidR="00647F6C" w:rsidRPr="00440C75">
        <w:rPr>
          <w:lang w:val="ro-RO"/>
        </w:rPr>
        <w:t xml:space="preserve">310,1 mii lei </w:t>
      </w:r>
      <w:r w:rsidR="00F06277" w:rsidRPr="004D2FF7">
        <w:t>a</w:t>
      </w:r>
      <w:r w:rsidR="00647F6C">
        <w:t>u</w:t>
      </w:r>
      <w:r w:rsidR="00F06277" w:rsidRPr="004D2FF7">
        <w:t xml:space="preserve"> fost publicat</w:t>
      </w:r>
      <w:r w:rsidR="00647F6C">
        <w:t>e</w:t>
      </w:r>
      <w:r w:rsidR="00F06277" w:rsidRPr="004D2FF7">
        <w:t xml:space="preserve"> la 16.12.2019</w:t>
      </w:r>
      <w:r w:rsidR="00647F6C">
        <w:t xml:space="preserve"> sau cel pentru anul 2018 </w:t>
      </w:r>
      <w:r w:rsidR="00F06277" w:rsidRPr="004D2FF7">
        <w:t>peste 2 ani</w:t>
      </w:r>
      <w:r w:rsidR="0016269A" w:rsidRPr="004D2FF7">
        <w:t xml:space="preserve"> din momentul aprobării</w:t>
      </w:r>
      <w:r w:rsidR="00647F6C">
        <w:t xml:space="preserve">, iar </w:t>
      </w:r>
      <w:r w:rsidR="0016269A" w:rsidRPr="004D2FF7">
        <w:t>p</w:t>
      </w:r>
      <w:r w:rsidR="00F06277" w:rsidRPr="004D2FF7">
        <w:t xml:space="preserve">lanul </w:t>
      </w:r>
      <w:r w:rsidR="0016269A" w:rsidRPr="004D2FF7">
        <w:t>modificat</w:t>
      </w:r>
      <w:r w:rsidR="00165CAC" w:rsidRPr="004D2FF7">
        <w:t xml:space="preserve"> pe anul 2019 a fost publicat </w:t>
      </w:r>
      <w:r w:rsidR="0016269A" w:rsidRPr="004D2FF7">
        <w:t>la 16.03.2020,</w:t>
      </w:r>
      <w:r w:rsidR="00647F6C">
        <w:t xml:space="preserve"> </w:t>
      </w:r>
      <w:r>
        <w:t xml:space="preserve">drept </w:t>
      </w:r>
      <w:r w:rsidR="00647F6C">
        <w:t xml:space="preserve">urmare </w:t>
      </w:r>
      <w:r>
        <w:t>nefiind</w:t>
      </w:r>
      <w:r w:rsidR="0016269A" w:rsidRPr="004D2FF7">
        <w:t xml:space="preserve"> </w:t>
      </w:r>
      <w:r w:rsidR="00647F6C">
        <w:t>a</w:t>
      </w:r>
      <w:r w:rsidR="0016269A" w:rsidRPr="004D2FF7">
        <w:t>sigur</w:t>
      </w:r>
      <w:r w:rsidR="00647F6C">
        <w:t>at</w:t>
      </w:r>
      <w:r>
        <w:t>ă</w:t>
      </w:r>
      <w:r w:rsidR="0016269A" w:rsidRPr="004D2FF7">
        <w:t xml:space="preserve"> regulamentar</w:t>
      </w:r>
      <w:r w:rsidR="0016269A" w:rsidRPr="004D2FF7">
        <w:rPr>
          <w:rStyle w:val="FootnoteReference"/>
        </w:rPr>
        <w:footnoteReference w:id="56"/>
      </w:r>
      <w:r w:rsidR="0016269A" w:rsidRPr="004D2FF7">
        <w:t xml:space="preserve"> </w:t>
      </w:r>
      <w:r w:rsidR="0016269A" w:rsidRPr="00440C75">
        <w:rPr>
          <w:lang w:val="ro-RO"/>
        </w:rPr>
        <w:t>transparența achizițiilor publice</w:t>
      </w:r>
      <w:r w:rsidR="00642F4C" w:rsidRPr="00440C75">
        <w:rPr>
          <w:lang w:val="ro-RO"/>
        </w:rPr>
        <w:t>;</w:t>
      </w:r>
      <w:r w:rsidR="00F06277" w:rsidRPr="004D2FF7">
        <w:t xml:space="preserve"> </w:t>
      </w:r>
    </w:p>
    <w:p w14:paraId="36C2E35E" w14:textId="3936D2CB" w:rsidR="00440C75" w:rsidRPr="00440C75" w:rsidRDefault="00DA11DE" w:rsidP="00440C75">
      <w:pPr>
        <w:pStyle w:val="Default"/>
        <w:numPr>
          <w:ilvl w:val="0"/>
          <w:numId w:val="34"/>
        </w:numPr>
        <w:tabs>
          <w:tab w:val="left" w:pos="567"/>
        </w:tabs>
        <w:spacing w:line="276" w:lineRule="auto"/>
        <w:ind w:left="0" w:firstLine="284"/>
        <w:jc w:val="both"/>
        <w:rPr>
          <w:rFonts w:eastAsia="Times New Roman"/>
          <w:noProof/>
          <w:lang w:val="ro-RO" w:eastAsia="ru-RU"/>
        </w:rPr>
      </w:pPr>
      <w:r>
        <w:t>v</w:t>
      </w:r>
      <w:r w:rsidR="0076328E" w:rsidRPr="004D2FF7">
        <w:t>aloarea achizițiilor publice</w:t>
      </w:r>
      <w:r w:rsidR="000F7F66" w:rsidRPr="004D2FF7">
        <w:t xml:space="preserve"> din planurile anuale de achiziții pe anii 2018-2022 ale CNPDCP</w:t>
      </w:r>
      <w:r>
        <w:t>,</w:t>
      </w:r>
      <w:r w:rsidR="00647F6C">
        <w:t xml:space="preserve"> în sumă de 9</w:t>
      </w:r>
      <w:r>
        <w:t>.</w:t>
      </w:r>
      <w:r w:rsidR="00647F6C">
        <w:t>850,8 mii</w:t>
      </w:r>
      <w:r w:rsidR="0076328E" w:rsidRPr="004D2FF7">
        <w:t xml:space="preserve"> lei (cu TVA)</w:t>
      </w:r>
      <w:r w:rsidR="0076328E" w:rsidRPr="004D2FF7">
        <w:rPr>
          <w:rStyle w:val="FootnoteReference"/>
        </w:rPr>
        <w:footnoteReference w:id="57"/>
      </w:r>
      <w:r>
        <w:t>,</w:t>
      </w:r>
      <w:r w:rsidR="0076328E" w:rsidRPr="004D2FF7">
        <w:t xml:space="preserve"> </w:t>
      </w:r>
      <w:r w:rsidR="00642F4C" w:rsidRPr="004D2FF7">
        <w:t>în raport cu alocațiile precizate pentru mărfuri și servicii</w:t>
      </w:r>
      <w:r>
        <w:t>,</w:t>
      </w:r>
      <w:r w:rsidR="000F7F66" w:rsidRPr="004D2FF7">
        <w:t xml:space="preserve"> este diminuată cu suma de 1</w:t>
      </w:r>
      <w:r>
        <w:t>.</w:t>
      </w:r>
      <w:r w:rsidR="000F7F66" w:rsidRPr="004D2FF7">
        <w:t>590,6 mii lei</w:t>
      </w:r>
      <w:r w:rsidR="00642F4C" w:rsidRPr="004D2FF7">
        <w:t xml:space="preserve">; </w:t>
      </w:r>
    </w:p>
    <w:p w14:paraId="6D99714A" w14:textId="5D6B6D8C" w:rsidR="00440C75" w:rsidRPr="00440C75" w:rsidRDefault="00DA11DE" w:rsidP="00440C75">
      <w:pPr>
        <w:pStyle w:val="Default"/>
        <w:numPr>
          <w:ilvl w:val="0"/>
          <w:numId w:val="34"/>
        </w:numPr>
        <w:tabs>
          <w:tab w:val="left" w:pos="567"/>
        </w:tabs>
        <w:spacing w:line="276" w:lineRule="auto"/>
        <w:ind w:left="0" w:firstLine="284"/>
        <w:jc w:val="both"/>
        <w:rPr>
          <w:rFonts w:eastAsia="Times New Roman"/>
          <w:noProof/>
          <w:lang w:val="ro-RO" w:eastAsia="ru-RU"/>
        </w:rPr>
      </w:pPr>
      <w:r>
        <w:rPr>
          <w:rFonts w:eastAsia="Times New Roman"/>
          <w:noProof/>
          <w:lang w:val="ro-RO" w:eastAsia="ru-RU"/>
        </w:rPr>
        <w:t>v</w:t>
      </w:r>
      <w:r w:rsidR="0076328E" w:rsidRPr="00440C75">
        <w:rPr>
          <w:rFonts w:eastAsia="Times New Roman"/>
          <w:noProof/>
          <w:lang w:val="ro-RO" w:eastAsia="ru-RU"/>
        </w:rPr>
        <w:t>aloarea unor</w:t>
      </w:r>
      <w:r w:rsidR="002F54F2" w:rsidRPr="00440C75">
        <w:rPr>
          <w:rFonts w:eastAsia="Times New Roman"/>
          <w:noProof/>
          <w:lang w:val="ro-RO" w:eastAsia="ru-RU"/>
        </w:rPr>
        <w:t xml:space="preserve"> contracte de achiziții publice nu a fost p</w:t>
      </w:r>
      <w:r w:rsidR="002F54F2" w:rsidRPr="00440C75">
        <w:rPr>
          <w:rFonts w:eastAsia="Calibri"/>
          <w:noProof/>
          <w:lang w:val="ro-RO" w:eastAsia="ru-RU"/>
        </w:rPr>
        <w:t>lanificat</w:t>
      </w:r>
      <w:r>
        <w:rPr>
          <w:rFonts w:eastAsia="Calibri"/>
          <w:noProof/>
          <w:lang w:val="ro-RO" w:eastAsia="ru-RU"/>
        </w:rPr>
        <w:t>ă</w:t>
      </w:r>
      <w:r w:rsidR="002F54F2" w:rsidRPr="00440C75">
        <w:rPr>
          <w:rFonts w:eastAsia="Times New Roman"/>
          <w:bCs/>
          <w:noProof/>
          <w:lang w:val="ro-RO" w:eastAsia="ru-RU"/>
        </w:rPr>
        <w:t xml:space="preserve"> </w:t>
      </w:r>
      <w:r w:rsidR="002F54F2" w:rsidRPr="00440C75">
        <w:rPr>
          <w:rFonts w:eastAsia="Calibri"/>
          <w:noProof/>
          <w:lang w:val="ro-RO" w:eastAsia="ru-RU"/>
        </w:rPr>
        <w:t>regulamentar</w:t>
      </w:r>
      <w:r w:rsidR="002F54F2" w:rsidRPr="004D2FF7">
        <w:rPr>
          <w:noProof/>
          <w:vertAlign w:val="superscript"/>
          <w:lang w:val="ro-RO" w:eastAsia="ru-RU"/>
        </w:rPr>
        <w:footnoteReference w:id="58"/>
      </w:r>
      <w:r>
        <w:rPr>
          <w:rFonts w:eastAsia="Calibri"/>
          <w:noProof/>
          <w:lang w:val="ro-RO" w:eastAsia="ru-RU"/>
        </w:rPr>
        <w:t>,</w:t>
      </w:r>
      <w:r w:rsidR="002F54F2" w:rsidRPr="00440C75">
        <w:rPr>
          <w:rFonts w:eastAsia="Times New Roman"/>
          <w:noProof/>
          <w:lang w:val="ro-RO" w:eastAsia="ru-RU"/>
        </w:rPr>
        <w:t xml:space="preserve"> </w:t>
      </w:r>
      <w:r w:rsidR="002F54F2" w:rsidRPr="00440C75">
        <w:rPr>
          <w:rFonts w:eastAsia="Calibri"/>
          <w:noProof/>
          <w:lang w:val="ro-RO" w:eastAsia="ru-RU"/>
        </w:rPr>
        <w:t>prin</w:t>
      </w:r>
      <w:r w:rsidR="002F54F2" w:rsidRPr="00440C75">
        <w:rPr>
          <w:rFonts w:eastAsia="Times New Roman"/>
          <w:noProof/>
          <w:lang w:val="ro-RO" w:eastAsia="ru-RU"/>
        </w:rPr>
        <w:t xml:space="preserve"> estimarea exactă bazată pe valoarea totală spre plată a contractului</w:t>
      </w:r>
      <w:r w:rsidR="00642F4C" w:rsidRPr="00440C75">
        <w:rPr>
          <w:rFonts w:eastAsia="Times New Roman"/>
          <w:noProof/>
          <w:lang w:val="ro-RO" w:eastAsia="ru-RU"/>
        </w:rPr>
        <w:t xml:space="preserve">, la finele anilor bugetari </w:t>
      </w:r>
      <w:r w:rsidR="00DF4158" w:rsidRPr="00440C75">
        <w:rPr>
          <w:rFonts w:eastAsia="Times New Roman"/>
          <w:noProof/>
          <w:lang w:val="ro-RO" w:eastAsia="ru-RU"/>
        </w:rPr>
        <w:t>fiind</w:t>
      </w:r>
      <w:r w:rsidR="00642F4C" w:rsidRPr="00440C75">
        <w:rPr>
          <w:rFonts w:eastAsia="Times New Roman"/>
          <w:noProof/>
          <w:lang w:val="ro-RO" w:eastAsia="ru-RU"/>
        </w:rPr>
        <w:t xml:space="preserve"> </w:t>
      </w:r>
      <w:r w:rsidR="00AE0E95" w:rsidRPr="00440C75">
        <w:rPr>
          <w:rFonts w:eastAsia="Times New Roman"/>
          <w:noProof/>
          <w:lang w:val="ro-RO" w:eastAsia="ru-RU"/>
        </w:rPr>
        <w:t>î</w:t>
      </w:r>
      <w:r w:rsidR="00642F4C" w:rsidRPr="00440C75">
        <w:rPr>
          <w:rFonts w:eastAsia="Times New Roman"/>
          <w:noProof/>
          <w:lang w:val="ro-RO" w:eastAsia="ru-RU"/>
        </w:rPr>
        <w:t>nregistr</w:t>
      </w:r>
      <w:r w:rsidR="00AE0E95" w:rsidRPr="00440C75">
        <w:rPr>
          <w:rFonts w:eastAsia="Times New Roman"/>
          <w:noProof/>
          <w:lang w:val="ro-RO" w:eastAsia="ru-RU"/>
        </w:rPr>
        <w:t>a</w:t>
      </w:r>
      <w:r w:rsidR="00642F4C" w:rsidRPr="00440C75">
        <w:rPr>
          <w:rFonts w:eastAsia="Times New Roman"/>
          <w:noProof/>
          <w:lang w:val="ro-RO" w:eastAsia="ru-RU"/>
        </w:rPr>
        <w:t>t un sold</w:t>
      </w:r>
      <w:r w:rsidR="00DF4158" w:rsidRPr="00440C75">
        <w:rPr>
          <w:rFonts w:eastAsia="Times New Roman"/>
          <w:noProof/>
          <w:lang w:val="ro-RO" w:eastAsia="ru-RU"/>
        </w:rPr>
        <w:t xml:space="preserve"> de mijloace privind</w:t>
      </w:r>
      <w:r w:rsidR="00642F4C" w:rsidRPr="00440C75">
        <w:rPr>
          <w:rFonts w:eastAsia="Times New Roman"/>
          <w:noProof/>
          <w:lang w:val="ro-RO" w:eastAsia="ru-RU"/>
        </w:rPr>
        <w:t xml:space="preserve"> n</w:t>
      </w:r>
      <w:r>
        <w:rPr>
          <w:rFonts w:eastAsia="Times New Roman"/>
          <w:noProof/>
          <w:lang w:val="ro-RO" w:eastAsia="ru-RU"/>
        </w:rPr>
        <w:t>e</w:t>
      </w:r>
      <w:r w:rsidR="00642F4C" w:rsidRPr="00440C75">
        <w:rPr>
          <w:rFonts w:eastAsia="Times New Roman"/>
          <w:noProof/>
          <w:lang w:val="ro-RO" w:eastAsia="ru-RU"/>
        </w:rPr>
        <w:t>executarea</w:t>
      </w:r>
      <w:r w:rsidR="00DF4158" w:rsidRPr="00440C75">
        <w:rPr>
          <w:rFonts w:eastAsia="Times New Roman"/>
          <w:noProof/>
          <w:lang w:val="ro-RO" w:eastAsia="ru-RU"/>
        </w:rPr>
        <w:t xml:space="preserve"> unor</w:t>
      </w:r>
      <w:r w:rsidR="00642F4C" w:rsidRPr="00440C75">
        <w:rPr>
          <w:rFonts w:eastAsia="Times New Roman"/>
          <w:noProof/>
          <w:lang w:val="ro-RO" w:eastAsia="ru-RU"/>
        </w:rPr>
        <w:t xml:space="preserve"> contracte în sumă de 658,3 mii lei</w:t>
      </w:r>
      <w:r w:rsidR="002F54F2" w:rsidRPr="00440C75">
        <w:rPr>
          <w:rFonts w:eastAsia="Times New Roman"/>
          <w:noProof/>
          <w:lang w:val="ro-RO" w:eastAsia="ru-RU"/>
        </w:rPr>
        <w:t xml:space="preserve">, iar 32 </w:t>
      </w:r>
      <w:r>
        <w:rPr>
          <w:rFonts w:eastAsia="Times New Roman"/>
          <w:noProof/>
          <w:lang w:val="ro-RO" w:eastAsia="ru-RU"/>
        </w:rPr>
        <w:t xml:space="preserve">de </w:t>
      </w:r>
      <w:r w:rsidR="002F54F2" w:rsidRPr="00440C75">
        <w:rPr>
          <w:rFonts w:eastAsia="Times New Roman"/>
          <w:noProof/>
          <w:lang w:val="ro-RO" w:eastAsia="ru-RU"/>
        </w:rPr>
        <w:t>contracte în sumă de 1</w:t>
      </w:r>
      <w:r>
        <w:rPr>
          <w:rFonts w:eastAsia="Times New Roman"/>
          <w:noProof/>
          <w:lang w:val="ro-RO" w:eastAsia="ru-RU"/>
        </w:rPr>
        <w:t>.</w:t>
      </w:r>
      <w:r w:rsidR="002F54F2" w:rsidRPr="00440C75">
        <w:rPr>
          <w:rFonts w:eastAsia="Times New Roman"/>
          <w:noProof/>
          <w:lang w:val="ro-RO" w:eastAsia="ru-RU"/>
        </w:rPr>
        <w:t>356,6 mii lei finanțate</w:t>
      </w:r>
      <w:r w:rsidR="00CF26AD" w:rsidRPr="00440C75">
        <w:rPr>
          <w:rFonts w:eastAsia="Times New Roman"/>
          <w:noProof/>
          <w:lang w:val="ro-RO" w:eastAsia="ru-RU"/>
        </w:rPr>
        <w:t xml:space="preserve"> nefiind</w:t>
      </w:r>
      <w:r w:rsidR="002F54F2" w:rsidRPr="00440C75">
        <w:rPr>
          <w:rFonts w:eastAsia="Times New Roman"/>
          <w:noProof/>
          <w:lang w:val="ro-RO" w:eastAsia="ru-RU"/>
        </w:rPr>
        <w:t xml:space="preserve"> incluse </w:t>
      </w:r>
      <w:r w:rsidR="00ED0044" w:rsidRPr="00440C75">
        <w:rPr>
          <w:rFonts w:eastAsia="Times New Roman"/>
          <w:noProof/>
          <w:lang w:val="ro-RO" w:eastAsia="ru-RU"/>
        </w:rPr>
        <w:t xml:space="preserve">în </w:t>
      </w:r>
      <w:r w:rsidR="002F54F2" w:rsidRPr="00440C75">
        <w:rPr>
          <w:rFonts w:eastAsia="Times New Roman"/>
          <w:noProof/>
          <w:lang w:val="ro-RO" w:eastAsia="ru-RU"/>
        </w:rPr>
        <w:t>planurile anuale de achiziții;</w:t>
      </w:r>
      <w:r w:rsidR="002F54F2" w:rsidRPr="00440C75">
        <w:rPr>
          <w:rFonts w:eastAsia="Calibri"/>
          <w:noProof/>
          <w:lang w:val="ro-RO" w:eastAsia="ru-RU"/>
        </w:rPr>
        <w:t xml:space="preserve"> </w:t>
      </w:r>
    </w:p>
    <w:p w14:paraId="329C07D7" w14:textId="7AFB8318" w:rsidR="00440C75" w:rsidRPr="00440C75" w:rsidRDefault="00DA11DE" w:rsidP="00440C75">
      <w:pPr>
        <w:pStyle w:val="Default"/>
        <w:numPr>
          <w:ilvl w:val="0"/>
          <w:numId w:val="34"/>
        </w:numPr>
        <w:tabs>
          <w:tab w:val="left" w:pos="567"/>
        </w:tabs>
        <w:spacing w:line="276" w:lineRule="auto"/>
        <w:ind w:left="0" w:firstLine="284"/>
        <w:jc w:val="both"/>
        <w:rPr>
          <w:rFonts w:eastAsia="Times New Roman"/>
          <w:noProof/>
          <w:lang w:val="ro-RO" w:eastAsia="ru-RU"/>
        </w:rPr>
      </w:pPr>
      <w:r>
        <w:rPr>
          <w:rFonts w:eastAsia="Calibri"/>
        </w:rPr>
        <w:t>p</w:t>
      </w:r>
      <w:r w:rsidR="00CC13A9" w:rsidRPr="00440C75">
        <w:rPr>
          <w:rFonts w:eastAsia="Calibri"/>
        </w:rPr>
        <w:t>e parcursul anilor 2018-2022</w:t>
      </w:r>
      <w:r w:rsidR="00D413A6" w:rsidRPr="00440C75">
        <w:rPr>
          <w:rFonts w:eastAsia="Calibri"/>
        </w:rPr>
        <w:t>,</w:t>
      </w:r>
      <w:r w:rsidR="00CC13A9" w:rsidRPr="00440C75">
        <w:rPr>
          <w:rFonts w:eastAsia="Calibri"/>
        </w:rPr>
        <w:t xml:space="preserve"> CNPDCP a încheiat 200 </w:t>
      </w:r>
      <w:r>
        <w:rPr>
          <w:rFonts w:eastAsia="Calibri"/>
        </w:rPr>
        <w:t xml:space="preserve">de </w:t>
      </w:r>
      <w:r w:rsidR="00CC13A9" w:rsidRPr="00440C75">
        <w:rPr>
          <w:rFonts w:eastAsia="Calibri"/>
        </w:rPr>
        <w:t>contracte de achiziții în sumă totală de 6</w:t>
      </w:r>
      <w:r w:rsidR="002A6BA1">
        <w:rPr>
          <w:rFonts w:eastAsia="Calibri"/>
        </w:rPr>
        <w:t>.</w:t>
      </w:r>
      <w:r w:rsidR="00CC13A9" w:rsidRPr="00440C75">
        <w:rPr>
          <w:rFonts w:eastAsia="Calibri"/>
        </w:rPr>
        <w:t>512,0</w:t>
      </w:r>
      <w:r w:rsidR="00CC13A9" w:rsidRPr="00440C75">
        <w:t xml:space="preserve"> </w:t>
      </w:r>
      <w:r w:rsidR="00CC13A9" w:rsidRPr="00440C75">
        <w:rPr>
          <w:rFonts w:eastAsia="Calibri"/>
        </w:rPr>
        <w:t>mii lei</w:t>
      </w:r>
      <w:r w:rsidR="00E30EA1" w:rsidRPr="004D2FF7">
        <w:rPr>
          <w:rStyle w:val="FootnoteReference"/>
          <w:rFonts w:eastAsia="Calibri"/>
        </w:rPr>
        <w:footnoteReference w:id="59"/>
      </w:r>
      <w:r w:rsidR="00CC13A9" w:rsidRPr="00440C75">
        <w:rPr>
          <w:rFonts w:eastAsia="Calibri"/>
        </w:rPr>
        <w:t xml:space="preserve">, însă planurile de achiziții nu au fost </w:t>
      </w:r>
      <w:r w:rsidR="00C632AB" w:rsidRPr="00440C75">
        <w:rPr>
          <w:rFonts w:eastAsia="Calibri"/>
        </w:rPr>
        <w:t>actualizate</w:t>
      </w:r>
      <w:r w:rsidR="00CC13A9" w:rsidRPr="00440C75">
        <w:rPr>
          <w:rFonts w:eastAsia="Calibri"/>
        </w:rPr>
        <w:t xml:space="preserve"> și micșorate cu suma de 4</w:t>
      </w:r>
      <w:r>
        <w:rPr>
          <w:rFonts w:eastAsia="Calibri"/>
        </w:rPr>
        <w:t>.</w:t>
      </w:r>
      <w:r w:rsidR="00CC13A9" w:rsidRPr="00440C75">
        <w:rPr>
          <w:rFonts w:eastAsia="Calibri"/>
        </w:rPr>
        <w:t>929,4 mii lei</w:t>
      </w:r>
      <w:r w:rsidR="00672978" w:rsidRPr="004D2FF7">
        <w:rPr>
          <w:rStyle w:val="FootnoteReference"/>
          <w:rFonts w:eastAsia="Calibri"/>
        </w:rPr>
        <w:footnoteReference w:id="60"/>
      </w:r>
      <w:r w:rsidR="00CC13A9" w:rsidRPr="00440C75">
        <w:rPr>
          <w:rFonts w:eastAsia="Calibri"/>
        </w:rPr>
        <w:t xml:space="preserve"> în raport cu mijloacele financiare precizate și neexecutate</w:t>
      </w:r>
      <w:r w:rsidR="00CC13A9" w:rsidRPr="004D2FF7">
        <w:rPr>
          <w:rStyle w:val="FootnoteReference"/>
          <w:rFonts w:eastAsia="Calibri"/>
        </w:rPr>
        <w:footnoteReference w:id="61"/>
      </w:r>
      <w:r w:rsidR="002A66AC" w:rsidRPr="00440C75">
        <w:rPr>
          <w:rFonts w:eastAsia="Calibri"/>
        </w:rPr>
        <w:t>. C</w:t>
      </w:r>
      <w:r w:rsidR="002A66AC" w:rsidRPr="00440C75">
        <w:rPr>
          <w:noProof/>
          <w:lang w:val="ro-RO"/>
        </w:rPr>
        <w:t>hiar dacă</w:t>
      </w:r>
      <w:r w:rsidR="00A50642" w:rsidRPr="00440C75">
        <w:rPr>
          <w:rFonts w:eastAsia="Calibri"/>
        </w:rPr>
        <w:t xml:space="preserve"> CNPDCP</w:t>
      </w:r>
      <w:r w:rsidR="00A50642" w:rsidRPr="00440C75">
        <w:rPr>
          <w:noProof/>
          <w:lang w:val="ro-RO"/>
        </w:rPr>
        <w:t xml:space="preserve"> a</w:t>
      </w:r>
      <w:r w:rsidR="002A66AC" w:rsidRPr="00440C75">
        <w:rPr>
          <w:noProof/>
          <w:lang w:val="ro-RO"/>
        </w:rPr>
        <w:t xml:space="preserve"> dispu</w:t>
      </w:r>
      <w:r w:rsidR="00591329" w:rsidRPr="00440C75">
        <w:rPr>
          <w:noProof/>
          <w:lang w:val="ro-RO"/>
        </w:rPr>
        <w:t>s</w:t>
      </w:r>
      <w:r w:rsidR="002A66AC" w:rsidRPr="00440C75">
        <w:rPr>
          <w:noProof/>
          <w:lang w:val="ro-RO"/>
        </w:rPr>
        <w:t xml:space="preserve"> de planuri de achiziții,</w:t>
      </w:r>
      <w:r w:rsidR="00591329" w:rsidRPr="00440C75">
        <w:rPr>
          <w:noProof/>
          <w:lang w:val="ro-RO"/>
        </w:rPr>
        <w:t xml:space="preserve"> </w:t>
      </w:r>
      <w:r w:rsidR="002A66AC" w:rsidRPr="00440C75">
        <w:rPr>
          <w:noProof/>
          <w:lang w:val="ro-RO"/>
        </w:rPr>
        <w:t>nu le</w:t>
      </w:r>
      <w:r w:rsidR="00591329" w:rsidRPr="00440C75">
        <w:rPr>
          <w:noProof/>
          <w:lang w:val="ro-RO"/>
        </w:rPr>
        <w:t>-a</w:t>
      </w:r>
      <w:r w:rsidR="002A66AC" w:rsidRPr="00440C75">
        <w:rPr>
          <w:noProof/>
          <w:lang w:val="ro-RO"/>
        </w:rPr>
        <w:t xml:space="preserve"> revizui</w:t>
      </w:r>
      <w:r w:rsidR="00591329" w:rsidRPr="00440C75">
        <w:rPr>
          <w:noProof/>
          <w:lang w:val="ro-RO"/>
        </w:rPr>
        <w:t>t</w:t>
      </w:r>
      <w:r w:rsidR="002A66AC" w:rsidRPr="00440C75">
        <w:rPr>
          <w:noProof/>
          <w:lang w:val="ro-RO"/>
        </w:rPr>
        <w:t xml:space="preserve"> la etapa modificărilor de buget, ținând cont de majorarea sau micșorarea alocațiilor</w:t>
      </w:r>
      <w:r>
        <w:rPr>
          <w:noProof/>
          <w:lang w:val="ro-RO"/>
        </w:rPr>
        <w:t>,</w:t>
      </w:r>
      <w:r w:rsidR="002A66AC" w:rsidRPr="00440C75">
        <w:rPr>
          <w:noProof/>
          <w:lang w:val="ro-RO"/>
        </w:rPr>
        <w:t xml:space="preserve"> și nu le</w:t>
      </w:r>
      <w:r w:rsidR="00591329" w:rsidRPr="00440C75">
        <w:rPr>
          <w:noProof/>
          <w:lang w:val="ro-RO"/>
        </w:rPr>
        <w:t>-a</w:t>
      </w:r>
      <w:r w:rsidR="002A66AC" w:rsidRPr="00440C75">
        <w:rPr>
          <w:noProof/>
          <w:lang w:val="ro-RO"/>
        </w:rPr>
        <w:t xml:space="preserve"> public</w:t>
      </w:r>
      <w:r w:rsidR="00591329" w:rsidRPr="00440C75">
        <w:rPr>
          <w:noProof/>
          <w:lang w:val="ro-RO"/>
        </w:rPr>
        <w:t>at</w:t>
      </w:r>
      <w:r w:rsidR="002A66AC" w:rsidRPr="00440C75">
        <w:rPr>
          <w:noProof/>
          <w:lang w:val="ro-RO"/>
        </w:rPr>
        <w:t xml:space="preserve"> în modul stabilit</w:t>
      </w:r>
      <w:r w:rsidR="00591329" w:rsidRPr="00440C75">
        <w:rPr>
          <w:noProof/>
        </w:rPr>
        <w:t>;</w:t>
      </w:r>
    </w:p>
    <w:p w14:paraId="26E58292" w14:textId="5164869F" w:rsidR="004530B4" w:rsidRPr="00D3758F" w:rsidRDefault="00DA11DE" w:rsidP="00440C75">
      <w:pPr>
        <w:pStyle w:val="Default"/>
        <w:numPr>
          <w:ilvl w:val="0"/>
          <w:numId w:val="34"/>
        </w:numPr>
        <w:tabs>
          <w:tab w:val="left" w:pos="567"/>
        </w:tabs>
        <w:spacing w:line="276" w:lineRule="auto"/>
        <w:ind w:left="0" w:firstLine="284"/>
        <w:jc w:val="both"/>
        <w:rPr>
          <w:rFonts w:eastAsia="Times New Roman"/>
          <w:noProof/>
          <w:lang w:val="ro-RO" w:eastAsia="ru-RU"/>
        </w:rPr>
      </w:pPr>
      <w:r>
        <w:rPr>
          <w:noProof/>
          <w:lang w:val="ro-RO" w:eastAsia="ru-RU"/>
        </w:rPr>
        <w:t>contrar</w:t>
      </w:r>
      <w:r w:rsidR="002717F0" w:rsidRPr="00440C75">
        <w:rPr>
          <w:noProof/>
          <w:lang w:val="ro-RO" w:eastAsia="ru-RU"/>
        </w:rPr>
        <w:t xml:space="preserve"> </w:t>
      </w:r>
      <w:r w:rsidR="002717F0" w:rsidRPr="00440C75">
        <w:rPr>
          <w:bCs/>
          <w:noProof/>
          <w:lang w:val="ro-RO" w:eastAsia="ru-RU"/>
        </w:rPr>
        <w:t xml:space="preserve">modificării bugetului și </w:t>
      </w:r>
      <w:r w:rsidR="002717F0" w:rsidRPr="00440C75">
        <w:rPr>
          <w:noProof/>
          <w:lang w:val="ro-RO" w:eastAsia="ru-RU"/>
        </w:rPr>
        <w:t xml:space="preserve">redistribuirii alocațiilor bugetare de </w:t>
      </w:r>
      <w:r w:rsidR="002717F0" w:rsidRPr="00440C75">
        <w:rPr>
          <w:bCs/>
          <w:noProof/>
          <w:lang w:val="ro-RO" w:eastAsia="ru-RU"/>
        </w:rPr>
        <w:t>la o grupă de conturi la altă grupă,</w:t>
      </w:r>
      <w:r w:rsidR="002717F0" w:rsidRPr="00440C75">
        <w:rPr>
          <w:noProof/>
          <w:lang w:val="ro-RO" w:eastAsia="ru-RU"/>
        </w:rPr>
        <w:t xml:space="preserve"> </w:t>
      </w:r>
      <w:r w:rsidR="00AA6FA5" w:rsidRPr="00440C75">
        <w:rPr>
          <w:noProof/>
          <w:lang w:val="ro-RO" w:eastAsia="ru-RU"/>
        </w:rPr>
        <w:t xml:space="preserve">CNPDCP </w:t>
      </w:r>
      <w:r w:rsidR="002717F0" w:rsidRPr="00440C75">
        <w:rPr>
          <w:noProof/>
          <w:lang w:val="ro-RO" w:eastAsia="ru-RU"/>
        </w:rPr>
        <w:t xml:space="preserve">în perioada </w:t>
      </w:r>
      <w:r w:rsidR="002717F0" w:rsidRPr="00440C75">
        <w:rPr>
          <w:rFonts w:eastAsia="Calibri"/>
        </w:rPr>
        <w:t xml:space="preserve">2018-2022 </w:t>
      </w:r>
      <w:r w:rsidR="002717F0" w:rsidRPr="00440C75">
        <w:rPr>
          <w:noProof/>
          <w:lang w:val="ro-RO" w:eastAsia="ru-RU"/>
        </w:rPr>
        <w:t xml:space="preserve">nu a </w:t>
      </w:r>
      <w:r w:rsidR="002717F0" w:rsidRPr="00440C75">
        <w:rPr>
          <w:noProof/>
          <w:lang w:val="ro-RO"/>
        </w:rPr>
        <w:t>valorificat</w:t>
      </w:r>
      <w:r w:rsidR="002717F0" w:rsidRPr="00440C75">
        <w:rPr>
          <w:bCs/>
          <w:noProof/>
          <w:lang w:val="ro-RO" w:eastAsia="ru-RU"/>
        </w:rPr>
        <w:t xml:space="preserve"> </w:t>
      </w:r>
      <w:r w:rsidR="002717F0" w:rsidRPr="00440C75">
        <w:rPr>
          <w:noProof/>
          <w:lang w:val="ro-RO"/>
        </w:rPr>
        <w:t xml:space="preserve">mijloacele financiare destinate </w:t>
      </w:r>
      <w:r w:rsidR="002717F0" w:rsidRPr="00440C75">
        <w:rPr>
          <w:bCs/>
          <w:noProof/>
          <w:lang w:val="ro-RO" w:eastAsia="ru-RU"/>
        </w:rPr>
        <w:t>achizițiilor publice</w:t>
      </w:r>
      <w:r w:rsidR="00F1653E" w:rsidRPr="00440C75">
        <w:rPr>
          <w:bCs/>
          <w:noProof/>
          <w:lang w:val="ro-RO" w:eastAsia="ru-RU"/>
        </w:rPr>
        <w:t xml:space="preserve"> de mărfuri și servicii </w:t>
      </w:r>
      <w:r w:rsidR="002717F0" w:rsidRPr="00440C75">
        <w:rPr>
          <w:noProof/>
          <w:lang w:val="ro-RO"/>
        </w:rPr>
        <w:t>în sumă de</w:t>
      </w:r>
      <w:r w:rsidR="002717F0" w:rsidRPr="00440C75">
        <w:rPr>
          <w:bCs/>
          <w:noProof/>
          <w:lang w:val="ro-RO" w:eastAsia="ru-RU"/>
        </w:rPr>
        <w:t xml:space="preserve"> </w:t>
      </w:r>
      <w:r w:rsidR="007639AB" w:rsidRPr="00440C75">
        <w:rPr>
          <w:bCs/>
          <w:noProof/>
          <w:lang w:val="ro-RO" w:eastAsia="ru-RU"/>
        </w:rPr>
        <w:t>4</w:t>
      </w:r>
      <w:r>
        <w:rPr>
          <w:bCs/>
          <w:noProof/>
          <w:lang w:val="ro-RO" w:eastAsia="ru-RU"/>
        </w:rPr>
        <w:t>.</w:t>
      </w:r>
      <w:r w:rsidR="007639AB" w:rsidRPr="00440C75">
        <w:rPr>
          <w:bCs/>
          <w:noProof/>
          <w:lang w:val="ro-RO" w:eastAsia="ru-RU"/>
        </w:rPr>
        <w:t>151,9</w:t>
      </w:r>
      <w:r w:rsidR="002717F0" w:rsidRPr="00440C75">
        <w:rPr>
          <w:bCs/>
          <w:noProof/>
          <w:lang w:val="ro-RO" w:eastAsia="ru-RU"/>
        </w:rPr>
        <w:t xml:space="preserve"> m</w:t>
      </w:r>
      <w:r w:rsidR="002717F0" w:rsidRPr="00440C75">
        <w:rPr>
          <w:noProof/>
          <w:lang w:val="ro-RO"/>
        </w:rPr>
        <w:t>i</w:t>
      </w:r>
      <w:r w:rsidR="007639AB" w:rsidRPr="00440C75">
        <w:rPr>
          <w:noProof/>
          <w:lang w:val="ro-RO"/>
        </w:rPr>
        <w:t xml:space="preserve">i </w:t>
      </w:r>
      <w:r w:rsidR="002717F0" w:rsidRPr="00440C75">
        <w:rPr>
          <w:noProof/>
          <w:lang w:val="ro-RO"/>
        </w:rPr>
        <w:t>lei,</w:t>
      </w:r>
      <w:r w:rsidR="002717F0" w:rsidRPr="00440C75">
        <w:rPr>
          <w:noProof/>
          <w:lang w:val="ro-RO" w:eastAsia="ru-RU"/>
        </w:rPr>
        <w:t xml:space="preserve"> unele din cauze fiind planificarea ireală a achizițiilor</w:t>
      </w:r>
      <w:r w:rsidR="007639AB" w:rsidRPr="00440C75">
        <w:rPr>
          <w:noProof/>
          <w:lang w:val="ro-RO" w:eastAsia="ru-RU"/>
        </w:rPr>
        <w:t xml:space="preserve"> </w:t>
      </w:r>
      <w:r w:rsidR="00F1653E" w:rsidRPr="00440C75">
        <w:rPr>
          <w:noProof/>
          <w:lang w:val="ro-RO" w:eastAsia="ru-RU"/>
        </w:rPr>
        <w:t>publice</w:t>
      </w:r>
      <w:r w:rsidR="002717F0" w:rsidRPr="00440C75">
        <w:rPr>
          <w:noProof/>
          <w:lang w:val="ro-RO" w:eastAsia="ru-RU"/>
        </w:rPr>
        <w:t xml:space="preserve">, precum și capacitățile reduse de absorbție a </w:t>
      </w:r>
      <w:r w:rsidR="00ED0044" w:rsidRPr="00440C75">
        <w:rPr>
          <w:noProof/>
          <w:lang w:val="ro-RO" w:eastAsia="ru-RU"/>
        </w:rPr>
        <w:t>mijloacelor financiare alocate.</w:t>
      </w:r>
    </w:p>
    <w:p w14:paraId="4DCEEF1C" w14:textId="77777777" w:rsidR="00D3758F" w:rsidRPr="00440C75" w:rsidRDefault="00D3758F" w:rsidP="00D3758F">
      <w:pPr>
        <w:pStyle w:val="Default"/>
        <w:tabs>
          <w:tab w:val="left" w:pos="567"/>
        </w:tabs>
        <w:spacing w:line="276" w:lineRule="auto"/>
        <w:ind w:left="284"/>
        <w:jc w:val="both"/>
        <w:rPr>
          <w:rFonts w:eastAsia="Times New Roman"/>
          <w:noProof/>
          <w:lang w:val="ro-RO" w:eastAsia="ru-RU"/>
        </w:rPr>
      </w:pPr>
    </w:p>
    <w:p w14:paraId="16B7D75F" w14:textId="188D66FE" w:rsidR="00811AA0" w:rsidRPr="004D2FF7" w:rsidRDefault="00EC6A97" w:rsidP="00811AA0">
      <w:pPr>
        <w:spacing w:after="120" w:line="276" w:lineRule="auto"/>
        <w:jc w:val="both"/>
        <w:rPr>
          <w:rFonts w:ascii="Times New Roman" w:hAnsi="Times New Roman" w:cs="Times New Roman"/>
          <w:b/>
          <w:i/>
          <w:sz w:val="24"/>
          <w:szCs w:val="24"/>
        </w:rPr>
      </w:pPr>
      <w:r w:rsidRPr="004D2FF7">
        <w:rPr>
          <w:rFonts w:ascii="Times New Roman" w:hAnsi="Times New Roman" w:cs="Times New Roman"/>
          <w:b/>
          <w:i/>
          <w:sz w:val="24"/>
          <w:szCs w:val="24"/>
        </w:rPr>
        <w:t>b</w:t>
      </w:r>
      <w:r w:rsidR="009D1ABB" w:rsidRPr="004D2FF7">
        <w:rPr>
          <w:rFonts w:ascii="Times New Roman" w:hAnsi="Times New Roman" w:cs="Times New Roman"/>
          <w:b/>
          <w:i/>
          <w:sz w:val="24"/>
          <w:szCs w:val="24"/>
        </w:rPr>
        <w:t xml:space="preserve">) </w:t>
      </w:r>
      <w:r w:rsidR="00811AA0" w:rsidRPr="004D2FF7">
        <w:rPr>
          <w:rFonts w:ascii="Times New Roman" w:hAnsi="Times New Roman" w:cs="Times New Roman"/>
          <w:b/>
          <w:i/>
          <w:sz w:val="24"/>
          <w:szCs w:val="24"/>
        </w:rPr>
        <w:t>Realizarea unor achiziții publice de valoare mică s</w:t>
      </w:r>
      <w:r w:rsidR="00D463B4">
        <w:rPr>
          <w:rFonts w:ascii="Times New Roman" w:hAnsi="Times New Roman" w:cs="Times New Roman"/>
          <w:b/>
          <w:i/>
          <w:sz w:val="24"/>
          <w:szCs w:val="24"/>
        </w:rPr>
        <w:t>-</w:t>
      </w:r>
      <w:r w:rsidR="00811AA0" w:rsidRPr="004D2FF7">
        <w:rPr>
          <w:rFonts w:ascii="Times New Roman" w:hAnsi="Times New Roman" w:cs="Times New Roman"/>
          <w:b/>
          <w:i/>
          <w:sz w:val="24"/>
          <w:szCs w:val="24"/>
        </w:rPr>
        <w:t>a efectuat cu abateri de la cadrul legal</w:t>
      </w:r>
      <w:r w:rsidR="008C5553">
        <w:rPr>
          <w:rFonts w:ascii="Times New Roman" w:hAnsi="Times New Roman" w:cs="Times New Roman"/>
          <w:b/>
          <w:i/>
          <w:sz w:val="24"/>
          <w:szCs w:val="24"/>
        </w:rPr>
        <w:t>.</w:t>
      </w:r>
    </w:p>
    <w:p w14:paraId="25CE14F4" w14:textId="6DBDF46D" w:rsidR="00811AA0" w:rsidRPr="004D2FF7" w:rsidRDefault="00811AA0" w:rsidP="00811AA0">
      <w:pPr>
        <w:spacing w:after="120" w:line="276" w:lineRule="auto"/>
        <w:jc w:val="both"/>
        <w:rPr>
          <w:rFonts w:ascii="Times New Roman" w:hAnsi="Times New Roman" w:cs="Times New Roman"/>
          <w:sz w:val="24"/>
          <w:szCs w:val="24"/>
        </w:rPr>
      </w:pPr>
      <w:r w:rsidRPr="004D2FF7">
        <w:rPr>
          <w:rFonts w:ascii="Times New Roman" w:hAnsi="Times New Roman" w:cs="Times New Roman"/>
          <w:sz w:val="24"/>
          <w:szCs w:val="24"/>
        </w:rPr>
        <w:lastRenderedPageBreak/>
        <w:t>Conform Regulamentului cu privire la achizițiile publice de valoare mică</w:t>
      </w:r>
      <w:r w:rsidRPr="004D2FF7">
        <w:rPr>
          <w:rStyle w:val="FootnoteReference"/>
          <w:rFonts w:ascii="Times New Roman" w:hAnsi="Times New Roman" w:cs="Times New Roman"/>
          <w:sz w:val="24"/>
          <w:szCs w:val="24"/>
        </w:rPr>
        <w:footnoteReference w:id="62"/>
      </w:r>
      <w:r w:rsidR="008C5553">
        <w:rPr>
          <w:rFonts w:ascii="Times New Roman" w:hAnsi="Times New Roman" w:cs="Times New Roman"/>
          <w:sz w:val="24"/>
          <w:szCs w:val="24"/>
        </w:rPr>
        <w:t>,</w:t>
      </w:r>
      <w:r w:rsidRPr="004D2FF7">
        <w:rPr>
          <w:rFonts w:ascii="Times New Roman" w:hAnsi="Times New Roman" w:cs="Times New Roman"/>
          <w:sz w:val="24"/>
          <w:szCs w:val="24"/>
        </w:rPr>
        <w:t xml:space="preserve"> la realizarea achizițiilor publice de valoare mică CNPDCP urma să asigure utilizarea eficientă a resurselor financiare, transparența, obiectivitatea şi imparțialitatea procesului de achiziție şi încrederea publică față de acesta. La atribuirea contractului de achiziție publică de valoare mică se asigură minimizarea riscurilor pentru autoritatea contractantă, eficien</w:t>
      </w:r>
      <w:r w:rsidR="008C5553">
        <w:rPr>
          <w:rFonts w:ascii="Times New Roman" w:hAnsi="Times New Roman" w:cs="Times New Roman"/>
          <w:sz w:val="24"/>
          <w:szCs w:val="24"/>
        </w:rPr>
        <w:t>ț</w:t>
      </w:r>
      <w:r w:rsidRPr="004D2FF7">
        <w:rPr>
          <w:rFonts w:ascii="Times New Roman" w:hAnsi="Times New Roman" w:cs="Times New Roman"/>
          <w:sz w:val="24"/>
          <w:szCs w:val="24"/>
        </w:rPr>
        <w:t xml:space="preserve">a achiziției, dar şi tratamentul egal, imparțial şi nediscriminatoriu în privința tuturor ofertanților şi operatorilor economici. Orice operator economic, rezident sau nerezident, persoană fizică sau juridică de drept public sau privat ori grup de astfel de persoane, are dreptul de a participa la procedura de atribuire a contractului de achiziție publică de valoare mică. </w:t>
      </w:r>
    </w:p>
    <w:p w14:paraId="6E06AC61" w14:textId="4F6511A2" w:rsidR="00811AA0" w:rsidRPr="004D2FF7" w:rsidRDefault="00811AA0" w:rsidP="00811AA0">
      <w:pPr>
        <w:spacing w:after="120" w:line="276" w:lineRule="auto"/>
        <w:jc w:val="both"/>
        <w:rPr>
          <w:rFonts w:ascii="Times New Roman" w:eastAsia="Calibri" w:hAnsi="Times New Roman" w:cs="Times New Roman"/>
          <w:color w:val="000000"/>
          <w:sz w:val="24"/>
          <w:szCs w:val="24"/>
        </w:rPr>
      </w:pPr>
      <w:r w:rsidRPr="004D2FF7">
        <w:rPr>
          <w:rFonts w:ascii="Times New Roman" w:hAnsi="Times New Roman" w:cs="Times New Roman"/>
          <w:sz w:val="24"/>
          <w:szCs w:val="24"/>
        </w:rPr>
        <w:t>Deși cadrul legal</w:t>
      </w:r>
      <w:r w:rsidRPr="004D2FF7">
        <w:rPr>
          <w:rStyle w:val="FootnoteReference"/>
          <w:rFonts w:ascii="Times New Roman" w:hAnsi="Times New Roman" w:cs="Times New Roman"/>
          <w:sz w:val="24"/>
          <w:szCs w:val="24"/>
        </w:rPr>
        <w:footnoteReference w:id="63"/>
      </w:r>
      <w:r w:rsidRPr="004D2FF7">
        <w:rPr>
          <w:rFonts w:ascii="Times New Roman" w:hAnsi="Times New Roman" w:cs="Times New Roman"/>
          <w:sz w:val="24"/>
          <w:szCs w:val="24"/>
        </w:rPr>
        <w:t xml:space="preserve"> </w:t>
      </w:r>
      <w:r w:rsidRPr="004D2FF7">
        <w:rPr>
          <w:rFonts w:ascii="Times New Roman" w:eastAsia="Calibri" w:hAnsi="Times New Roman" w:cs="Times New Roman"/>
          <w:color w:val="000000"/>
          <w:sz w:val="24"/>
          <w:szCs w:val="24"/>
        </w:rPr>
        <w:t xml:space="preserve">prevede că </w:t>
      </w:r>
      <w:r w:rsidRPr="004D2FF7">
        <w:rPr>
          <w:rFonts w:ascii="Times New Roman" w:hAnsi="Times New Roman" w:cs="Times New Roman"/>
          <w:sz w:val="24"/>
          <w:szCs w:val="24"/>
        </w:rPr>
        <w:t>autoritatea contractantă este în drept să aplice una dintre procedurile de achiziție publică stabilite de legislația cu incidență în domeniul achizițiilor publice</w:t>
      </w:r>
      <w:r w:rsidR="00B7567A">
        <w:rPr>
          <w:rFonts w:ascii="Times New Roman" w:hAnsi="Times New Roman" w:cs="Times New Roman"/>
          <w:sz w:val="24"/>
          <w:szCs w:val="24"/>
        </w:rPr>
        <w:t>,</w:t>
      </w:r>
      <w:r w:rsidRPr="004D2FF7">
        <w:rPr>
          <w:rFonts w:ascii="Times New Roman" w:hAnsi="Times New Roman" w:cs="Times New Roman"/>
          <w:sz w:val="24"/>
          <w:szCs w:val="24"/>
        </w:rPr>
        <w:t xml:space="preserve"> chiar dacă valoarea estimată a contractelor de achiziție publică, fără taxa pe valoarea adăugată, nu a depășit pragurile reglementate pentru bunuri și servicii (cererea ofertelor de prețuri; licitație publică)</w:t>
      </w:r>
      <w:r w:rsidR="00B7567A">
        <w:rPr>
          <w:rFonts w:ascii="Times New Roman" w:hAnsi="Times New Roman" w:cs="Times New Roman"/>
          <w:sz w:val="24"/>
          <w:szCs w:val="24"/>
        </w:rPr>
        <w:t>,</w:t>
      </w:r>
      <w:r w:rsidRPr="004D2FF7">
        <w:rPr>
          <w:rFonts w:ascii="Times New Roman" w:hAnsi="Times New Roman" w:cs="Times New Roman"/>
          <w:sz w:val="24"/>
          <w:szCs w:val="24"/>
        </w:rPr>
        <w:t xml:space="preserve"> CNPDCP n</w:t>
      </w:r>
      <w:r w:rsidR="00B7567A">
        <w:rPr>
          <w:rFonts w:ascii="Times New Roman" w:hAnsi="Times New Roman" w:cs="Times New Roman"/>
          <w:sz w:val="24"/>
          <w:szCs w:val="24"/>
        </w:rPr>
        <w:t xml:space="preserve">u </w:t>
      </w:r>
      <w:r w:rsidRPr="004D2FF7">
        <w:rPr>
          <w:rFonts w:ascii="Times New Roman" w:hAnsi="Times New Roman" w:cs="Times New Roman"/>
          <w:sz w:val="24"/>
          <w:szCs w:val="24"/>
        </w:rPr>
        <w:t>a utilizat acest drept</w:t>
      </w:r>
      <w:r w:rsidR="003E4872" w:rsidRPr="004D2FF7">
        <w:rPr>
          <w:rFonts w:ascii="Times New Roman" w:hAnsi="Times New Roman" w:cs="Times New Roman"/>
          <w:sz w:val="24"/>
          <w:szCs w:val="24"/>
        </w:rPr>
        <w:t>, în</w:t>
      </w:r>
      <w:r w:rsidRPr="004D2FF7">
        <w:rPr>
          <w:rFonts w:ascii="Times New Roman" w:hAnsi="Times New Roman" w:cs="Times New Roman"/>
          <w:sz w:val="24"/>
          <w:szCs w:val="24"/>
        </w:rPr>
        <w:t xml:space="preserve"> majoritatea cazurilor fiind încheiate contracte de valoare mică directe. Totodată</w:t>
      </w:r>
      <w:r w:rsidR="00861E55" w:rsidRPr="004D2FF7">
        <w:rPr>
          <w:rFonts w:ascii="Times New Roman" w:hAnsi="Times New Roman" w:cs="Times New Roman"/>
          <w:sz w:val="24"/>
          <w:szCs w:val="24"/>
        </w:rPr>
        <w:t>,</w:t>
      </w:r>
      <w:r w:rsidRPr="004D2FF7">
        <w:rPr>
          <w:rFonts w:ascii="Times New Roman" w:hAnsi="Times New Roman" w:cs="Times New Roman"/>
          <w:sz w:val="24"/>
          <w:szCs w:val="24"/>
        </w:rPr>
        <w:t xml:space="preserve"> din numărul total de 194 de contracte</w:t>
      </w:r>
      <w:r w:rsidR="00B7567A">
        <w:rPr>
          <w:rFonts w:ascii="Times New Roman" w:hAnsi="Times New Roman" w:cs="Times New Roman"/>
          <w:sz w:val="24"/>
          <w:szCs w:val="24"/>
        </w:rPr>
        <w:t xml:space="preserve"> </w:t>
      </w:r>
      <w:r w:rsidR="00B7567A" w:rsidRPr="004D2FF7">
        <w:rPr>
          <w:rFonts w:ascii="Times New Roman" w:hAnsi="Times New Roman" w:cs="Times New Roman"/>
          <w:sz w:val="24"/>
          <w:szCs w:val="24"/>
        </w:rPr>
        <w:t>de valoare mică încheiate</w:t>
      </w:r>
      <w:r w:rsidR="00B7567A">
        <w:rPr>
          <w:rFonts w:ascii="Times New Roman" w:hAnsi="Times New Roman" w:cs="Times New Roman"/>
          <w:sz w:val="24"/>
          <w:szCs w:val="24"/>
        </w:rPr>
        <w:t>,</w:t>
      </w:r>
      <w:r w:rsidRPr="004D2FF7">
        <w:rPr>
          <w:rFonts w:ascii="Times New Roman" w:hAnsi="Times New Roman" w:cs="Times New Roman"/>
          <w:sz w:val="24"/>
          <w:szCs w:val="24"/>
        </w:rPr>
        <w:t xml:space="preserve"> în sumă de </w:t>
      </w:r>
      <w:r w:rsidRPr="004D2FF7">
        <w:rPr>
          <w:rFonts w:ascii="Times New Roman" w:eastAsia="Calibri" w:hAnsi="Times New Roman" w:cs="Times New Roman"/>
          <w:sz w:val="24"/>
          <w:szCs w:val="24"/>
        </w:rPr>
        <w:t>5</w:t>
      </w:r>
      <w:r w:rsidR="00B7567A">
        <w:rPr>
          <w:rFonts w:ascii="Times New Roman" w:eastAsia="Calibri" w:hAnsi="Times New Roman" w:cs="Times New Roman"/>
          <w:sz w:val="24"/>
          <w:szCs w:val="24"/>
        </w:rPr>
        <w:t>.</w:t>
      </w:r>
      <w:r w:rsidRPr="004D2FF7">
        <w:rPr>
          <w:rFonts w:ascii="Times New Roman" w:eastAsia="Calibri" w:hAnsi="Times New Roman" w:cs="Times New Roman"/>
          <w:sz w:val="24"/>
          <w:szCs w:val="24"/>
        </w:rPr>
        <w:t>385,4 mii lei,</w:t>
      </w:r>
      <w:r w:rsidRPr="004D2FF7">
        <w:rPr>
          <w:rFonts w:ascii="Times New Roman" w:hAnsi="Times New Roman" w:cs="Times New Roman"/>
          <w:sz w:val="24"/>
          <w:szCs w:val="24"/>
        </w:rPr>
        <w:t xml:space="preserve"> numai în cazul a 30 de contracte încheiate în sumă de 1</w:t>
      </w:r>
      <w:r w:rsidR="00B7567A">
        <w:rPr>
          <w:rFonts w:ascii="Times New Roman" w:hAnsi="Times New Roman" w:cs="Times New Roman"/>
          <w:sz w:val="24"/>
          <w:szCs w:val="24"/>
        </w:rPr>
        <w:t>.</w:t>
      </w:r>
      <w:r w:rsidRPr="004D2FF7">
        <w:rPr>
          <w:rFonts w:ascii="Times New Roman" w:hAnsi="Times New Roman" w:cs="Times New Roman"/>
          <w:sz w:val="24"/>
          <w:szCs w:val="24"/>
        </w:rPr>
        <w:t>120,5 mii lei</w:t>
      </w:r>
      <w:r w:rsidR="00B7567A">
        <w:rPr>
          <w:rFonts w:ascii="Times New Roman" w:hAnsi="Times New Roman" w:cs="Times New Roman"/>
          <w:sz w:val="24"/>
          <w:szCs w:val="24"/>
        </w:rPr>
        <w:t>,</w:t>
      </w:r>
      <w:r w:rsidRPr="004D2FF7">
        <w:rPr>
          <w:rFonts w:ascii="Times New Roman" w:hAnsi="Times New Roman" w:cs="Times New Roman"/>
          <w:sz w:val="24"/>
          <w:szCs w:val="24"/>
        </w:rPr>
        <w:t xml:space="preserve"> sau 20,7% din valoarea totală a achizițiilor de valoare mică, au fost solicitate oferte ale operatorilor economici, precum și </w:t>
      </w:r>
      <w:r w:rsidR="00B7567A">
        <w:rPr>
          <w:rFonts w:ascii="Times New Roman" w:hAnsi="Times New Roman" w:cs="Times New Roman"/>
          <w:sz w:val="24"/>
          <w:szCs w:val="24"/>
        </w:rPr>
        <w:t xml:space="preserve">au fost </w:t>
      </w:r>
      <w:r w:rsidRPr="004D2FF7">
        <w:rPr>
          <w:rFonts w:ascii="Times New Roman" w:hAnsi="Times New Roman" w:cs="Times New Roman"/>
          <w:sz w:val="24"/>
          <w:szCs w:val="24"/>
        </w:rPr>
        <w:t>întocmite procese-verbale ale grupului de lucru privind desemnarea câștigătorului, fiind stabilit un nivel redus de asigurare a concurenții cu participarea largă a operatorilor economici.</w:t>
      </w:r>
    </w:p>
    <w:p w14:paraId="110FF9FB" w14:textId="5FB2E6FC" w:rsidR="00811AA0" w:rsidRPr="004D2FF7" w:rsidRDefault="00811AA0" w:rsidP="00811AA0">
      <w:pPr>
        <w:pStyle w:val="NormalWeb"/>
        <w:spacing w:after="120" w:line="276" w:lineRule="auto"/>
        <w:jc w:val="both"/>
        <w:rPr>
          <w:noProof/>
          <w:lang w:val="ro-RO"/>
        </w:rPr>
      </w:pPr>
      <w:r w:rsidRPr="004D2FF7">
        <w:rPr>
          <w:rFonts w:eastAsia="AGaramondPro-Regular"/>
          <w:lang w:val="ro-RO"/>
        </w:rPr>
        <w:t>Pentru asigurarea transparenței, eficienței și digitalizării achizițiilor publice</w:t>
      </w:r>
      <w:r w:rsidR="00B7567A">
        <w:rPr>
          <w:rFonts w:eastAsia="AGaramondPro-Regular"/>
          <w:lang w:val="ro-RO"/>
        </w:rPr>
        <w:t>,</w:t>
      </w:r>
      <w:r w:rsidRPr="004D2FF7">
        <w:rPr>
          <w:rFonts w:eastAsia="AGaramondPro-Regular"/>
          <w:lang w:val="ro-RO"/>
        </w:rPr>
        <w:t xml:space="preserve"> în anul 2018 a fost </w:t>
      </w:r>
      <w:r w:rsidRPr="004D2FF7">
        <w:rPr>
          <w:lang w:val="ro-RO"/>
        </w:rPr>
        <w:t>instituit Sistemul informațional automatizat „Registrul de stat al achizițiilor publice” (în continuare</w:t>
      </w:r>
      <w:r w:rsidR="00B7567A">
        <w:rPr>
          <w:lang w:val="ro-RO"/>
        </w:rPr>
        <w:t xml:space="preserve"> </w:t>
      </w:r>
      <w:r w:rsidRPr="004D2FF7">
        <w:rPr>
          <w:lang w:val="ro-RO"/>
        </w:rPr>
        <w:t>–SIA „RSAP”/MTender)</w:t>
      </w:r>
      <w:r w:rsidRPr="004D2FF7">
        <w:rPr>
          <w:rStyle w:val="FootnoteReference"/>
          <w:lang w:val="ro-RO"/>
        </w:rPr>
        <w:footnoteReference w:id="64"/>
      </w:r>
      <w:r w:rsidRPr="004D2FF7">
        <w:rPr>
          <w:lang w:val="ro-RO"/>
        </w:rPr>
        <w:t>, care</w:t>
      </w:r>
      <w:r w:rsidRPr="004D2FF7">
        <w:rPr>
          <w:rFonts w:eastAsia="Times New Roman"/>
          <w:lang w:val="ro-RO"/>
        </w:rPr>
        <w:t xml:space="preserve"> urma să </w:t>
      </w:r>
      <w:r w:rsidRPr="004D2FF7">
        <w:rPr>
          <w:lang w:val="ro-RO"/>
        </w:rPr>
        <w:t xml:space="preserve">asigure realizarea prin mijloace electronice a întregului ciclu de desfășurare a procedurilor de achiziții publice. </w:t>
      </w:r>
      <w:r w:rsidRPr="004D2FF7">
        <w:rPr>
          <w:rFonts w:eastAsia="AGaramondPro-Regular"/>
          <w:lang w:val="ro-RO"/>
        </w:rPr>
        <w:t>Deși</w:t>
      </w:r>
      <w:r w:rsidR="00611F9D" w:rsidRPr="004D2FF7">
        <w:rPr>
          <w:rFonts w:eastAsia="AGaramondPro-Regular"/>
          <w:lang w:val="ro-RO"/>
        </w:rPr>
        <w:t xml:space="preserve"> în anul 2018 </w:t>
      </w:r>
      <w:r w:rsidRPr="004D2FF7">
        <w:rPr>
          <w:rFonts w:eastAsia="AGaramondPro-Regular"/>
          <w:lang w:val="ro-RO"/>
        </w:rPr>
        <w:t>doi agenți economici dețin</w:t>
      </w:r>
      <w:r w:rsidR="00611F9D" w:rsidRPr="004D2FF7">
        <w:rPr>
          <w:rFonts w:eastAsia="AGaramondPro-Regular"/>
          <w:lang w:val="ro-RO"/>
        </w:rPr>
        <w:t>ători a</w:t>
      </w:r>
      <w:r w:rsidR="00B7567A">
        <w:rPr>
          <w:rFonts w:eastAsia="AGaramondPro-Regular"/>
          <w:lang w:val="ro-RO"/>
        </w:rPr>
        <w:t>i</w:t>
      </w:r>
      <w:r w:rsidRPr="004D2FF7">
        <w:rPr>
          <w:rFonts w:eastAsia="AGaramondPro-Regular"/>
          <w:lang w:val="ro-RO"/>
        </w:rPr>
        <w:t xml:space="preserve"> </w:t>
      </w:r>
      <w:r w:rsidRPr="004D2FF7">
        <w:rPr>
          <w:noProof/>
          <w:lang w:val="ro-RO"/>
        </w:rPr>
        <w:t>platformel</w:t>
      </w:r>
      <w:r w:rsidR="00611F9D" w:rsidRPr="004D2FF7">
        <w:rPr>
          <w:noProof/>
          <w:lang w:val="ro-RO"/>
        </w:rPr>
        <w:t>or</w:t>
      </w:r>
      <w:r w:rsidRPr="004D2FF7">
        <w:rPr>
          <w:noProof/>
          <w:lang w:val="ro-RO"/>
        </w:rPr>
        <w:t xml:space="preserve"> de achiziții electronice: </w:t>
      </w:r>
      <w:r w:rsidRPr="004D2FF7">
        <w:rPr>
          <w:noProof/>
          <w:u w:val="single"/>
          <w:lang w:val="ro-RO"/>
        </w:rPr>
        <w:t>e-licitație.md</w:t>
      </w:r>
      <w:r w:rsidRPr="004D2FF7">
        <w:rPr>
          <w:noProof/>
          <w:lang w:val="ro-RO"/>
        </w:rPr>
        <w:t xml:space="preserve"> și </w:t>
      </w:r>
      <w:r w:rsidRPr="004D2FF7">
        <w:rPr>
          <w:noProof/>
          <w:u w:val="single"/>
          <w:lang w:val="ro-RO"/>
        </w:rPr>
        <w:t xml:space="preserve">achiziții.md </w:t>
      </w:r>
      <w:r w:rsidRPr="004D2FF7">
        <w:rPr>
          <w:rFonts w:eastAsia="AGaramondPro-Regular"/>
          <w:lang w:val="ro-RO"/>
        </w:rPr>
        <w:t>s</w:t>
      </w:r>
      <w:r w:rsidR="00C942C9" w:rsidRPr="004D2FF7">
        <w:rPr>
          <w:rFonts w:eastAsia="AGaramondPro-Regular"/>
          <w:lang w:val="ro-RO"/>
        </w:rPr>
        <w:t>-</w:t>
      </w:r>
      <w:r w:rsidRPr="004D2FF7">
        <w:rPr>
          <w:rFonts w:eastAsia="AGaramondPro-Regular"/>
          <w:lang w:val="ro-RO"/>
        </w:rPr>
        <w:t xml:space="preserve">au adresat la CNPDCP </w:t>
      </w:r>
      <w:r w:rsidRPr="004D2FF7">
        <w:rPr>
          <w:noProof/>
          <w:lang w:val="ro-RO"/>
        </w:rPr>
        <w:t>pentru a desfășura procedurile de achiziții publice prin intermediul uneia din platforme</w:t>
      </w:r>
      <w:r w:rsidRPr="004D2FF7">
        <w:rPr>
          <w:rFonts w:eastAsia="AGaramondPro-Regular"/>
          <w:lang w:val="ro-RO"/>
        </w:rPr>
        <w:t>,</w:t>
      </w:r>
      <w:r w:rsidRPr="004D2FF7">
        <w:rPr>
          <w:noProof/>
          <w:lang w:val="ro-RO"/>
        </w:rPr>
        <w:t xml:space="preserve"> în perioada</w:t>
      </w:r>
      <w:r w:rsidRPr="004D2FF7">
        <w:t xml:space="preserve"> 2018-2022, </w:t>
      </w:r>
      <w:r w:rsidRPr="004D2FF7">
        <w:rPr>
          <w:noProof/>
          <w:lang w:val="ro-RO"/>
        </w:rPr>
        <w:t xml:space="preserve">CNPDCP nu a </w:t>
      </w:r>
      <w:r w:rsidR="00761A23" w:rsidRPr="004D2FF7">
        <w:rPr>
          <w:noProof/>
          <w:lang w:val="ro-RO"/>
        </w:rPr>
        <w:t>efectuat</w:t>
      </w:r>
      <w:r w:rsidRPr="004D2FF7">
        <w:rPr>
          <w:noProof/>
          <w:lang w:val="ro-RO"/>
        </w:rPr>
        <w:t xml:space="preserve"> nicio procedură de achiziție publică prin </w:t>
      </w:r>
      <w:r w:rsidRPr="004D2FF7">
        <w:rPr>
          <w:lang w:val="ro-RO"/>
        </w:rPr>
        <w:t>SIA „RSAP”/MTender</w:t>
      </w:r>
      <w:r w:rsidRPr="004D2FF7">
        <w:rPr>
          <w:noProof/>
          <w:lang w:val="ro-RO"/>
        </w:rPr>
        <w:t xml:space="preserve">, neasigurînd astfel </w:t>
      </w:r>
      <w:r w:rsidRPr="004D2FF7">
        <w:rPr>
          <w:rFonts w:eastAsia="AGaramondPro-Regular"/>
          <w:lang w:val="ro-RO"/>
        </w:rPr>
        <w:t>transparența, eficiența și digitalizarea achizițiilor publice</w:t>
      </w:r>
      <w:r w:rsidRPr="004D2FF7">
        <w:rPr>
          <w:noProof/>
          <w:lang w:val="ro-RO"/>
        </w:rPr>
        <w:t>.</w:t>
      </w:r>
    </w:p>
    <w:p w14:paraId="2CF5C5A9" w14:textId="5604ED9A" w:rsidR="00811AA0" w:rsidRPr="004D2FF7" w:rsidRDefault="00685899" w:rsidP="00844DFB">
      <w:pPr>
        <w:pStyle w:val="NormalWeb"/>
        <w:spacing w:after="120" w:line="276" w:lineRule="auto"/>
        <w:jc w:val="both"/>
        <w:rPr>
          <w:rFonts w:eastAsia="Calibri"/>
          <w:bCs/>
          <w:iCs/>
          <w:lang w:val="ro-RO"/>
        </w:rPr>
      </w:pPr>
      <w:r w:rsidRPr="004D2FF7">
        <w:t>C</w:t>
      </w:r>
      <w:r w:rsidR="00811AA0" w:rsidRPr="004D2FF7">
        <w:t>ontrar prevederilor legale</w:t>
      </w:r>
      <w:r w:rsidR="00811AA0" w:rsidRPr="004D2FF7">
        <w:rPr>
          <w:rStyle w:val="FootnoteReference"/>
        </w:rPr>
        <w:footnoteReference w:id="65"/>
      </w:r>
      <w:r w:rsidR="00E97C76">
        <w:t>,</w:t>
      </w:r>
      <w:r w:rsidR="00811AA0" w:rsidRPr="004D2FF7">
        <w:t xml:space="preserve"> </w:t>
      </w:r>
      <w:r w:rsidR="005B272B" w:rsidRPr="004D2FF7">
        <w:t>entitatea</w:t>
      </w:r>
      <w:r w:rsidRPr="004D2FF7">
        <w:t xml:space="preserve"> </w:t>
      </w:r>
      <w:r w:rsidR="00811AA0" w:rsidRPr="004D2FF7">
        <w:t>a admis divizarea achizițiilor publice</w:t>
      </w:r>
      <w:r w:rsidRPr="004D2FF7">
        <w:t xml:space="preserve"> în trei cazuri</w:t>
      </w:r>
      <w:r w:rsidR="00E97C76">
        <w:t>,</w:t>
      </w:r>
      <w:r w:rsidR="00811AA0" w:rsidRPr="004D2FF7">
        <w:t xml:space="preserve"> în sumă de 632,3 mii lei</w:t>
      </w:r>
      <w:r w:rsidR="002E340E" w:rsidRPr="004D2FF7">
        <w:rPr>
          <w:noProof/>
          <w:lang w:val="ro-RO"/>
        </w:rPr>
        <w:t>, ca urmare a disfuncționalității procesului de planificare a contractelor,</w:t>
      </w:r>
      <w:r w:rsidR="00811AA0" w:rsidRPr="004D2FF7">
        <w:t xml:space="preserve"> deși se interzice divizarea achiziției prin încheierea de contracte de achiziții publice separate în scopul aplicării unei alte proceduri de achiziție publică decât procedura care ar fi fost utilizată în conformitate cu cadrul legal. Astfel, în anul 2022 a fost achiziționat mobilier prin încheierea a trei contracte de valoare mică în sumă totală de 211,1 mii lei, evitând aplicarea regulamentară a procedurii de achiziție prin cererea ofertelor de prețuri, neasigurând astfel transparența achizițiilor publice. Neasigurând efectuarea achizițiilor publice de bunuri pe loturi</w:t>
      </w:r>
      <w:r w:rsidR="00811AA0" w:rsidRPr="004D2FF7">
        <w:rPr>
          <w:rStyle w:val="FootnoteReference"/>
        </w:rPr>
        <w:footnoteReference w:id="66"/>
      </w:r>
      <w:r w:rsidR="00811AA0" w:rsidRPr="004D2FF7">
        <w:t xml:space="preserve"> și prin </w:t>
      </w:r>
      <w:r w:rsidR="00811AA0" w:rsidRPr="004D2FF7">
        <w:rPr>
          <w:lang w:val="ro-RO"/>
        </w:rPr>
        <w:t xml:space="preserve">Sistemul informațional automatizat „Registrul de stat </w:t>
      </w:r>
      <w:r w:rsidR="00811AA0" w:rsidRPr="004D2FF7">
        <w:rPr>
          <w:lang w:val="ro-RO"/>
        </w:rPr>
        <w:lastRenderedPageBreak/>
        <w:t>al achizițiilor publice”</w:t>
      </w:r>
      <w:r w:rsidR="00811AA0" w:rsidRPr="004D2FF7">
        <w:rPr>
          <w:rStyle w:val="FootnoteReference"/>
          <w:lang w:val="ro-RO"/>
        </w:rPr>
        <w:footnoteReference w:id="67"/>
      </w:r>
      <w:r w:rsidR="006D3B6A">
        <w:rPr>
          <w:lang w:val="ro-RO"/>
        </w:rPr>
        <w:t>,</w:t>
      </w:r>
      <w:r w:rsidR="00811AA0" w:rsidRPr="004D2FF7">
        <w:rPr>
          <w:lang w:val="ro-RO"/>
        </w:rPr>
        <w:t xml:space="preserve"> </w:t>
      </w:r>
      <w:r w:rsidR="00811AA0" w:rsidRPr="004D2FF7">
        <w:t>în anul 2019 au fost încheiate trei contracte în sumă de 208,6 mii lei și</w:t>
      </w:r>
      <w:r w:rsidR="006D3B6A">
        <w:t>,</w:t>
      </w:r>
      <w:r w:rsidR="00811AA0" w:rsidRPr="004D2FF7">
        <w:t xml:space="preserve"> respectiv</w:t>
      </w:r>
      <w:r w:rsidR="006D3B6A">
        <w:t>,</w:t>
      </w:r>
      <w:r w:rsidR="00811AA0" w:rsidRPr="004D2FF7">
        <w:t xml:space="preserve"> în anul 2021 </w:t>
      </w:r>
      <w:r w:rsidR="006D3B6A">
        <w:t xml:space="preserve">au fost </w:t>
      </w:r>
      <w:r w:rsidR="00811AA0" w:rsidRPr="004D2FF7">
        <w:t xml:space="preserve">încheiate alte trei contracte </w:t>
      </w:r>
      <w:r w:rsidR="006D3B6A">
        <w:t>–</w:t>
      </w:r>
      <w:r w:rsidR="00811AA0" w:rsidRPr="004D2FF7">
        <w:t xml:space="preserve"> de 212,6 mii lei</w:t>
      </w:r>
      <w:r w:rsidR="006D3B6A">
        <w:t>,</w:t>
      </w:r>
      <w:r w:rsidR="00811AA0" w:rsidRPr="004D2FF7">
        <w:t xml:space="preserve"> privind achiziționarea tehnicii de calcul, neasigurând transparența și eficiența achizițiilor publice.    </w:t>
      </w:r>
    </w:p>
    <w:p w14:paraId="6BACB610" w14:textId="77777777" w:rsidR="00811AA0" w:rsidRPr="004D2FF7" w:rsidRDefault="00811AA0" w:rsidP="00811AA0">
      <w:pPr>
        <w:spacing w:after="0" w:line="276" w:lineRule="auto"/>
        <w:jc w:val="both"/>
        <w:rPr>
          <w:rFonts w:ascii="Times New Roman" w:hAnsi="Times New Roman" w:cs="Times New Roman"/>
          <w:sz w:val="24"/>
          <w:szCs w:val="24"/>
        </w:rPr>
      </w:pPr>
      <w:r w:rsidRPr="004D2FF7">
        <w:rPr>
          <w:rFonts w:ascii="Times New Roman" w:hAnsi="Times New Roman" w:cs="Times New Roman"/>
          <w:sz w:val="24"/>
          <w:szCs w:val="24"/>
          <w:lang w:val="ro-RO"/>
        </w:rPr>
        <w:t>Contrar prevederilor</w:t>
      </w:r>
      <w:r w:rsidRPr="004D2FF7">
        <w:rPr>
          <w:rFonts w:ascii="Times New Roman" w:hAnsi="Times New Roman" w:cs="Times New Roman"/>
          <w:bCs/>
          <w:sz w:val="24"/>
          <w:szCs w:val="24"/>
          <w:lang w:val="ro-RO"/>
        </w:rPr>
        <w:t xml:space="preserve"> Regulamentului cu privire la achizițiile publice folosind procedura de negociere</w:t>
      </w:r>
      <w:r w:rsidRPr="004D2FF7">
        <w:rPr>
          <w:rStyle w:val="FootnoteReference"/>
          <w:rFonts w:ascii="Times New Roman" w:eastAsiaTheme="majorEastAsia" w:hAnsi="Times New Roman" w:cs="Times New Roman"/>
          <w:bCs/>
          <w:sz w:val="24"/>
          <w:szCs w:val="24"/>
          <w:lang w:val="ro-RO"/>
        </w:rPr>
        <w:footnoteReference w:id="68"/>
      </w:r>
      <w:r w:rsidR="00CB4262">
        <w:rPr>
          <w:rFonts w:ascii="Times New Roman" w:hAnsi="Times New Roman" w:cs="Times New Roman"/>
          <w:bCs/>
          <w:sz w:val="24"/>
          <w:szCs w:val="24"/>
          <w:lang w:val="ro-RO"/>
        </w:rPr>
        <w:t>,</w:t>
      </w:r>
      <w:r w:rsidRPr="004D2FF7">
        <w:rPr>
          <w:rFonts w:ascii="Times New Roman" w:eastAsia="AGaramondPro-Regular" w:hAnsi="Times New Roman" w:cs="Times New Roman"/>
          <w:sz w:val="24"/>
          <w:szCs w:val="24"/>
          <w:lang w:val="ro-RO"/>
        </w:rPr>
        <w:t xml:space="preserve"> </w:t>
      </w:r>
      <w:r w:rsidRPr="004D2FF7">
        <w:rPr>
          <w:rFonts w:ascii="Times New Roman" w:hAnsi="Times New Roman" w:cs="Times New Roman"/>
          <w:sz w:val="24"/>
          <w:szCs w:val="24"/>
          <w:lang w:val="ro-RO"/>
        </w:rPr>
        <w:t>CNPDCP</w:t>
      </w:r>
      <w:r w:rsidR="00695632" w:rsidRPr="004D2FF7">
        <w:rPr>
          <w:rFonts w:ascii="Times New Roman" w:hAnsi="Times New Roman" w:cs="Times New Roman"/>
          <w:sz w:val="24"/>
          <w:szCs w:val="24"/>
          <w:lang w:val="ro-RO"/>
        </w:rPr>
        <w:t>,</w:t>
      </w:r>
      <w:r w:rsidRPr="004D2FF7">
        <w:rPr>
          <w:rFonts w:ascii="Times New Roman" w:hAnsi="Times New Roman" w:cs="Times New Roman"/>
          <w:sz w:val="24"/>
          <w:szCs w:val="24"/>
          <w:lang w:val="ro-RO"/>
        </w:rPr>
        <w:t xml:space="preserve"> </w:t>
      </w:r>
      <w:r w:rsidR="00695632" w:rsidRPr="004D2FF7">
        <w:rPr>
          <w:rFonts w:ascii="Times New Roman" w:hAnsi="Times New Roman" w:cs="Times New Roman"/>
          <w:sz w:val="24"/>
          <w:szCs w:val="24"/>
          <w:lang w:val="ro-RO"/>
        </w:rPr>
        <w:t xml:space="preserve">în </w:t>
      </w:r>
      <w:r w:rsidR="00695632" w:rsidRPr="004D2FF7">
        <w:rPr>
          <w:rFonts w:ascii="Times New Roman" w:hAnsi="Times New Roman" w:cs="Times New Roman"/>
          <w:sz w:val="24"/>
          <w:szCs w:val="24"/>
        </w:rPr>
        <w:t>anii</w:t>
      </w:r>
      <w:r w:rsidRPr="004D2FF7">
        <w:rPr>
          <w:rFonts w:ascii="Times New Roman" w:hAnsi="Times New Roman" w:cs="Times New Roman"/>
          <w:sz w:val="24"/>
          <w:szCs w:val="24"/>
        </w:rPr>
        <w:t xml:space="preserve"> 2018-2020</w:t>
      </w:r>
      <w:r w:rsidR="00CB4262">
        <w:rPr>
          <w:rFonts w:ascii="Times New Roman" w:hAnsi="Times New Roman" w:cs="Times New Roman"/>
          <w:sz w:val="24"/>
          <w:szCs w:val="24"/>
        </w:rPr>
        <w:t>,</w:t>
      </w:r>
      <w:r w:rsidRPr="004D2FF7">
        <w:rPr>
          <w:rFonts w:ascii="Times New Roman" w:hAnsi="Times New Roman" w:cs="Times New Roman"/>
          <w:sz w:val="24"/>
          <w:szCs w:val="24"/>
          <w:lang w:val="ro-RO"/>
        </w:rPr>
        <w:t xml:space="preserve"> </w:t>
      </w:r>
      <w:r w:rsidR="00ED2D9D" w:rsidRPr="004D2FF7">
        <w:rPr>
          <w:rFonts w:ascii="Times New Roman" w:hAnsi="Times New Roman" w:cs="Times New Roman"/>
          <w:sz w:val="24"/>
          <w:szCs w:val="24"/>
          <w:lang w:val="ro-RO"/>
        </w:rPr>
        <w:t>a</w:t>
      </w:r>
      <w:r w:rsidRPr="004D2FF7">
        <w:rPr>
          <w:rFonts w:ascii="Times New Roman" w:hAnsi="Times New Roman" w:cs="Times New Roman"/>
          <w:sz w:val="24"/>
          <w:szCs w:val="24"/>
        </w:rPr>
        <w:t xml:space="preserve"> achiziționat de la un operator economic servicii de mentenanță a Sistemului informațional automatizat </w:t>
      </w:r>
      <w:r w:rsidR="007069B0" w:rsidRPr="004D2FF7">
        <w:rPr>
          <w:rFonts w:ascii="Times New Roman" w:hAnsi="Times New Roman" w:cs="Times New Roman"/>
          <w:sz w:val="24"/>
          <w:szCs w:val="24"/>
        </w:rPr>
        <w:t>„</w:t>
      </w:r>
      <w:r w:rsidRPr="004D2FF7">
        <w:rPr>
          <w:rFonts w:ascii="Times New Roman" w:hAnsi="Times New Roman" w:cs="Times New Roman"/>
          <w:sz w:val="24"/>
          <w:szCs w:val="24"/>
        </w:rPr>
        <w:t xml:space="preserve">Registrul de stat al operatorilor de date cu caracter personal”, prin procedura de negociere fără publicarea prealabilă a unui anunț de participare, încheind 3 contracte în valoare totală de 744,0 mii lei, fără a se </w:t>
      </w:r>
      <w:r w:rsidRPr="004D2FF7">
        <w:rPr>
          <w:rFonts w:ascii="Times New Roman" w:hAnsi="Times New Roman" w:cs="Times New Roman"/>
          <w:sz w:val="24"/>
          <w:szCs w:val="24"/>
          <w:lang w:val="ro-RO"/>
        </w:rPr>
        <w:t>respecta etapele procedurii de achiziție a serviciilor</w:t>
      </w:r>
      <w:r w:rsidR="00CB4262">
        <w:rPr>
          <w:rFonts w:ascii="Times New Roman" w:hAnsi="Times New Roman" w:cs="Times New Roman"/>
          <w:sz w:val="24"/>
          <w:szCs w:val="24"/>
          <w:lang w:val="ro-RO"/>
        </w:rPr>
        <w:t>,</w:t>
      </w:r>
      <w:r w:rsidRPr="004D2FF7">
        <w:rPr>
          <w:rFonts w:ascii="Times New Roman" w:hAnsi="Times New Roman" w:cs="Times New Roman"/>
          <w:sz w:val="24"/>
          <w:szCs w:val="24"/>
          <w:lang w:val="ro-RO"/>
        </w:rPr>
        <w:t xml:space="preserve"> și anume nu s-a negociat oferta tehnică şi financiară inițial prezentată cu depunerea oferte</w:t>
      </w:r>
      <w:r w:rsidR="00674D18" w:rsidRPr="004D2FF7">
        <w:rPr>
          <w:rFonts w:ascii="Times New Roman" w:hAnsi="Times New Roman" w:cs="Times New Roman"/>
          <w:sz w:val="24"/>
          <w:szCs w:val="24"/>
          <w:lang w:val="ro-RO"/>
        </w:rPr>
        <w:t>i</w:t>
      </w:r>
      <w:r w:rsidRPr="004D2FF7">
        <w:rPr>
          <w:rFonts w:ascii="Times New Roman" w:hAnsi="Times New Roman" w:cs="Times New Roman"/>
          <w:sz w:val="24"/>
          <w:szCs w:val="24"/>
          <w:lang w:val="ro-RO"/>
        </w:rPr>
        <w:t xml:space="preserve"> finale, acest fapt nefiind documentat, </w:t>
      </w:r>
      <w:r w:rsidRPr="004D2FF7">
        <w:rPr>
          <w:rFonts w:ascii="Times New Roman" w:hAnsi="Times New Roman" w:cs="Times New Roman"/>
          <w:sz w:val="24"/>
          <w:szCs w:val="24"/>
        </w:rPr>
        <w:t>neasigurând astfel eficiența achizițiilor publice</w:t>
      </w:r>
      <w:r w:rsidRPr="004D2FF7">
        <w:rPr>
          <w:rStyle w:val="FootnoteReference"/>
          <w:rFonts w:ascii="Times New Roman" w:hAnsi="Times New Roman" w:cs="Times New Roman"/>
          <w:sz w:val="24"/>
          <w:szCs w:val="24"/>
        </w:rPr>
        <w:footnoteReference w:id="69"/>
      </w:r>
      <w:r w:rsidRPr="004D2FF7">
        <w:rPr>
          <w:rFonts w:ascii="Times New Roman" w:hAnsi="Times New Roman" w:cs="Times New Roman"/>
          <w:sz w:val="24"/>
          <w:szCs w:val="24"/>
        </w:rPr>
        <w:t xml:space="preserve">. Negocierea ofertei s-a efectuat regulamentar de către CNPDCP numai în anul 2021 la încheierea contractului de achiziții a serviciilor de mentenanță în valoare de 240,0 mii lei, operatorul economic solicitând prețul serviciilor de 259,7 mii lei, sau cu 19,7 mii lei mai scump. </w:t>
      </w:r>
    </w:p>
    <w:p w14:paraId="5BD18390" w14:textId="77777777" w:rsidR="00731EA0" w:rsidRPr="004D2FF7" w:rsidRDefault="00731EA0" w:rsidP="00811AA0">
      <w:pPr>
        <w:spacing w:after="0" w:line="276" w:lineRule="auto"/>
        <w:jc w:val="both"/>
        <w:rPr>
          <w:rFonts w:ascii="Times New Roman" w:hAnsi="Times New Roman" w:cs="Times New Roman"/>
          <w:sz w:val="24"/>
          <w:szCs w:val="24"/>
        </w:rPr>
      </w:pPr>
    </w:p>
    <w:p w14:paraId="0FB11FFB" w14:textId="161C1E77" w:rsidR="00811AA0" w:rsidRPr="004D2FF7" w:rsidRDefault="00EC6A97" w:rsidP="00844DFB">
      <w:pPr>
        <w:pStyle w:val="NormalWeb"/>
        <w:spacing w:after="120" w:line="276" w:lineRule="auto"/>
        <w:jc w:val="both"/>
        <w:rPr>
          <w:b/>
          <w:i/>
        </w:rPr>
      </w:pPr>
      <w:r w:rsidRPr="004D2FF7">
        <w:rPr>
          <w:rFonts w:eastAsia="Calibri"/>
          <w:b/>
          <w:bCs/>
          <w:i/>
          <w:iCs/>
          <w:lang w:val="ro-RO"/>
        </w:rPr>
        <w:t>c</w:t>
      </w:r>
      <w:r w:rsidR="009D1ABB" w:rsidRPr="004D2FF7">
        <w:rPr>
          <w:rFonts w:eastAsia="Calibri"/>
          <w:b/>
          <w:bCs/>
          <w:i/>
          <w:iCs/>
          <w:lang w:val="ro-RO"/>
        </w:rPr>
        <w:t xml:space="preserve">) </w:t>
      </w:r>
      <w:r w:rsidR="00811AA0" w:rsidRPr="004D2FF7">
        <w:rPr>
          <w:rFonts w:eastAsia="Calibri"/>
          <w:b/>
          <w:bCs/>
          <w:i/>
          <w:iCs/>
          <w:lang w:val="ro-RO"/>
        </w:rPr>
        <w:t xml:space="preserve">Verificările auditului public extern asupra conformității </w:t>
      </w:r>
      <w:r w:rsidR="00811AA0" w:rsidRPr="004D2FF7">
        <w:rPr>
          <w:rFonts w:eastAsia="Calibri"/>
          <w:b/>
          <w:i/>
          <w:lang w:val="ro-RO"/>
        </w:rPr>
        <w:t>procedurilor de achiziții publice și executării cheltuielilor aferente achizițiilor în cadrul CNPDCP</w:t>
      </w:r>
      <w:r w:rsidR="00811AA0" w:rsidRPr="004D2FF7">
        <w:rPr>
          <w:b/>
          <w:i/>
        </w:rPr>
        <w:t xml:space="preserve"> au stabilit un șir de nereguli la achiziționarea mijloacelor de transport și serviciil</w:t>
      </w:r>
      <w:r w:rsidR="00CB4262">
        <w:rPr>
          <w:b/>
          <w:i/>
        </w:rPr>
        <w:t>or</w:t>
      </w:r>
      <w:r w:rsidR="00811AA0" w:rsidRPr="004D2FF7">
        <w:rPr>
          <w:b/>
          <w:i/>
        </w:rPr>
        <w:t xml:space="preserve"> de deservire a acestora</w:t>
      </w:r>
      <w:r w:rsidR="00CB4262">
        <w:rPr>
          <w:b/>
          <w:i/>
        </w:rPr>
        <w:t>.</w:t>
      </w:r>
    </w:p>
    <w:p w14:paraId="19248C8B" w14:textId="4FC975D3" w:rsidR="003F2917" w:rsidRPr="004D2FF7" w:rsidRDefault="00E56B92" w:rsidP="00612BF7">
      <w:pPr>
        <w:pStyle w:val="NormalWeb"/>
        <w:spacing w:after="0" w:line="276" w:lineRule="auto"/>
        <w:jc w:val="both"/>
        <w:rPr>
          <w:bCs/>
          <w:iCs/>
          <w:lang w:val="ro-RO"/>
        </w:rPr>
      </w:pPr>
      <w:r w:rsidRPr="004D2FF7">
        <w:rPr>
          <w:bCs/>
          <w:iCs/>
          <w:lang w:val="ro-RO"/>
        </w:rPr>
        <w:t xml:space="preserve">Conform </w:t>
      </w:r>
      <w:r w:rsidR="005B78A4" w:rsidRPr="004D2FF7">
        <w:rPr>
          <w:bCs/>
          <w:iCs/>
          <w:lang w:val="ro-RO"/>
        </w:rPr>
        <w:t>cadrului</w:t>
      </w:r>
      <w:r w:rsidRPr="004D2FF7">
        <w:rPr>
          <w:bCs/>
          <w:iCs/>
          <w:lang w:val="ro-RO"/>
        </w:rPr>
        <w:t xml:space="preserve"> </w:t>
      </w:r>
      <w:r w:rsidR="004530B4" w:rsidRPr="004D2FF7">
        <w:rPr>
          <w:bCs/>
          <w:iCs/>
          <w:lang w:val="ro-RO"/>
        </w:rPr>
        <w:t>legal</w:t>
      </w:r>
      <w:r w:rsidR="00431276" w:rsidRPr="004D2FF7">
        <w:rPr>
          <w:rStyle w:val="FootnoteReference"/>
          <w:noProof/>
        </w:rPr>
        <w:footnoteReference w:id="70"/>
      </w:r>
      <w:r w:rsidR="00CB4262">
        <w:rPr>
          <w:bCs/>
          <w:iCs/>
          <w:lang w:val="ro-RO"/>
        </w:rPr>
        <w:t>,</w:t>
      </w:r>
      <w:r w:rsidRPr="004D2FF7">
        <w:rPr>
          <w:bCs/>
          <w:iCs/>
          <w:lang w:val="ro-RO"/>
        </w:rPr>
        <w:t xml:space="preserve"> resursele bugetare se alocă și se utilizează </w:t>
      </w:r>
      <w:r w:rsidR="008C0D71" w:rsidRPr="004D2FF7">
        <w:rPr>
          <w:bCs/>
          <w:iCs/>
          <w:lang w:val="ro-RO"/>
        </w:rPr>
        <w:t>î</w:t>
      </w:r>
      <w:r w:rsidRPr="004D2FF7">
        <w:rPr>
          <w:bCs/>
          <w:iCs/>
          <w:lang w:val="ro-RO"/>
        </w:rPr>
        <w:t>n mod econom</w:t>
      </w:r>
      <w:r w:rsidR="008C0D71" w:rsidRPr="004D2FF7">
        <w:rPr>
          <w:bCs/>
          <w:iCs/>
          <w:lang w:val="ro-RO"/>
        </w:rPr>
        <w:t>,</w:t>
      </w:r>
      <w:r w:rsidRPr="004D2FF7">
        <w:rPr>
          <w:bCs/>
          <w:iCs/>
          <w:lang w:val="ro-RO"/>
        </w:rPr>
        <w:t xml:space="preserve"> eficient și eficace</w:t>
      </w:r>
      <w:r w:rsidR="00CB4262">
        <w:rPr>
          <w:bCs/>
          <w:iCs/>
          <w:lang w:val="ro-RO"/>
        </w:rPr>
        <w:t>,</w:t>
      </w:r>
      <w:r w:rsidRPr="004D2FF7">
        <w:rPr>
          <w:bCs/>
          <w:iCs/>
          <w:lang w:val="ro-RO"/>
        </w:rPr>
        <w:t xml:space="preserve"> în concordanță cu principiile bunei guvernări</w:t>
      </w:r>
      <w:r w:rsidR="008C0D71" w:rsidRPr="004D2FF7">
        <w:rPr>
          <w:bCs/>
          <w:iCs/>
          <w:lang w:val="ro-RO"/>
        </w:rPr>
        <w:t xml:space="preserve">, în condiții de resurse limitate </w:t>
      </w:r>
      <w:r w:rsidR="003D683D" w:rsidRPr="004D2FF7">
        <w:rPr>
          <w:bCs/>
          <w:iCs/>
          <w:lang w:val="ro-RO"/>
        </w:rPr>
        <w:t xml:space="preserve">entitatea </w:t>
      </w:r>
      <w:r w:rsidR="008C0D71" w:rsidRPr="004D2FF7">
        <w:rPr>
          <w:bCs/>
          <w:iCs/>
          <w:lang w:val="ro-RO"/>
        </w:rPr>
        <w:t>urmând să realizeze obiectivele cu minimizarea costurilor aferente</w:t>
      </w:r>
      <w:r w:rsidR="003F2917" w:rsidRPr="004D2FF7">
        <w:rPr>
          <w:bCs/>
          <w:iCs/>
          <w:lang w:val="ro-RO"/>
        </w:rPr>
        <w:t>,</w:t>
      </w:r>
      <w:r w:rsidR="00503693" w:rsidRPr="004D2FF7">
        <w:rPr>
          <w:bCs/>
          <w:iCs/>
          <w:lang w:val="ro-RO"/>
        </w:rPr>
        <w:t xml:space="preserve"> </w:t>
      </w:r>
      <w:r w:rsidR="003F2917" w:rsidRPr="004D2FF7">
        <w:rPr>
          <w:bCs/>
          <w:iCs/>
          <w:lang w:val="ro-RO"/>
        </w:rPr>
        <w:t>constatându-</w:t>
      </w:r>
      <w:r w:rsidR="00503693" w:rsidRPr="004D2FF7">
        <w:rPr>
          <w:bCs/>
          <w:iCs/>
          <w:lang w:val="ro-RO"/>
        </w:rPr>
        <w:t>se următoarele:</w:t>
      </w:r>
      <w:r w:rsidR="004530B4" w:rsidRPr="004D2FF7">
        <w:rPr>
          <w:bCs/>
          <w:iCs/>
          <w:lang w:val="ro-RO"/>
        </w:rPr>
        <w:t xml:space="preserve"> </w:t>
      </w:r>
    </w:p>
    <w:p w14:paraId="2A30785B" w14:textId="381A9066" w:rsidR="009C60A6" w:rsidRPr="004D2FF7" w:rsidRDefault="00CB4262" w:rsidP="00FB14E9">
      <w:pPr>
        <w:pStyle w:val="NormalWeb"/>
        <w:numPr>
          <w:ilvl w:val="0"/>
          <w:numId w:val="20"/>
        </w:numPr>
        <w:spacing w:after="120" w:line="276" w:lineRule="auto"/>
        <w:ind w:left="0" w:firstLine="357"/>
        <w:jc w:val="both"/>
      </w:pPr>
      <w:r>
        <w:rPr>
          <w:bCs/>
          <w:iCs/>
          <w:lang w:val="ro-RO"/>
        </w:rPr>
        <w:t>î</w:t>
      </w:r>
      <w:r w:rsidR="004530B4" w:rsidRPr="004D2FF7">
        <w:rPr>
          <w:bCs/>
          <w:iCs/>
          <w:lang w:val="ro-RO"/>
        </w:rPr>
        <w:t xml:space="preserve">n temeiul </w:t>
      </w:r>
      <w:r w:rsidR="002345C4" w:rsidRPr="004D2FF7">
        <w:t>Legii cu privire la asigurarea obligatorie de răspundere civilă pentru pagube produse de autovehicule nr.414 din 22.12.2006 și Legii privind asigurarea obligatorie de răspundere civilă auto pentru pagube produse de vehicule nr.106 din 21.04.2022</w:t>
      </w:r>
      <w:r w:rsidR="00676D68" w:rsidRPr="004D2FF7">
        <w:rPr>
          <w:rStyle w:val="FootnoteReference"/>
        </w:rPr>
        <w:footnoteReference w:id="71"/>
      </w:r>
      <w:r w:rsidR="002345C4" w:rsidRPr="004D2FF7">
        <w:t xml:space="preserve">, CNPDCP a </w:t>
      </w:r>
      <w:r w:rsidR="00321633" w:rsidRPr="004D2FF7">
        <w:t>procurat</w:t>
      </w:r>
      <w:r w:rsidR="0034525C" w:rsidRPr="004D2FF7">
        <w:t xml:space="preserve"> </w:t>
      </w:r>
      <w:r w:rsidR="003D01CC" w:rsidRPr="004D2FF7">
        <w:t>de la un operator economic</w:t>
      </w:r>
      <w:r w:rsidR="003D01CC" w:rsidRPr="004D2FF7">
        <w:rPr>
          <w:rStyle w:val="FootnoteReference"/>
        </w:rPr>
        <w:footnoteReference w:id="72"/>
      </w:r>
      <w:r w:rsidR="003D01CC" w:rsidRPr="004D2FF7">
        <w:t xml:space="preserve"> </w:t>
      </w:r>
      <w:r w:rsidR="002345C4" w:rsidRPr="004D2FF7">
        <w:t>servicii de asigurare</w:t>
      </w:r>
      <w:r w:rsidR="00E56B92" w:rsidRPr="004D2FF7">
        <w:t xml:space="preserve"> de răspundere civilă</w:t>
      </w:r>
      <w:r w:rsidR="002345C4" w:rsidRPr="004D2FF7">
        <w:t xml:space="preserve"> obligatorie</w:t>
      </w:r>
      <w:r w:rsidR="00E56B92" w:rsidRPr="004D2FF7">
        <w:t xml:space="preserve"> în caz de accidente</w:t>
      </w:r>
      <w:r w:rsidR="00F3629B" w:rsidRPr="004D2FF7">
        <w:t xml:space="preserve"> </w:t>
      </w:r>
      <w:r w:rsidR="00E56B92" w:rsidRPr="004D2FF7">
        <w:t xml:space="preserve">în sumă de </w:t>
      </w:r>
      <w:r w:rsidR="00DF03A5" w:rsidRPr="004D2FF7">
        <w:t>38,6</w:t>
      </w:r>
      <w:r w:rsidR="00E56B92" w:rsidRPr="004D2FF7">
        <w:t xml:space="preserve"> mii lei</w:t>
      </w:r>
      <w:r w:rsidR="0034525C" w:rsidRPr="004D2FF7">
        <w:t xml:space="preserve"> pentru 4 autoturisme din dotare</w:t>
      </w:r>
      <w:r w:rsidR="0034525C" w:rsidRPr="004D2FF7">
        <w:rPr>
          <w:rStyle w:val="FootnoteReference"/>
        </w:rPr>
        <w:footnoteReference w:id="73"/>
      </w:r>
      <w:r w:rsidR="003F2917" w:rsidRPr="004D2FF7">
        <w:t>. Totodată</w:t>
      </w:r>
      <w:r w:rsidR="006041A8" w:rsidRPr="004D2FF7">
        <w:t xml:space="preserve">, </w:t>
      </w:r>
      <w:r w:rsidR="00D3755B" w:rsidRPr="004D2FF7">
        <w:t>CNPDCP</w:t>
      </w:r>
      <w:r w:rsidR="003F2917" w:rsidRPr="004D2FF7">
        <w:t xml:space="preserve"> </w:t>
      </w:r>
      <w:r w:rsidR="002345C4" w:rsidRPr="004D2FF7">
        <w:t>a încheiat</w:t>
      </w:r>
      <w:r w:rsidR="003D01CC" w:rsidRPr="004D2FF7">
        <w:t xml:space="preserve"> cu același operator economic</w:t>
      </w:r>
      <w:r w:rsidR="003D01CC" w:rsidRPr="004D2FF7">
        <w:rPr>
          <w:rStyle w:val="FootnoteReference"/>
        </w:rPr>
        <w:footnoteReference w:id="74"/>
      </w:r>
      <w:r w:rsidR="003D01CC" w:rsidRPr="004D2FF7">
        <w:t xml:space="preserve"> </w:t>
      </w:r>
      <w:r w:rsidR="0053586B" w:rsidRPr="004D2FF7">
        <w:t xml:space="preserve">și </w:t>
      </w:r>
      <w:r w:rsidR="00715C05" w:rsidRPr="004D2FF7">
        <w:t xml:space="preserve">17 </w:t>
      </w:r>
      <w:r w:rsidR="002345C4" w:rsidRPr="004D2FF7">
        <w:t>contracte</w:t>
      </w:r>
      <w:r w:rsidR="00321633" w:rsidRPr="004D2FF7">
        <w:t xml:space="preserve"> potrivit cărora</w:t>
      </w:r>
      <w:r w:rsidR="002345C4" w:rsidRPr="004D2FF7">
        <w:t xml:space="preserve"> a achiziționat </w:t>
      </w:r>
      <w:r w:rsidR="003D683D" w:rsidRPr="004D2FF7">
        <w:t xml:space="preserve">suplimentar </w:t>
      </w:r>
      <w:r w:rsidR="002345C4" w:rsidRPr="004D2FF7">
        <w:t>servicii de asigurare facultativă</w:t>
      </w:r>
      <w:r w:rsidR="00B76C7C" w:rsidRPr="004D2FF7">
        <w:t xml:space="preserve"> Casco</w:t>
      </w:r>
      <w:r w:rsidR="00C90BC6" w:rsidRPr="004D2FF7">
        <w:t xml:space="preserve"> în sumă totală de 2</w:t>
      </w:r>
      <w:r w:rsidR="00715C05" w:rsidRPr="004D2FF7">
        <w:t>68,6</w:t>
      </w:r>
      <w:r w:rsidR="00C90BC6" w:rsidRPr="004D2FF7">
        <w:t xml:space="preserve"> mii lei</w:t>
      </w:r>
      <w:r w:rsidR="00072076" w:rsidRPr="004D2FF7">
        <w:t>, inclusiv</w:t>
      </w:r>
      <w:r w:rsidR="003D01CC" w:rsidRPr="004D2FF7">
        <w:t xml:space="preserve"> în caz de accidente pentru aceleași 4 autoturisme</w:t>
      </w:r>
      <w:r w:rsidR="00152DC7" w:rsidRPr="004D2FF7">
        <w:t xml:space="preserve"> de serviciu</w:t>
      </w:r>
      <w:r w:rsidR="0053586B" w:rsidRPr="004D2FF7">
        <w:t xml:space="preserve">, care de fapt </w:t>
      </w:r>
      <w:r w:rsidR="00C90BC6" w:rsidRPr="004D2FF7">
        <w:t>erau</w:t>
      </w:r>
      <w:r w:rsidR="0053586B" w:rsidRPr="004D2FF7">
        <w:t xml:space="preserve"> asigur</w:t>
      </w:r>
      <w:r w:rsidR="00C90BC6" w:rsidRPr="004D2FF7">
        <w:t>ate</w:t>
      </w:r>
      <w:r w:rsidR="0053586B" w:rsidRPr="004D2FF7">
        <w:t xml:space="preserve"> de răspundere civilă obligatorie</w:t>
      </w:r>
      <w:r w:rsidR="000848E8" w:rsidRPr="004D2FF7">
        <w:t xml:space="preserve"> în caz de accidente</w:t>
      </w:r>
      <w:r w:rsidR="0053586B" w:rsidRPr="004D2FF7">
        <w:t xml:space="preserve">, </w:t>
      </w:r>
      <w:r w:rsidR="00321633" w:rsidRPr="004D2FF7">
        <w:t>a</w:t>
      </w:r>
      <w:r w:rsidR="002345C4" w:rsidRPr="004D2FF7">
        <w:t>uditul</w:t>
      </w:r>
      <w:r w:rsidR="00321633" w:rsidRPr="004D2FF7">
        <w:t xml:space="preserve"> </w:t>
      </w:r>
      <w:r w:rsidR="00AB43B0" w:rsidRPr="004D2FF7">
        <w:t>clasificându</w:t>
      </w:r>
      <w:r w:rsidR="00AA2BCA" w:rsidRPr="004D2FF7">
        <w:t>-le ca cheltuieli</w:t>
      </w:r>
      <w:r w:rsidR="002345C4" w:rsidRPr="004D2FF7">
        <w:t xml:space="preserve"> nejustificate </w:t>
      </w:r>
      <w:r w:rsidR="00321633" w:rsidRPr="004D2FF7">
        <w:t xml:space="preserve">și </w:t>
      </w:r>
      <w:r w:rsidR="002345C4" w:rsidRPr="004D2FF7">
        <w:t>neeficiente</w:t>
      </w:r>
      <w:r w:rsidR="00AA2BCA" w:rsidRPr="004D2FF7">
        <w:t>,</w:t>
      </w:r>
      <w:r w:rsidR="00AB43B0" w:rsidRPr="004D2FF7">
        <w:t xml:space="preserve"> </w:t>
      </w:r>
      <w:r w:rsidR="00AA2BCA" w:rsidRPr="004D2FF7">
        <w:t xml:space="preserve">fapt </w:t>
      </w:r>
      <w:r w:rsidR="00AB43B0" w:rsidRPr="004D2FF7">
        <w:t>care</w:t>
      </w:r>
      <w:r w:rsidR="00F3629B" w:rsidRPr="004D2FF7">
        <w:t xml:space="preserve"> a</w:t>
      </w:r>
      <w:r w:rsidR="00AB43B0" w:rsidRPr="004D2FF7">
        <w:t xml:space="preserve"> </w:t>
      </w:r>
      <w:r w:rsidR="00E56B92" w:rsidRPr="004D2FF7">
        <w:t>du</w:t>
      </w:r>
      <w:r w:rsidR="00C9638F" w:rsidRPr="004D2FF7">
        <w:t>s</w:t>
      </w:r>
      <w:r w:rsidR="00E56B92" w:rsidRPr="004D2FF7">
        <w:t xml:space="preserve"> </w:t>
      </w:r>
      <w:r w:rsidR="00AB43B0" w:rsidRPr="004D2FF7">
        <w:t>majo</w:t>
      </w:r>
      <w:r w:rsidR="00E56B92" w:rsidRPr="004D2FF7">
        <w:t>rarea cheltuielilor</w:t>
      </w:r>
      <w:r w:rsidR="00152DC7" w:rsidRPr="004D2FF7">
        <w:t xml:space="preserve"> bugetare</w:t>
      </w:r>
      <w:r w:rsidR="00715C05" w:rsidRPr="004D2FF7">
        <w:t xml:space="preserve">. </w:t>
      </w:r>
      <w:r w:rsidR="00374888" w:rsidRPr="004D2FF7">
        <w:t>În anii 2015-2023 a</w:t>
      </w:r>
      <w:r w:rsidR="004375E6" w:rsidRPr="004D2FF7">
        <w:t xml:space="preserve">utoturismele de serviciu ale CNPDCP au fost implicate în </w:t>
      </w:r>
      <w:r w:rsidR="009C60A6" w:rsidRPr="004D2FF7">
        <w:t>1</w:t>
      </w:r>
      <w:r w:rsidR="00C43D29" w:rsidRPr="004D2FF7">
        <w:t>4</w:t>
      </w:r>
      <w:r w:rsidR="004375E6" w:rsidRPr="004D2FF7">
        <w:t xml:space="preserve"> accidente rutiere</w:t>
      </w:r>
      <w:r w:rsidR="00C43D29" w:rsidRPr="004D2FF7">
        <w:rPr>
          <w:rStyle w:val="FootnoteReference"/>
          <w:lang w:val="ro-RO"/>
        </w:rPr>
        <w:footnoteReference w:id="75"/>
      </w:r>
      <w:r w:rsidR="004375E6" w:rsidRPr="004D2FF7">
        <w:t xml:space="preserve">, </w:t>
      </w:r>
      <w:r w:rsidR="005B78A4" w:rsidRPr="004D2FF7">
        <w:t>iar</w:t>
      </w:r>
      <w:r w:rsidR="004375E6" w:rsidRPr="004D2FF7">
        <w:t xml:space="preserve"> în temeiul unor cereri asiguratorul </w:t>
      </w:r>
      <w:r w:rsidR="00A73396" w:rsidRPr="004D2FF7">
        <w:t>a achitat pagube în sumă de 1</w:t>
      </w:r>
      <w:r w:rsidR="00C43D29" w:rsidRPr="004D2FF7">
        <w:t>45,6</w:t>
      </w:r>
      <w:r w:rsidR="00A73396" w:rsidRPr="004D2FF7">
        <w:t xml:space="preserve"> mii lei, inclusiv</w:t>
      </w:r>
      <w:r w:rsidR="005E12B1" w:rsidRPr="004D2FF7">
        <w:t xml:space="preserve"> </w:t>
      </w:r>
      <w:r w:rsidR="009C60A6" w:rsidRPr="004D2FF7">
        <w:t>1</w:t>
      </w:r>
      <w:r w:rsidR="00C43D29" w:rsidRPr="004D2FF7">
        <w:t>40,2</w:t>
      </w:r>
      <w:r w:rsidR="005E12B1" w:rsidRPr="004D2FF7">
        <w:t xml:space="preserve"> mii lei</w:t>
      </w:r>
      <w:r w:rsidR="00A73396" w:rsidRPr="004D2FF7">
        <w:t xml:space="preserve"> în baza poliței de asigurare facultativă Casco</w:t>
      </w:r>
      <w:r w:rsidR="00152DC7" w:rsidRPr="004D2FF7">
        <w:t>,</w:t>
      </w:r>
      <w:r w:rsidR="00A73396" w:rsidRPr="004D2FF7">
        <w:t xml:space="preserve"> </w:t>
      </w:r>
      <w:r w:rsidR="009C60A6" w:rsidRPr="004D2FF7">
        <w:t xml:space="preserve">pagube care de fapt urmau a fi achitate din contul poliței </w:t>
      </w:r>
      <w:r w:rsidR="009C60A6" w:rsidRPr="004D2FF7">
        <w:lastRenderedPageBreak/>
        <w:t>de asigurare de răspundere civilă obligatorie în caz de accidente sau din contul persoanelor care se fac vinovate de accident</w:t>
      </w:r>
      <w:r w:rsidR="001413F9" w:rsidRPr="004D2FF7">
        <w:rPr>
          <w:rStyle w:val="FootnoteReference"/>
        </w:rPr>
        <w:footnoteReference w:id="76"/>
      </w:r>
      <w:r w:rsidR="004D7C9B" w:rsidRPr="004D2FF7">
        <w:t>.</w:t>
      </w:r>
    </w:p>
    <w:p w14:paraId="2085F5F4" w14:textId="77777777" w:rsidR="00716C97" w:rsidRPr="004D2FF7" w:rsidRDefault="00716C97" w:rsidP="00716C97">
      <w:pPr>
        <w:tabs>
          <w:tab w:val="left" w:pos="322"/>
        </w:tabs>
        <w:autoSpaceDE w:val="0"/>
        <w:autoSpaceDN w:val="0"/>
        <w:adjustRightInd w:val="0"/>
        <w:spacing w:after="0" w:line="276" w:lineRule="auto"/>
        <w:jc w:val="both"/>
        <w:rPr>
          <w:rFonts w:ascii="Times New Roman" w:eastAsia="Times New Roman" w:hAnsi="Times New Roman" w:cs="Times New Roman"/>
          <w:sz w:val="24"/>
          <w:szCs w:val="24"/>
        </w:rPr>
      </w:pPr>
      <w:r w:rsidRPr="004D2FF7">
        <w:rPr>
          <w:rFonts w:ascii="Times New Roman" w:eastAsia="Times New Roman" w:hAnsi="Times New Roman" w:cs="Times New Roman"/>
          <w:sz w:val="24"/>
          <w:szCs w:val="24"/>
        </w:rPr>
        <w:t>Pentru achiziția a 2 autoturisme de serviciu, CNPDCP a organizat 2 licitații publice</w:t>
      </w:r>
      <w:r w:rsidRPr="004D2FF7">
        <w:rPr>
          <w:rStyle w:val="FootnoteReference"/>
          <w:rFonts w:ascii="Times New Roman" w:eastAsia="Times New Roman" w:hAnsi="Times New Roman" w:cs="Times New Roman"/>
        </w:rPr>
        <w:footnoteReference w:id="77"/>
      </w:r>
      <w:r w:rsidR="000A7525">
        <w:rPr>
          <w:rFonts w:ascii="Times New Roman" w:eastAsia="Times New Roman" w:hAnsi="Times New Roman" w:cs="Times New Roman"/>
          <w:sz w:val="24"/>
          <w:szCs w:val="24"/>
        </w:rPr>
        <w:t>,</w:t>
      </w:r>
      <w:r w:rsidRPr="004D2FF7">
        <w:rPr>
          <w:rFonts w:ascii="Times New Roman" w:eastAsia="Times New Roman" w:hAnsi="Times New Roman" w:cs="Times New Roman"/>
          <w:sz w:val="24"/>
          <w:szCs w:val="24"/>
        </w:rPr>
        <w:t xml:space="preserve"> auditul constatând următoarele neconformități: </w:t>
      </w:r>
    </w:p>
    <w:p w14:paraId="4E3962A3" w14:textId="0D2E36AC" w:rsidR="00716C97" w:rsidRPr="004D2FF7" w:rsidRDefault="000A7525" w:rsidP="00716C97">
      <w:pPr>
        <w:pStyle w:val="ListParagraph"/>
        <w:numPr>
          <w:ilvl w:val="0"/>
          <w:numId w:val="19"/>
        </w:numPr>
        <w:spacing w:after="0" w:line="276" w:lineRule="auto"/>
        <w:ind w:left="0" w:right="-93" w:firstLine="360"/>
        <w:jc w:val="both"/>
        <w:rPr>
          <w:rFonts w:ascii="Times New Roman" w:hAnsi="Times New Roman" w:cs="Times New Roman"/>
          <w:bCs/>
          <w:iCs/>
          <w:sz w:val="24"/>
          <w:szCs w:val="24"/>
          <w:lang w:val="ro-RO"/>
        </w:rPr>
      </w:pPr>
      <w:r>
        <w:rPr>
          <w:rFonts w:ascii="Times New Roman" w:hAnsi="Times New Roman" w:cs="Times New Roman"/>
          <w:bCs/>
          <w:iCs/>
          <w:sz w:val="24"/>
          <w:szCs w:val="24"/>
          <w:lang w:val="ro-RO"/>
        </w:rPr>
        <w:t>g</w:t>
      </w:r>
      <w:r w:rsidR="00716C97" w:rsidRPr="004D2FF7">
        <w:rPr>
          <w:rFonts w:ascii="Times New Roman" w:hAnsi="Times New Roman" w:cs="Times New Roman"/>
          <w:bCs/>
          <w:iCs/>
          <w:sz w:val="24"/>
          <w:szCs w:val="24"/>
          <w:lang w:val="ro-RO"/>
        </w:rPr>
        <w:t xml:space="preserve">rupul de lucru pentru achiziții </w:t>
      </w:r>
      <w:r w:rsidR="00716C97" w:rsidRPr="004D2FF7">
        <w:rPr>
          <w:rFonts w:ascii="Times New Roman" w:hAnsi="Times New Roman" w:cs="Times New Roman"/>
          <w:noProof/>
          <w:sz w:val="24"/>
          <w:szCs w:val="24"/>
          <w:lang w:val="ro-RO"/>
        </w:rPr>
        <w:t>nu a desfăşurat, anterior prezentării ofertelor, nicio procedură de preselecţie</w:t>
      </w:r>
      <w:r w:rsidR="00716C97" w:rsidRPr="004D2FF7">
        <w:rPr>
          <w:rFonts w:ascii="Times New Roman" w:hAnsi="Times New Roman" w:cs="Times New Roman"/>
          <w:bCs/>
          <w:iCs/>
          <w:sz w:val="24"/>
          <w:szCs w:val="24"/>
          <w:lang w:val="ro-RO"/>
        </w:rPr>
        <w:t xml:space="preserve"> p</w:t>
      </w:r>
      <w:r w:rsidR="00716C97" w:rsidRPr="004D2FF7">
        <w:rPr>
          <w:rFonts w:ascii="Times New Roman" w:hAnsi="Times New Roman" w:cs="Times New Roman"/>
          <w:noProof/>
          <w:sz w:val="24"/>
          <w:szCs w:val="24"/>
          <w:lang w:val="ro-RO"/>
        </w:rPr>
        <w:t>entru a identifica operatorii economici calificaţi</w:t>
      </w:r>
      <w:r w:rsidR="00716C97" w:rsidRPr="004D2FF7">
        <w:rPr>
          <w:rStyle w:val="FootnoteReference"/>
          <w:rFonts w:ascii="Times New Roman" w:hAnsi="Times New Roman" w:cs="Times New Roman"/>
          <w:noProof/>
          <w:lang w:val="ro-RO"/>
        </w:rPr>
        <w:footnoteReference w:id="78"/>
      </w:r>
      <w:r w:rsidR="00716C97" w:rsidRPr="004D2FF7">
        <w:rPr>
          <w:rFonts w:ascii="Times New Roman" w:hAnsi="Times New Roman" w:cs="Times New Roman"/>
          <w:noProof/>
          <w:sz w:val="24"/>
          <w:szCs w:val="24"/>
          <w:lang w:val="ro-RO"/>
        </w:rPr>
        <w:t xml:space="preserve"> și a</w:t>
      </w:r>
      <w:r w:rsidR="00716C97" w:rsidRPr="004D2FF7">
        <w:rPr>
          <w:rFonts w:ascii="Times New Roman" w:hAnsi="Times New Roman" w:cs="Times New Roman"/>
          <w:sz w:val="24"/>
          <w:szCs w:val="24"/>
          <w:lang w:val="ro-RO"/>
        </w:rPr>
        <w:t xml:space="preserve"> asigura eficiența achizițiilor publice în cadrul instituției</w:t>
      </w:r>
      <w:r w:rsidR="00716C97" w:rsidRPr="004D2FF7">
        <w:rPr>
          <w:rFonts w:ascii="Times New Roman" w:hAnsi="Times New Roman" w:cs="Times New Roman"/>
          <w:noProof/>
          <w:sz w:val="24"/>
          <w:szCs w:val="24"/>
          <w:lang w:val="ro-RO"/>
        </w:rPr>
        <w:t>;</w:t>
      </w:r>
    </w:p>
    <w:p w14:paraId="0A89EE9F" w14:textId="40F428D2" w:rsidR="00716C97" w:rsidRPr="004D2FF7" w:rsidRDefault="000A7525" w:rsidP="00716C97">
      <w:pPr>
        <w:pStyle w:val="ListParagraph"/>
        <w:numPr>
          <w:ilvl w:val="0"/>
          <w:numId w:val="19"/>
        </w:numPr>
        <w:spacing w:after="0" w:line="276" w:lineRule="auto"/>
        <w:ind w:left="0" w:right="-93" w:firstLine="360"/>
        <w:jc w:val="both"/>
        <w:rPr>
          <w:rFonts w:ascii="Times New Roman" w:hAnsi="Times New Roman" w:cs="Times New Roman"/>
          <w:bCs/>
          <w:iCs/>
          <w:sz w:val="24"/>
          <w:szCs w:val="24"/>
          <w:lang w:val="ro-RO"/>
        </w:rPr>
      </w:pPr>
      <w:r>
        <w:rPr>
          <w:rFonts w:ascii="Times New Roman" w:eastAsia="Times New Roman" w:hAnsi="Times New Roman" w:cs="Times New Roman"/>
          <w:sz w:val="24"/>
          <w:szCs w:val="24"/>
          <w:lang w:val="ro-RO"/>
        </w:rPr>
        <w:t>d</w:t>
      </w:r>
      <w:r w:rsidR="00716C97" w:rsidRPr="004D2FF7">
        <w:rPr>
          <w:rFonts w:ascii="Times New Roman" w:eastAsia="Times New Roman" w:hAnsi="Times New Roman" w:cs="Times New Roman"/>
          <w:sz w:val="24"/>
          <w:szCs w:val="24"/>
          <w:lang w:val="ro-RO"/>
        </w:rPr>
        <w:t xml:space="preserve">ocumentația de atribuire publicată de CNPDCP nu este conformă cadrului legal, iar în unele cazuri sunt stabilite criterii de calificare și selecție limitative și </w:t>
      </w:r>
      <w:r w:rsidR="003D207C" w:rsidRPr="004D2FF7">
        <w:rPr>
          <w:rFonts w:ascii="Times New Roman" w:eastAsia="Times New Roman" w:hAnsi="Times New Roman" w:cs="Times New Roman"/>
          <w:sz w:val="24"/>
          <w:szCs w:val="24"/>
          <w:lang w:val="ro-RO"/>
        </w:rPr>
        <w:t>exagerate</w:t>
      </w:r>
      <w:r w:rsidR="003D207C" w:rsidRPr="004D2FF7">
        <w:rPr>
          <w:rStyle w:val="FootnoteReference"/>
          <w:rFonts w:ascii="Times New Roman" w:eastAsia="Times New Roman" w:hAnsi="Times New Roman" w:cs="Times New Roman"/>
          <w:sz w:val="24"/>
          <w:szCs w:val="24"/>
        </w:rPr>
        <w:footnoteReference w:id="79"/>
      </w:r>
      <w:r w:rsidR="003D207C" w:rsidRPr="004D2FF7">
        <w:rPr>
          <w:rFonts w:ascii="Times New Roman" w:eastAsia="Times New Roman" w:hAnsi="Times New Roman" w:cs="Times New Roman"/>
          <w:sz w:val="24"/>
          <w:szCs w:val="24"/>
        </w:rPr>
        <w:t xml:space="preserve"> </w:t>
      </w:r>
      <w:r w:rsidR="00716C97" w:rsidRPr="004D2FF7">
        <w:rPr>
          <w:rFonts w:ascii="Times New Roman" w:eastAsia="Times New Roman" w:hAnsi="Times New Roman" w:cs="Times New Roman"/>
          <w:sz w:val="24"/>
          <w:szCs w:val="24"/>
          <w:lang w:val="ro-RO"/>
        </w:rPr>
        <w:t>pentru unii operatori economici participanți la procedura de achiziție publică</w:t>
      </w:r>
      <w:r w:rsidR="00800842" w:rsidRPr="004D2FF7">
        <w:rPr>
          <w:rFonts w:ascii="Times New Roman" w:eastAsia="Times New Roman" w:hAnsi="Times New Roman" w:cs="Times New Roman"/>
          <w:sz w:val="24"/>
          <w:szCs w:val="24"/>
          <w:lang w:val="ro-RO"/>
        </w:rPr>
        <w:t>, autoritatea contractantă</w:t>
      </w:r>
      <w:r w:rsidR="00F51003" w:rsidRPr="004D2FF7">
        <w:rPr>
          <w:rFonts w:ascii="Times New Roman" w:eastAsia="Times New Roman" w:hAnsi="Times New Roman" w:cs="Times New Roman"/>
          <w:sz w:val="24"/>
          <w:szCs w:val="24"/>
          <w:lang w:val="ro-RO"/>
        </w:rPr>
        <w:t xml:space="preserve"> </w:t>
      </w:r>
      <w:r w:rsidR="00800842" w:rsidRPr="004D2FF7">
        <w:rPr>
          <w:rFonts w:ascii="Times New Roman" w:eastAsia="Times New Roman" w:hAnsi="Times New Roman" w:cs="Times New Roman"/>
          <w:sz w:val="24"/>
          <w:szCs w:val="24"/>
          <w:lang w:val="ro-RO"/>
        </w:rPr>
        <w:t>elaborând</w:t>
      </w:r>
      <w:r w:rsidR="00D2773E" w:rsidRPr="004D2FF7">
        <w:rPr>
          <w:rFonts w:ascii="Times New Roman" w:eastAsia="Times New Roman" w:hAnsi="Times New Roman" w:cs="Times New Roman"/>
          <w:sz w:val="24"/>
          <w:szCs w:val="24"/>
          <w:lang w:val="ro-RO"/>
        </w:rPr>
        <w:t xml:space="preserve"> mai multe documentații de atribuire cu</w:t>
      </w:r>
      <w:r w:rsidR="00800842" w:rsidRPr="004D2FF7">
        <w:rPr>
          <w:rFonts w:ascii="Times New Roman" w:eastAsia="Times New Roman" w:hAnsi="Times New Roman" w:cs="Times New Roman"/>
          <w:sz w:val="24"/>
          <w:szCs w:val="24"/>
          <w:lang w:val="ro-RO"/>
        </w:rPr>
        <w:t xml:space="preserve"> specificații tehnice diametral opuse</w:t>
      </w:r>
      <w:r w:rsidR="00891EE0" w:rsidRPr="004D2FF7">
        <w:rPr>
          <w:rFonts w:ascii="Times New Roman" w:eastAsia="Times New Roman" w:hAnsi="Times New Roman" w:cs="Times New Roman"/>
          <w:sz w:val="24"/>
          <w:szCs w:val="24"/>
          <w:lang w:val="ro-RO"/>
        </w:rPr>
        <w:t xml:space="preserve"> în raport cu dotările reale ale</w:t>
      </w:r>
      <w:r w:rsidR="002B089C" w:rsidRPr="004D2FF7">
        <w:rPr>
          <w:rFonts w:ascii="Times New Roman" w:eastAsia="Times New Roman" w:hAnsi="Times New Roman" w:cs="Times New Roman"/>
          <w:sz w:val="24"/>
          <w:szCs w:val="24"/>
          <w:lang w:val="ro-RO"/>
        </w:rPr>
        <w:t xml:space="preserve"> diferitor clase de</w:t>
      </w:r>
      <w:r w:rsidR="00891EE0" w:rsidRPr="004D2FF7">
        <w:rPr>
          <w:rFonts w:ascii="Times New Roman" w:eastAsia="Times New Roman" w:hAnsi="Times New Roman" w:cs="Times New Roman"/>
          <w:sz w:val="24"/>
          <w:szCs w:val="24"/>
          <w:lang w:val="ro-RO"/>
        </w:rPr>
        <w:t xml:space="preserve"> </w:t>
      </w:r>
      <w:r w:rsidR="00800842" w:rsidRPr="004D2FF7">
        <w:rPr>
          <w:rFonts w:ascii="Times New Roman" w:eastAsia="Times New Roman" w:hAnsi="Times New Roman" w:cs="Times New Roman"/>
          <w:sz w:val="24"/>
          <w:szCs w:val="24"/>
          <w:lang w:val="ro-RO"/>
        </w:rPr>
        <w:t>autoturisme</w:t>
      </w:r>
      <w:r w:rsidR="002B089C" w:rsidRPr="004D2FF7">
        <w:rPr>
          <w:rStyle w:val="FootnoteReference"/>
          <w:rFonts w:ascii="Times New Roman" w:eastAsia="Times New Roman" w:hAnsi="Times New Roman" w:cs="Times New Roman"/>
          <w:sz w:val="24"/>
          <w:szCs w:val="24"/>
          <w:lang w:val="ro-RO"/>
        </w:rPr>
        <w:footnoteReference w:id="80"/>
      </w:r>
      <w:r w:rsidR="00AB30B0" w:rsidRPr="004D2FF7">
        <w:rPr>
          <w:rFonts w:ascii="Times New Roman" w:eastAsia="Times New Roman" w:hAnsi="Times New Roman" w:cs="Times New Roman"/>
          <w:sz w:val="24"/>
          <w:szCs w:val="24"/>
          <w:lang w:val="ro-RO"/>
        </w:rPr>
        <w:t>,</w:t>
      </w:r>
      <w:r w:rsidR="0092262A" w:rsidRPr="004D2FF7">
        <w:rPr>
          <w:rFonts w:ascii="Times New Roman" w:eastAsia="Times New Roman" w:hAnsi="Times New Roman" w:cs="Times New Roman"/>
          <w:sz w:val="24"/>
          <w:szCs w:val="24"/>
          <w:lang w:val="ro-RO"/>
        </w:rPr>
        <w:t xml:space="preserve"> </w:t>
      </w:r>
      <w:r w:rsidR="00AB30B0" w:rsidRPr="004D2FF7">
        <w:rPr>
          <w:rFonts w:ascii="Times New Roman" w:eastAsia="Times New Roman" w:hAnsi="Times New Roman" w:cs="Times New Roman"/>
          <w:sz w:val="24"/>
          <w:szCs w:val="24"/>
          <w:lang w:val="ro-RO"/>
        </w:rPr>
        <w:t>inclusiv</w:t>
      </w:r>
      <w:r w:rsidR="006C4F24" w:rsidRPr="004D2FF7">
        <w:rPr>
          <w:rFonts w:ascii="Times New Roman" w:eastAsia="Times New Roman" w:hAnsi="Times New Roman" w:cs="Times New Roman"/>
          <w:sz w:val="24"/>
          <w:szCs w:val="24"/>
          <w:lang w:val="ro-RO"/>
        </w:rPr>
        <w:t xml:space="preserve"> pentru</w:t>
      </w:r>
      <w:r w:rsidR="00AB30B0" w:rsidRPr="004D2FF7">
        <w:rPr>
          <w:rFonts w:ascii="Times New Roman" w:eastAsia="Times New Roman" w:hAnsi="Times New Roman" w:cs="Times New Roman"/>
          <w:sz w:val="24"/>
          <w:szCs w:val="24"/>
          <w:lang w:val="ro-RO"/>
        </w:rPr>
        <w:t xml:space="preserve"> </w:t>
      </w:r>
      <w:r w:rsidR="00AE4DE3" w:rsidRPr="004D2FF7">
        <w:rPr>
          <w:rFonts w:ascii="Times New Roman" w:eastAsia="Times New Roman" w:hAnsi="Times New Roman" w:cs="Times New Roman"/>
          <w:sz w:val="24"/>
          <w:szCs w:val="24"/>
          <w:lang w:val="ro-RO"/>
        </w:rPr>
        <w:t>autoturisme</w:t>
      </w:r>
      <w:r w:rsidR="00AE4DE3" w:rsidRPr="004D2FF7">
        <w:rPr>
          <w:rFonts w:ascii="Times New Roman" w:eastAsia="Times New Roman" w:hAnsi="Times New Roman" w:cs="Times New Roman"/>
          <w:sz w:val="24"/>
          <w:szCs w:val="24"/>
        </w:rPr>
        <w:t xml:space="preserve"> </w:t>
      </w:r>
      <w:r w:rsidR="00294FB7" w:rsidRPr="004D2FF7">
        <w:rPr>
          <w:rFonts w:ascii="Times New Roman" w:eastAsia="Times New Roman" w:hAnsi="Times New Roman" w:cs="Times New Roman"/>
          <w:sz w:val="24"/>
          <w:szCs w:val="24"/>
        </w:rPr>
        <w:t>SUV cu caroserie universală</w:t>
      </w:r>
      <w:r w:rsidR="00716C97" w:rsidRPr="004D2FF7">
        <w:rPr>
          <w:rFonts w:ascii="Times New Roman" w:eastAsia="Times New Roman" w:hAnsi="Times New Roman" w:cs="Times New Roman"/>
          <w:sz w:val="24"/>
          <w:szCs w:val="24"/>
          <w:lang w:val="ro-RO"/>
        </w:rPr>
        <w:t>;</w:t>
      </w:r>
    </w:p>
    <w:p w14:paraId="6893F059" w14:textId="3A62E24D" w:rsidR="00716C97" w:rsidRPr="004D2FF7" w:rsidRDefault="000A7525" w:rsidP="00716C97">
      <w:pPr>
        <w:pStyle w:val="ListParagraph"/>
        <w:numPr>
          <w:ilvl w:val="0"/>
          <w:numId w:val="19"/>
        </w:numPr>
        <w:spacing w:after="0" w:line="276" w:lineRule="auto"/>
        <w:ind w:left="0" w:right="-93" w:firstLine="360"/>
        <w:jc w:val="both"/>
        <w:rPr>
          <w:rFonts w:ascii="Times New Roman" w:hAnsi="Times New Roman" w:cs="Times New Roman"/>
          <w:bCs/>
          <w:iCs/>
          <w:sz w:val="24"/>
          <w:szCs w:val="24"/>
          <w:lang w:val="ro-RO"/>
        </w:rPr>
      </w:pPr>
      <w:r>
        <w:rPr>
          <w:rFonts w:ascii="Times New Roman" w:eastAsia="Times New Roman" w:hAnsi="Times New Roman" w:cs="Times New Roman"/>
          <w:sz w:val="24"/>
          <w:szCs w:val="24"/>
          <w:lang w:val="ro-RO"/>
        </w:rPr>
        <w:t>d</w:t>
      </w:r>
      <w:r>
        <w:rPr>
          <w:rFonts w:ascii="Times New Roman" w:eastAsia="Times New Roman" w:hAnsi="Times New Roman" w:cs="Times New Roman"/>
          <w:sz w:val="24"/>
          <w:szCs w:val="24"/>
        </w:rPr>
        <w:t>in cauza</w:t>
      </w:r>
      <w:r w:rsidR="00716C97" w:rsidRPr="004D2FF7">
        <w:rPr>
          <w:rFonts w:ascii="Times New Roman" w:eastAsia="Times New Roman" w:hAnsi="Times New Roman" w:cs="Times New Roman"/>
          <w:sz w:val="24"/>
          <w:szCs w:val="24"/>
        </w:rPr>
        <w:t xml:space="preserve"> întocmirii necalitative a specificațiilor tehnice din documentația de atribuire</w:t>
      </w:r>
      <w:r w:rsidR="00EE0364" w:rsidRPr="004D2FF7">
        <w:rPr>
          <w:rFonts w:ascii="Times New Roman" w:eastAsia="Times New Roman" w:hAnsi="Times New Roman" w:cs="Times New Roman"/>
          <w:sz w:val="24"/>
          <w:szCs w:val="24"/>
        </w:rPr>
        <w:t xml:space="preserve"> </w:t>
      </w:r>
      <w:r w:rsidR="00716C97" w:rsidRPr="004D2FF7">
        <w:rPr>
          <w:rFonts w:ascii="Times New Roman" w:eastAsia="Times New Roman" w:hAnsi="Times New Roman" w:cs="Times New Roman"/>
          <w:sz w:val="24"/>
          <w:szCs w:val="24"/>
        </w:rPr>
        <w:t>privind procurarea a 2 autoturisme de serviciu, documentația standard a fost modificată și publicată în Buletinul Achizițiilor Publice de 4 ori, iar din cauza stabilirii contradictori</w:t>
      </w:r>
      <w:r>
        <w:rPr>
          <w:rFonts w:ascii="Times New Roman" w:eastAsia="Times New Roman" w:hAnsi="Times New Roman" w:cs="Times New Roman"/>
          <w:sz w:val="24"/>
          <w:szCs w:val="24"/>
        </w:rPr>
        <w:t>i</w:t>
      </w:r>
      <w:r w:rsidR="00716C97" w:rsidRPr="004D2FF7">
        <w:rPr>
          <w:rStyle w:val="FootnoteReference"/>
          <w:rFonts w:ascii="Times New Roman" w:eastAsia="Times New Roman" w:hAnsi="Times New Roman" w:cs="Times New Roman"/>
        </w:rPr>
        <w:footnoteReference w:id="81"/>
      </w:r>
      <w:r w:rsidR="00716C97" w:rsidRPr="004D2FF7">
        <w:rPr>
          <w:rFonts w:ascii="Times New Roman" w:eastAsia="Times New Roman" w:hAnsi="Times New Roman" w:cs="Times New Roman"/>
          <w:sz w:val="24"/>
          <w:szCs w:val="24"/>
        </w:rPr>
        <w:t xml:space="preserve"> a unor parametri tehnici în raport cu dotările minime, licitația publică din 26.10.2017 a fost anulată, deoarece niciun ofertant din trei prezenți la licitație cu diferite mărci de autoturisme nu au întrunit criteriile </w:t>
      </w:r>
      <w:r w:rsidR="00CF307C" w:rsidRPr="004D2FF7">
        <w:rPr>
          <w:rFonts w:ascii="Times New Roman" w:eastAsia="Times New Roman" w:hAnsi="Times New Roman" w:cs="Times New Roman"/>
          <w:sz w:val="24"/>
          <w:szCs w:val="24"/>
        </w:rPr>
        <w:t xml:space="preserve">a </w:t>
      </w:r>
      <w:r w:rsidR="00716C97" w:rsidRPr="004D2FF7">
        <w:rPr>
          <w:rFonts w:ascii="Times New Roman" w:eastAsia="Times New Roman" w:hAnsi="Times New Roman" w:cs="Times New Roman"/>
          <w:sz w:val="24"/>
          <w:szCs w:val="24"/>
        </w:rPr>
        <w:t>54 de parametri tehnici</w:t>
      </w:r>
      <w:r w:rsidR="00073826" w:rsidRPr="004D2FF7">
        <w:rPr>
          <w:rFonts w:ascii="Times New Roman" w:eastAsia="Times New Roman" w:hAnsi="Times New Roman" w:cs="Times New Roman"/>
          <w:sz w:val="24"/>
          <w:szCs w:val="24"/>
        </w:rPr>
        <w:t xml:space="preserve"> și dotări</w:t>
      </w:r>
      <w:r w:rsidR="00716C97" w:rsidRPr="004D2FF7">
        <w:rPr>
          <w:rFonts w:ascii="Times New Roman" w:eastAsia="Times New Roman" w:hAnsi="Times New Roman" w:cs="Times New Roman"/>
          <w:sz w:val="24"/>
          <w:szCs w:val="24"/>
        </w:rPr>
        <w:t xml:space="preserve"> stabiliți în documentația standard privind achiziția autoturismelor;</w:t>
      </w:r>
    </w:p>
    <w:p w14:paraId="0E787514" w14:textId="05CA822C" w:rsidR="00716C97" w:rsidRPr="004D2FF7" w:rsidRDefault="000A7525" w:rsidP="00716C97">
      <w:pPr>
        <w:pStyle w:val="ListParagraph"/>
        <w:numPr>
          <w:ilvl w:val="0"/>
          <w:numId w:val="19"/>
        </w:numPr>
        <w:spacing w:after="120" w:line="276" w:lineRule="auto"/>
        <w:ind w:left="0" w:right="-91" w:firstLine="360"/>
        <w:jc w:val="both"/>
        <w:rPr>
          <w:rFonts w:ascii="Times New Roman" w:hAnsi="Times New Roman" w:cs="Times New Roman"/>
          <w:bCs/>
          <w:iCs/>
          <w:sz w:val="24"/>
          <w:szCs w:val="24"/>
          <w:lang w:val="ro-RO"/>
        </w:rPr>
      </w:pPr>
      <w:r>
        <w:rPr>
          <w:rFonts w:ascii="Times New Roman" w:eastAsia="Times New Roman" w:hAnsi="Times New Roman" w:cs="Times New Roman"/>
          <w:sz w:val="24"/>
          <w:szCs w:val="24"/>
        </w:rPr>
        <w:t>i</w:t>
      </w:r>
      <w:r w:rsidR="00C26C24" w:rsidRPr="004D2FF7">
        <w:rPr>
          <w:rFonts w:ascii="Times New Roman" w:eastAsia="Times New Roman" w:hAnsi="Times New Roman" w:cs="Times New Roman"/>
          <w:sz w:val="24"/>
          <w:szCs w:val="24"/>
        </w:rPr>
        <w:t>nițierea achiziției la finele anului bugetar</w:t>
      </w:r>
      <w:r w:rsidR="00151A8C" w:rsidRPr="004D2FF7">
        <w:rPr>
          <w:rFonts w:ascii="Times New Roman" w:eastAsia="Times New Roman" w:hAnsi="Times New Roman" w:cs="Times New Roman"/>
          <w:sz w:val="24"/>
          <w:szCs w:val="24"/>
        </w:rPr>
        <w:t>, precum</w:t>
      </w:r>
      <w:r w:rsidR="00C26C24" w:rsidRPr="004D2FF7">
        <w:rPr>
          <w:rFonts w:ascii="Times New Roman" w:eastAsia="Times New Roman" w:hAnsi="Times New Roman" w:cs="Times New Roman"/>
          <w:sz w:val="24"/>
          <w:szCs w:val="24"/>
        </w:rPr>
        <w:t xml:space="preserve"> și t</w:t>
      </w:r>
      <w:r w:rsidR="00716C97" w:rsidRPr="004D2FF7">
        <w:rPr>
          <w:rFonts w:ascii="Times New Roman" w:eastAsia="Times New Roman" w:hAnsi="Times New Roman" w:cs="Times New Roman"/>
          <w:sz w:val="24"/>
          <w:szCs w:val="24"/>
        </w:rPr>
        <w:t xml:space="preserve">ergiversarea procedurii de achiziție a autoturismelor de serviciu </w:t>
      </w:r>
      <w:r w:rsidR="00C26C24" w:rsidRPr="004D2FF7">
        <w:rPr>
          <w:rFonts w:ascii="Times New Roman" w:eastAsia="Times New Roman" w:hAnsi="Times New Roman" w:cs="Times New Roman"/>
          <w:sz w:val="24"/>
          <w:szCs w:val="24"/>
        </w:rPr>
        <w:t xml:space="preserve"> din cauza întocmirii necalitative a documentației de atribuire </w:t>
      </w:r>
      <w:r w:rsidR="00716C97" w:rsidRPr="004D2FF7">
        <w:rPr>
          <w:rFonts w:ascii="Times New Roman" w:eastAsia="Times New Roman" w:hAnsi="Times New Roman" w:cs="Times New Roman"/>
          <w:sz w:val="24"/>
          <w:szCs w:val="24"/>
        </w:rPr>
        <w:t>a dus la faptul că CNPDCP</w:t>
      </w:r>
      <w:r w:rsidR="00716C97" w:rsidRPr="004D2FF7">
        <w:rPr>
          <w:rStyle w:val="FootnoteReference"/>
          <w:rFonts w:ascii="Times New Roman" w:eastAsia="Times New Roman" w:hAnsi="Times New Roman" w:cs="Times New Roman"/>
        </w:rPr>
        <w:footnoteReference w:id="82"/>
      </w:r>
      <w:r w:rsidR="00716C97" w:rsidRPr="004D2FF7">
        <w:rPr>
          <w:rFonts w:ascii="Times New Roman" w:eastAsia="Times New Roman" w:hAnsi="Times New Roman" w:cs="Times New Roman"/>
          <w:sz w:val="24"/>
          <w:szCs w:val="24"/>
        </w:rPr>
        <w:t>,</w:t>
      </w:r>
      <w:r w:rsidR="00C26C24" w:rsidRPr="004D2FF7">
        <w:rPr>
          <w:rFonts w:ascii="Times New Roman" w:eastAsia="Times New Roman" w:hAnsi="Times New Roman" w:cs="Times New Roman"/>
          <w:sz w:val="24"/>
          <w:szCs w:val="24"/>
        </w:rPr>
        <w:t xml:space="preserve"> sub pretextul regimului de urgență</w:t>
      </w:r>
      <w:r>
        <w:rPr>
          <w:rFonts w:ascii="Times New Roman" w:eastAsia="Times New Roman" w:hAnsi="Times New Roman" w:cs="Times New Roman"/>
          <w:sz w:val="24"/>
          <w:szCs w:val="24"/>
        </w:rPr>
        <w:t>,</w:t>
      </w:r>
      <w:r w:rsidR="00716C97" w:rsidRPr="004D2FF7">
        <w:rPr>
          <w:rFonts w:ascii="Times New Roman" w:eastAsia="Times New Roman" w:hAnsi="Times New Roman" w:cs="Times New Roman"/>
          <w:sz w:val="24"/>
          <w:szCs w:val="24"/>
        </w:rPr>
        <w:t xml:space="preserve"> a solicitat Agenției Achiziții Publice să micșoreze la ambele licitații publice organizate termenul regulamentar</w:t>
      </w:r>
      <w:r w:rsidR="00716C97" w:rsidRPr="004D2FF7">
        <w:rPr>
          <w:rStyle w:val="FootnoteReference"/>
          <w:rFonts w:ascii="Times New Roman" w:eastAsia="Times New Roman" w:hAnsi="Times New Roman" w:cs="Times New Roman"/>
        </w:rPr>
        <w:footnoteReference w:id="83"/>
      </w:r>
      <w:r w:rsidR="00716C97" w:rsidRPr="004D2FF7">
        <w:rPr>
          <w:rFonts w:ascii="Times New Roman" w:eastAsia="Times New Roman" w:hAnsi="Times New Roman" w:cs="Times New Roman"/>
          <w:sz w:val="24"/>
          <w:szCs w:val="24"/>
        </w:rPr>
        <w:t xml:space="preserve"> de minim 20 de zile de depunere a ofertelor până la 15 zile</w:t>
      </w:r>
      <w:r w:rsidR="00716C97" w:rsidRPr="004D2FF7">
        <w:rPr>
          <w:rStyle w:val="FootnoteReference"/>
          <w:rFonts w:ascii="Times New Roman" w:eastAsia="Times New Roman" w:hAnsi="Times New Roman" w:cs="Times New Roman"/>
        </w:rPr>
        <w:footnoteReference w:id="84"/>
      </w:r>
      <w:r>
        <w:rPr>
          <w:rFonts w:ascii="Times New Roman" w:eastAsia="Times New Roman" w:hAnsi="Times New Roman" w:cs="Times New Roman"/>
          <w:sz w:val="24"/>
          <w:szCs w:val="24"/>
        </w:rPr>
        <w:t>;</w:t>
      </w:r>
    </w:p>
    <w:p w14:paraId="3E304593" w14:textId="5B5C449B" w:rsidR="00716C97" w:rsidRPr="000A7525" w:rsidRDefault="000A7525" w:rsidP="000A7525">
      <w:pPr>
        <w:pStyle w:val="ListParagraph"/>
        <w:numPr>
          <w:ilvl w:val="0"/>
          <w:numId w:val="19"/>
        </w:numPr>
        <w:spacing w:after="120" w:line="276" w:lineRule="auto"/>
        <w:ind w:left="0" w:right="-91" w:firstLine="360"/>
        <w:jc w:val="both"/>
        <w:rPr>
          <w:rFonts w:ascii="Times New Roman" w:hAnsi="Times New Roman" w:cs="Times New Roman"/>
          <w:bCs/>
          <w:iCs/>
          <w:sz w:val="24"/>
          <w:szCs w:val="24"/>
          <w:lang w:val="ro-RO"/>
        </w:rPr>
      </w:pPr>
      <w:r w:rsidRPr="000A7525">
        <w:rPr>
          <w:rFonts w:ascii="Times New Roman" w:eastAsia="Times New Roman" w:hAnsi="Times New Roman" w:cs="Times New Roman"/>
          <w:sz w:val="24"/>
          <w:szCs w:val="24"/>
        </w:rPr>
        <w:t>ca u</w:t>
      </w:r>
      <w:r w:rsidR="00716C97" w:rsidRPr="000A7525">
        <w:rPr>
          <w:rFonts w:ascii="Times New Roman" w:eastAsia="Times New Roman" w:hAnsi="Times New Roman" w:cs="Times New Roman"/>
          <w:sz w:val="24"/>
          <w:szCs w:val="24"/>
        </w:rPr>
        <w:t xml:space="preserve">rmare </w:t>
      </w:r>
      <w:r w:rsidRPr="000A7525">
        <w:rPr>
          <w:rFonts w:ascii="Times New Roman" w:eastAsia="Times New Roman" w:hAnsi="Times New Roman" w:cs="Times New Roman"/>
          <w:sz w:val="24"/>
          <w:szCs w:val="24"/>
        </w:rPr>
        <w:t xml:space="preserve">a </w:t>
      </w:r>
      <w:r w:rsidR="00716C97" w:rsidRPr="000A7525">
        <w:rPr>
          <w:rFonts w:ascii="Times New Roman" w:eastAsia="Times New Roman" w:hAnsi="Times New Roman" w:cs="Times New Roman"/>
          <w:sz w:val="24"/>
          <w:szCs w:val="24"/>
        </w:rPr>
        <w:t>procedurii de achiziție repetată din 24.11.2017</w:t>
      </w:r>
      <w:r w:rsidR="00716C97" w:rsidRPr="004D2FF7">
        <w:rPr>
          <w:rStyle w:val="FootnoteReference"/>
          <w:rFonts w:ascii="Times New Roman" w:eastAsia="Times New Roman" w:hAnsi="Times New Roman" w:cs="Times New Roman"/>
        </w:rPr>
        <w:footnoteReference w:id="85"/>
      </w:r>
      <w:r w:rsidR="00716C97" w:rsidRPr="000A7525">
        <w:rPr>
          <w:rFonts w:ascii="Times New Roman" w:eastAsia="Times New Roman" w:hAnsi="Times New Roman" w:cs="Times New Roman"/>
          <w:sz w:val="24"/>
          <w:szCs w:val="24"/>
        </w:rPr>
        <w:t>, CNPDCP a încheiat cu un operator economic</w:t>
      </w:r>
      <w:r w:rsidR="00716C97" w:rsidRPr="004D2FF7">
        <w:rPr>
          <w:rStyle w:val="FootnoteReference"/>
          <w:rFonts w:ascii="Times New Roman" w:eastAsia="Times New Roman" w:hAnsi="Times New Roman" w:cs="Times New Roman"/>
        </w:rPr>
        <w:footnoteReference w:id="86"/>
      </w:r>
      <w:r w:rsidR="00716C97" w:rsidRPr="000A7525">
        <w:rPr>
          <w:rFonts w:ascii="Times New Roman" w:eastAsia="Times New Roman" w:hAnsi="Times New Roman" w:cs="Times New Roman"/>
          <w:sz w:val="24"/>
          <w:szCs w:val="24"/>
        </w:rPr>
        <w:t xml:space="preserve"> un contract în temeiul căruia a procurat 2 autoturisme de serviciu SUV </w:t>
      </w:r>
      <w:r w:rsidR="00716C97" w:rsidRPr="000A7525">
        <w:rPr>
          <w:rFonts w:ascii="Times New Roman" w:hAnsi="Times New Roman" w:cs="Times New Roman"/>
          <w:sz w:val="24"/>
          <w:szCs w:val="24"/>
        </w:rPr>
        <w:t>cu caroserie universal</w:t>
      </w:r>
      <w:r w:rsidRPr="00372EAF">
        <w:rPr>
          <w:rFonts w:ascii="Times New Roman" w:hAnsi="Times New Roman" w:cs="Times New Roman"/>
          <w:sz w:val="24"/>
          <w:szCs w:val="24"/>
        </w:rPr>
        <w:t>ă</w:t>
      </w:r>
      <w:r w:rsidR="00716C97" w:rsidRPr="00372EAF">
        <w:rPr>
          <w:rFonts w:ascii="Times New Roman" w:eastAsia="Times New Roman" w:hAnsi="Times New Roman" w:cs="Times New Roman"/>
          <w:sz w:val="24"/>
          <w:szCs w:val="24"/>
        </w:rPr>
        <w:t xml:space="preserve"> de marca „Renault Kadjar” </w:t>
      </w:r>
      <w:r w:rsidR="00716C97" w:rsidRPr="00372EAF">
        <w:rPr>
          <w:rFonts w:ascii="Times New Roman" w:eastAsia="Times New Roman" w:hAnsi="Times New Roman" w:cs="Times New Roman"/>
          <w:color w:val="222222"/>
          <w:sz w:val="24"/>
          <w:szCs w:val="24"/>
          <w:lang w:eastAsia="ro-RO"/>
        </w:rPr>
        <w:t>cu prețul total de 674,0 mii lei</w:t>
      </w:r>
      <w:r w:rsidR="00716C97" w:rsidRPr="00372EAF">
        <w:rPr>
          <w:rFonts w:ascii="Times New Roman" w:eastAsia="Times New Roman" w:hAnsi="Times New Roman" w:cs="Times New Roman"/>
          <w:sz w:val="24"/>
          <w:szCs w:val="24"/>
        </w:rPr>
        <w:t xml:space="preserve">, inclusiv un automobil cu cutie de viteză manuală la prețul de 311,4 mii lei și un automobil cu cutie de viteză automată </w:t>
      </w:r>
      <w:r w:rsidRPr="00C370A5">
        <w:rPr>
          <w:rFonts w:ascii="Times New Roman" w:eastAsia="Times New Roman" w:hAnsi="Times New Roman" w:cs="Times New Roman"/>
          <w:sz w:val="24"/>
          <w:szCs w:val="24"/>
        </w:rPr>
        <w:t>–</w:t>
      </w:r>
      <w:r w:rsidR="00716C97" w:rsidRPr="001F7A1F">
        <w:rPr>
          <w:rFonts w:ascii="Times New Roman" w:eastAsia="Times New Roman" w:hAnsi="Times New Roman" w:cs="Times New Roman"/>
          <w:sz w:val="24"/>
          <w:szCs w:val="24"/>
        </w:rPr>
        <w:t xml:space="preserve"> de 362,6 mii lei;</w:t>
      </w:r>
    </w:p>
    <w:p w14:paraId="5CE9F2EA" w14:textId="69355B2E" w:rsidR="00716C97" w:rsidRPr="004D2FF7" w:rsidRDefault="000A7525" w:rsidP="00716C97">
      <w:pPr>
        <w:pStyle w:val="ListParagraph"/>
        <w:numPr>
          <w:ilvl w:val="0"/>
          <w:numId w:val="19"/>
        </w:numPr>
        <w:spacing w:after="120" w:line="276" w:lineRule="auto"/>
        <w:ind w:left="0" w:right="-93" w:firstLine="360"/>
        <w:jc w:val="both"/>
        <w:rPr>
          <w:rFonts w:ascii="Times New Roman" w:hAnsi="Times New Roman" w:cs="Times New Roman"/>
          <w:bCs/>
          <w:iCs/>
          <w:sz w:val="24"/>
          <w:szCs w:val="24"/>
          <w:lang w:val="ro-RO"/>
        </w:rPr>
      </w:pPr>
      <w:r>
        <w:rPr>
          <w:rFonts w:ascii="Times New Roman" w:eastAsia="Times New Roman" w:hAnsi="Times New Roman" w:cs="Times New Roman"/>
          <w:sz w:val="24"/>
          <w:szCs w:val="24"/>
        </w:rPr>
        <w:t>s</w:t>
      </w:r>
      <w:r w:rsidR="00716C97" w:rsidRPr="004D2FF7">
        <w:rPr>
          <w:rFonts w:ascii="Times New Roman" w:eastAsia="Times New Roman" w:hAnsi="Times New Roman" w:cs="Times New Roman"/>
          <w:sz w:val="24"/>
          <w:szCs w:val="24"/>
        </w:rPr>
        <w:t xml:space="preserve">pecificațiile tehnice din documentația de atribuire privind procurarea a 2 autoturisme de serviciu la achiziția repetată a fost modificată și publicată de 2 ori. Astfel, la 10.11.2017, CNPDCP a publicat în Buletinul achizițiilor publice parametrii tehnici și dotările atribuite autoturismului de marca </w:t>
      </w:r>
      <w:r w:rsidR="00716C97" w:rsidRPr="004D2FF7">
        <w:rPr>
          <w:rFonts w:ascii="Times New Roman" w:eastAsia="Times New Roman" w:hAnsi="Times New Roman" w:cs="Times New Roman"/>
          <w:sz w:val="24"/>
          <w:szCs w:val="24"/>
        </w:rPr>
        <w:lastRenderedPageBreak/>
        <w:t>Renault Kadjar</w:t>
      </w:r>
      <w:r w:rsidR="00716C97" w:rsidRPr="004D2FF7">
        <w:rPr>
          <w:rStyle w:val="FootnoteReference"/>
          <w:rFonts w:ascii="Times New Roman" w:eastAsia="Times New Roman" w:hAnsi="Times New Roman" w:cs="Times New Roman"/>
        </w:rPr>
        <w:footnoteReference w:id="87"/>
      </w:r>
      <w:r w:rsidR="00716C97" w:rsidRPr="004D2FF7">
        <w:rPr>
          <w:rFonts w:ascii="Times New Roman" w:eastAsia="Times New Roman" w:hAnsi="Times New Roman" w:cs="Times New Roman"/>
          <w:sz w:val="24"/>
          <w:szCs w:val="24"/>
        </w:rPr>
        <w:t>, iar cu 7 zile înainte de licitație</w:t>
      </w:r>
      <w:r>
        <w:rPr>
          <w:rFonts w:ascii="Times New Roman" w:eastAsia="Times New Roman" w:hAnsi="Times New Roman" w:cs="Times New Roman"/>
          <w:sz w:val="24"/>
          <w:szCs w:val="24"/>
        </w:rPr>
        <w:t>,</w:t>
      </w:r>
      <w:r w:rsidR="00716C97" w:rsidRPr="004D2FF7">
        <w:rPr>
          <w:rFonts w:ascii="Times New Roman" w:eastAsia="Times New Roman" w:hAnsi="Times New Roman" w:cs="Times New Roman"/>
          <w:sz w:val="24"/>
          <w:szCs w:val="24"/>
        </w:rPr>
        <w:t xml:space="preserve"> la 17.11.2017</w:t>
      </w:r>
      <w:r>
        <w:rPr>
          <w:rFonts w:ascii="Times New Roman" w:eastAsia="Times New Roman" w:hAnsi="Times New Roman" w:cs="Times New Roman"/>
          <w:sz w:val="24"/>
          <w:szCs w:val="24"/>
        </w:rPr>
        <w:t>,</w:t>
      </w:r>
      <w:r w:rsidR="00716C97" w:rsidRPr="004D2FF7">
        <w:rPr>
          <w:rFonts w:ascii="Times New Roman" w:eastAsia="Times New Roman" w:hAnsi="Times New Roman" w:cs="Times New Roman"/>
          <w:sz w:val="24"/>
          <w:szCs w:val="24"/>
        </w:rPr>
        <w:t xml:space="preserve"> a operat modificări în documentația de atribuire și a publicat</w:t>
      </w:r>
      <w:r w:rsidR="00716C97" w:rsidRPr="004D2FF7">
        <w:rPr>
          <w:rStyle w:val="FootnoteReference"/>
          <w:rFonts w:ascii="Times New Roman" w:eastAsia="Times New Roman" w:hAnsi="Times New Roman" w:cs="Times New Roman"/>
        </w:rPr>
        <w:footnoteReference w:id="88"/>
      </w:r>
      <w:r w:rsidR="00716C97" w:rsidRPr="004D2FF7">
        <w:rPr>
          <w:rFonts w:ascii="Times New Roman" w:eastAsia="Times New Roman" w:hAnsi="Times New Roman" w:cs="Times New Roman"/>
          <w:sz w:val="24"/>
          <w:szCs w:val="24"/>
        </w:rPr>
        <w:t xml:space="preserve"> alți parametri tehnici ale celor 2 autoturisme care urmau a fi procurate</w:t>
      </w:r>
      <w:r>
        <w:rPr>
          <w:rFonts w:ascii="Times New Roman" w:eastAsia="Times New Roman" w:hAnsi="Times New Roman" w:cs="Times New Roman"/>
          <w:sz w:val="24"/>
          <w:szCs w:val="24"/>
        </w:rPr>
        <w:t>;</w:t>
      </w:r>
      <w:r w:rsidR="00716C97" w:rsidRPr="004D2FF7">
        <w:rPr>
          <w:rFonts w:ascii="Times New Roman" w:eastAsia="Times New Roman" w:hAnsi="Times New Roman" w:cs="Times New Roman"/>
          <w:sz w:val="24"/>
          <w:szCs w:val="24"/>
        </w:rPr>
        <w:t xml:space="preserve"> </w:t>
      </w:r>
    </w:p>
    <w:p w14:paraId="1618E509" w14:textId="2DFA1666" w:rsidR="00716C97" w:rsidRPr="004D2FF7" w:rsidRDefault="000A7525" w:rsidP="00716C97">
      <w:pPr>
        <w:pStyle w:val="ListParagraph"/>
        <w:numPr>
          <w:ilvl w:val="0"/>
          <w:numId w:val="19"/>
        </w:numPr>
        <w:spacing w:after="120" w:line="276" w:lineRule="auto"/>
        <w:ind w:left="0" w:right="-93" w:firstLine="360"/>
        <w:jc w:val="both"/>
        <w:rPr>
          <w:rFonts w:ascii="Times New Roman" w:hAnsi="Times New Roman" w:cs="Times New Roman"/>
          <w:bCs/>
          <w:iCs/>
          <w:sz w:val="24"/>
          <w:szCs w:val="24"/>
          <w:lang w:val="ro-RO"/>
        </w:rPr>
      </w:pPr>
      <w:r>
        <w:rPr>
          <w:rFonts w:ascii="Times New Roman" w:eastAsia="Times New Roman" w:hAnsi="Times New Roman" w:cs="Times New Roman"/>
          <w:sz w:val="24"/>
          <w:szCs w:val="24"/>
        </w:rPr>
        <w:t>d</w:t>
      </w:r>
      <w:r w:rsidR="00716C97" w:rsidRPr="004D2FF7">
        <w:rPr>
          <w:rFonts w:ascii="Times New Roman" w:eastAsia="Times New Roman" w:hAnsi="Times New Roman" w:cs="Times New Roman"/>
          <w:sz w:val="24"/>
          <w:szCs w:val="24"/>
        </w:rPr>
        <w:t>eși CNPDCP a modificat unii parametri tehnici în documentația de atribuire</w:t>
      </w:r>
      <w:r w:rsidR="00716C97" w:rsidRPr="004D2FF7">
        <w:rPr>
          <w:rStyle w:val="FootnoteReference"/>
          <w:rFonts w:ascii="Times New Roman" w:eastAsia="Times New Roman" w:hAnsi="Times New Roman" w:cs="Times New Roman"/>
        </w:rPr>
        <w:footnoteReference w:id="89"/>
      </w:r>
      <w:r>
        <w:rPr>
          <w:rFonts w:ascii="Times New Roman" w:eastAsia="Times New Roman" w:hAnsi="Times New Roman" w:cs="Times New Roman"/>
          <w:sz w:val="24"/>
          <w:szCs w:val="24"/>
        </w:rPr>
        <w:t>,</w:t>
      </w:r>
      <w:r w:rsidR="00716C97" w:rsidRPr="004D2FF7">
        <w:rPr>
          <w:rFonts w:ascii="Times New Roman" w:eastAsia="Times New Roman" w:hAnsi="Times New Roman" w:cs="Times New Roman"/>
          <w:sz w:val="24"/>
          <w:szCs w:val="24"/>
        </w:rPr>
        <w:t xml:space="preserve"> în final autoritatea contractantă a procurat aceleași autoturisme Renault Kadjar la parametrii din specificațiile tehnice, care inițial au fost publicate în Buletinul </w:t>
      </w:r>
      <w:r>
        <w:rPr>
          <w:rFonts w:ascii="Times New Roman" w:eastAsia="Times New Roman" w:hAnsi="Times New Roman" w:cs="Times New Roman"/>
          <w:sz w:val="24"/>
          <w:szCs w:val="24"/>
        </w:rPr>
        <w:t>a</w:t>
      </w:r>
      <w:r w:rsidR="00716C97" w:rsidRPr="004D2FF7">
        <w:rPr>
          <w:rFonts w:ascii="Times New Roman" w:eastAsia="Times New Roman" w:hAnsi="Times New Roman" w:cs="Times New Roman"/>
          <w:sz w:val="24"/>
          <w:szCs w:val="24"/>
        </w:rPr>
        <w:t xml:space="preserve">chizițiilor </w:t>
      </w:r>
      <w:r>
        <w:rPr>
          <w:rFonts w:ascii="Times New Roman" w:eastAsia="Times New Roman" w:hAnsi="Times New Roman" w:cs="Times New Roman"/>
          <w:sz w:val="24"/>
          <w:szCs w:val="24"/>
        </w:rPr>
        <w:t>p</w:t>
      </w:r>
      <w:r w:rsidR="00716C97" w:rsidRPr="004D2FF7">
        <w:rPr>
          <w:rFonts w:ascii="Times New Roman" w:eastAsia="Times New Roman" w:hAnsi="Times New Roman" w:cs="Times New Roman"/>
          <w:sz w:val="24"/>
          <w:szCs w:val="24"/>
        </w:rPr>
        <w:t xml:space="preserve">ublice nr.90/17 din 10.11.2017; </w:t>
      </w:r>
    </w:p>
    <w:p w14:paraId="54173E92" w14:textId="433B6ED6" w:rsidR="005F6673" w:rsidRPr="004D2FF7" w:rsidRDefault="000A7525" w:rsidP="00716C97">
      <w:pPr>
        <w:pStyle w:val="ListParagraph"/>
        <w:numPr>
          <w:ilvl w:val="0"/>
          <w:numId w:val="19"/>
        </w:numPr>
        <w:spacing w:after="120" w:line="276" w:lineRule="auto"/>
        <w:ind w:left="0" w:right="-93" w:firstLine="360"/>
        <w:jc w:val="both"/>
        <w:rPr>
          <w:rFonts w:ascii="Times New Roman" w:hAnsi="Times New Roman" w:cs="Times New Roman"/>
          <w:bCs/>
          <w:iCs/>
          <w:sz w:val="24"/>
          <w:szCs w:val="24"/>
          <w:lang w:val="ro-RO"/>
        </w:rPr>
      </w:pPr>
      <w:r>
        <w:rPr>
          <w:rFonts w:ascii="Times New Roman" w:hAnsi="Times New Roman" w:cs="Times New Roman"/>
          <w:sz w:val="24"/>
          <w:szCs w:val="24"/>
          <w:lang w:val="ro-RO"/>
        </w:rPr>
        <w:t>l</w:t>
      </w:r>
      <w:r w:rsidR="00716C97" w:rsidRPr="004D2FF7">
        <w:rPr>
          <w:rFonts w:ascii="Times New Roman" w:hAnsi="Times New Roman" w:cs="Times New Roman"/>
          <w:sz w:val="24"/>
          <w:szCs w:val="24"/>
          <w:lang w:val="ro-RO"/>
        </w:rPr>
        <w:t>a determinarea ofertei câștigătoare, CNPDCP nu a aplicat regulamentar</w:t>
      </w:r>
      <w:r w:rsidR="00716C97" w:rsidRPr="004D2FF7">
        <w:rPr>
          <w:rFonts w:ascii="Times New Roman" w:hAnsi="Times New Roman" w:cs="Times New Roman"/>
          <w:vertAlign w:val="superscript"/>
          <w:lang w:val="ro-RO"/>
        </w:rPr>
        <w:footnoteReference w:id="90"/>
      </w:r>
      <w:r w:rsidR="00716C97" w:rsidRPr="004D2FF7">
        <w:rPr>
          <w:rFonts w:ascii="Times New Roman" w:hAnsi="Times New Roman" w:cs="Times New Roman"/>
          <w:sz w:val="24"/>
          <w:szCs w:val="24"/>
          <w:lang w:val="ro-RO"/>
        </w:rPr>
        <w:t xml:space="preserve"> criteriile de atribuire și factorii de evaluare din documentația de atribuire</w:t>
      </w:r>
      <w:r>
        <w:rPr>
          <w:rFonts w:ascii="Times New Roman" w:hAnsi="Times New Roman" w:cs="Times New Roman"/>
          <w:sz w:val="24"/>
          <w:szCs w:val="24"/>
          <w:lang w:val="ro-RO"/>
        </w:rPr>
        <w:t>,</w:t>
      </w:r>
      <w:r w:rsidR="00716C97" w:rsidRPr="004D2FF7">
        <w:rPr>
          <w:rFonts w:ascii="Times New Roman" w:hAnsi="Times New Roman" w:cs="Times New Roman"/>
          <w:sz w:val="24"/>
          <w:szCs w:val="24"/>
          <w:lang w:val="ro-RO"/>
        </w:rPr>
        <w:t xml:space="preserve"> în special prețul anunțat, fapt care a dus la acceptarea ofertei unui operator economic cu o valoare mai mare (8,2 mii lei), fiindcă prin valoarea inclusă în propunerea financiară a depășit valoarea fondurilor alocate pentru îndeplinirea contractului de achiziții publice, însă procedura de achiziții nu a fost anulată</w:t>
      </w:r>
      <w:r w:rsidR="005F6673" w:rsidRPr="004D2FF7">
        <w:rPr>
          <w:rFonts w:ascii="Times New Roman" w:hAnsi="Times New Roman" w:cs="Times New Roman"/>
          <w:sz w:val="24"/>
          <w:szCs w:val="24"/>
          <w:lang w:val="ro-RO"/>
        </w:rPr>
        <w:t>;</w:t>
      </w:r>
    </w:p>
    <w:p w14:paraId="1AC838A3" w14:textId="78C25939" w:rsidR="00716C97" w:rsidRPr="004D2FF7" w:rsidRDefault="000A7525" w:rsidP="00716C97">
      <w:pPr>
        <w:pStyle w:val="ListParagraph"/>
        <w:numPr>
          <w:ilvl w:val="0"/>
          <w:numId w:val="19"/>
        </w:numPr>
        <w:spacing w:after="120" w:line="276" w:lineRule="auto"/>
        <w:ind w:left="0" w:right="-93" w:firstLine="360"/>
        <w:jc w:val="both"/>
        <w:rPr>
          <w:rFonts w:ascii="Times New Roman" w:hAnsi="Times New Roman" w:cs="Times New Roman"/>
          <w:bCs/>
          <w:iCs/>
          <w:sz w:val="24"/>
          <w:szCs w:val="24"/>
          <w:lang w:val="ro-RO"/>
        </w:rPr>
      </w:pPr>
      <w:r>
        <w:rPr>
          <w:rFonts w:ascii="Times New Roman" w:hAnsi="Times New Roman" w:cs="Times New Roman"/>
          <w:sz w:val="24"/>
          <w:szCs w:val="24"/>
          <w:lang w:val="ro-RO"/>
        </w:rPr>
        <w:t>s</w:t>
      </w:r>
      <w:r w:rsidR="00716C97" w:rsidRPr="004D2FF7">
        <w:rPr>
          <w:rFonts w:ascii="Times New Roman" w:hAnsi="Times New Roman" w:cs="Times New Roman"/>
          <w:sz w:val="24"/>
          <w:szCs w:val="24"/>
          <w:lang w:val="ro-RO"/>
        </w:rPr>
        <w:t xml:space="preserve">e menționează că </w:t>
      </w:r>
      <w:r>
        <w:rPr>
          <w:rFonts w:ascii="Times New Roman" w:hAnsi="Times New Roman" w:cs="Times New Roman"/>
          <w:sz w:val="24"/>
          <w:szCs w:val="24"/>
          <w:lang w:val="ro-RO"/>
        </w:rPr>
        <w:t>având în vedere</w:t>
      </w:r>
      <w:r w:rsidR="00716C97" w:rsidRPr="004D2FF7">
        <w:rPr>
          <w:rFonts w:ascii="Times New Roman" w:hAnsi="Times New Roman" w:cs="Times New Roman"/>
          <w:sz w:val="24"/>
          <w:szCs w:val="24"/>
          <w:lang w:val="ro-RO"/>
        </w:rPr>
        <w:t xml:space="preserve"> întocmir</w:t>
      </w:r>
      <w:r>
        <w:rPr>
          <w:rFonts w:ascii="Times New Roman" w:hAnsi="Times New Roman" w:cs="Times New Roman"/>
          <w:sz w:val="24"/>
          <w:szCs w:val="24"/>
          <w:lang w:val="ro-RO"/>
        </w:rPr>
        <w:t>ea</w:t>
      </w:r>
      <w:r w:rsidR="00716C97" w:rsidRPr="004D2FF7">
        <w:rPr>
          <w:rFonts w:ascii="Times New Roman" w:hAnsi="Times New Roman" w:cs="Times New Roman"/>
          <w:sz w:val="24"/>
          <w:szCs w:val="24"/>
          <w:lang w:val="ro-RO"/>
        </w:rPr>
        <w:t xml:space="preserve"> necalitativ</w:t>
      </w:r>
      <w:r>
        <w:rPr>
          <w:rFonts w:ascii="Times New Roman" w:hAnsi="Times New Roman" w:cs="Times New Roman"/>
          <w:sz w:val="24"/>
          <w:szCs w:val="24"/>
          <w:lang w:val="ro-RO"/>
        </w:rPr>
        <w:t>ă</w:t>
      </w:r>
      <w:r w:rsidR="00716C97" w:rsidRPr="004D2FF7">
        <w:rPr>
          <w:rFonts w:ascii="Times New Roman" w:hAnsi="Times New Roman" w:cs="Times New Roman"/>
          <w:sz w:val="24"/>
          <w:szCs w:val="24"/>
          <w:lang w:val="ro-RO"/>
        </w:rPr>
        <w:t xml:space="preserve"> a documentației de atribuire</w:t>
      </w:r>
      <w:r>
        <w:rPr>
          <w:rFonts w:ascii="Times New Roman" w:hAnsi="Times New Roman" w:cs="Times New Roman"/>
          <w:sz w:val="24"/>
          <w:szCs w:val="24"/>
          <w:lang w:val="ro-RO"/>
        </w:rPr>
        <w:t>,</w:t>
      </w:r>
      <w:r w:rsidR="00716C97" w:rsidRPr="004D2FF7">
        <w:rPr>
          <w:rFonts w:ascii="Times New Roman" w:hAnsi="Times New Roman" w:cs="Times New Roman"/>
          <w:sz w:val="24"/>
          <w:szCs w:val="24"/>
          <w:lang w:val="ro-RO"/>
        </w:rPr>
        <w:t xml:space="preserve"> entitatea a ratat </w:t>
      </w:r>
      <w:r w:rsidR="005F6673" w:rsidRPr="004D2FF7">
        <w:rPr>
          <w:rFonts w:ascii="Times New Roman" w:hAnsi="Times New Roman" w:cs="Times New Roman"/>
          <w:sz w:val="24"/>
          <w:szCs w:val="24"/>
          <w:lang w:val="ro-RO"/>
        </w:rPr>
        <w:t>economi</w:t>
      </w:r>
      <w:r w:rsidR="00417B4B" w:rsidRPr="004D2FF7">
        <w:rPr>
          <w:rFonts w:ascii="Times New Roman" w:hAnsi="Times New Roman" w:cs="Times New Roman"/>
          <w:sz w:val="24"/>
          <w:szCs w:val="24"/>
          <w:lang w:val="ro-RO"/>
        </w:rPr>
        <w:t>i de</w:t>
      </w:r>
      <w:r w:rsidR="005F6673" w:rsidRPr="004D2FF7">
        <w:rPr>
          <w:rFonts w:ascii="Times New Roman" w:hAnsi="Times New Roman" w:cs="Times New Roman"/>
          <w:sz w:val="24"/>
          <w:szCs w:val="24"/>
          <w:lang w:val="ro-RO"/>
        </w:rPr>
        <w:t xml:space="preserve"> mijloace financiare</w:t>
      </w:r>
      <w:r w:rsidR="00716C97" w:rsidRPr="004D2FF7">
        <w:rPr>
          <w:rFonts w:ascii="Times New Roman" w:hAnsi="Times New Roman" w:cs="Times New Roman"/>
          <w:sz w:val="24"/>
          <w:szCs w:val="24"/>
          <w:lang w:val="ro-RO"/>
        </w:rPr>
        <w:t xml:space="preserve"> la procedura de achiziție a autoturismelor în sumă de 75,4 mii lei</w:t>
      </w:r>
      <w:r w:rsidR="00716C97" w:rsidRPr="004D2FF7">
        <w:rPr>
          <w:rStyle w:val="FootnoteReference"/>
          <w:rFonts w:ascii="Times New Roman" w:hAnsi="Times New Roman" w:cs="Times New Roman"/>
          <w:lang w:val="ro-RO"/>
        </w:rPr>
        <w:footnoteReference w:id="91"/>
      </w:r>
      <w:r w:rsidR="00716C97" w:rsidRPr="004D2FF7">
        <w:rPr>
          <w:rFonts w:ascii="Times New Roman" w:hAnsi="Times New Roman" w:cs="Times New Roman"/>
          <w:sz w:val="24"/>
          <w:szCs w:val="24"/>
          <w:lang w:val="ro-RO"/>
        </w:rPr>
        <w:t>;</w:t>
      </w:r>
    </w:p>
    <w:p w14:paraId="0E3197A4" w14:textId="0CB8367E" w:rsidR="0068611E" w:rsidRPr="004D2FF7" w:rsidRDefault="000A7525" w:rsidP="00ED5A00">
      <w:pPr>
        <w:pStyle w:val="ListParagraph"/>
        <w:numPr>
          <w:ilvl w:val="0"/>
          <w:numId w:val="19"/>
        </w:numPr>
        <w:spacing w:after="120" w:line="276" w:lineRule="auto"/>
        <w:ind w:left="0" w:right="-93" w:firstLine="360"/>
        <w:jc w:val="both"/>
        <w:rPr>
          <w:rFonts w:ascii="Times New Roman" w:hAnsi="Times New Roman" w:cs="Times New Roman"/>
          <w:bCs/>
          <w:iCs/>
          <w:sz w:val="24"/>
          <w:szCs w:val="24"/>
          <w:lang w:val="ro-RO"/>
        </w:rPr>
      </w:pPr>
      <w:r>
        <w:rPr>
          <w:rFonts w:ascii="Times New Roman" w:eastAsia="Times New Roman" w:hAnsi="Times New Roman" w:cs="Times New Roman"/>
          <w:sz w:val="24"/>
          <w:szCs w:val="24"/>
        </w:rPr>
        <w:t>d</w:t>
      </w:r>
      <w:r w:rsidR="00647ECD" w:rsidRPr="004D2FF7">
        <w:rPr>
          <w:rFonts w:ascii="Times New Roman" w:eastAsia="Times New Roman" w:hAnsi="Times New Roman" w:cs="Times New Roman"/>
          <w:sz w:val="24"/>
          <w:szCs w:val="24"/>
        </w:rPr>
        <w:t xml:space="preserve">eși CNPDCP urma să exploateze cele 2 </w:t>
      </w:r>
      <w:r w:rsidR="00852476" w:rsidRPr="004D2FF7">
        <w:rPr>
          <w:rFonts w:ascii="Times New Roman" w:eastAsia="Times New Roman" w:hAnsi="Times New Roman" w:cs="Times New Roman"/>
          <w:sz w:val="24"/>
          <w:szCs w:val="24"/>
        </w:rPr>
        <w:t>autoturisme</w:t>
      </w:r>
      <w:r w:rsidR="00647ECD" w:rsidRPr="004D2FF7">
        <w:rPr>
          <w:rFonts w:ascii="Times New Roman" w:eastAsia="Times New Roman" w:hAnsi="Times New Roman" w:cs="Times New Roman"/>
          <w:sz w:val="24"/>
          <w:szCs w:val="24"/>
        </w:rPr>
        <w:t xml:space="preserve"> de serviciu Renault Kadjar</w:t>
      </w:r>
      <w:r w:rsidR="00867EF4" w:rsidRPr="004D2FF7">
        <w:rPr>
          <w:rFonts w:ascii="Times New Roman" w:eastAsia="Times New Roman" w:hAnsi="Times New Roman" w:cs="Times New Roman"/>
          <w:sz w:val="24"/>
          <w:szCs w:val="24"/>
        </w:rPr>
        <w:t xml:space="preserve"> procurate</w:t>
      </w:r>
      <w:r w:rsidR="00647ECD" w:rsidRPr="004D2FF7">
        <w:rPr>
          <w:rFonts w:ascii="Times New Roman" w:eastAsia="Times New Roman" w:hAnsi="Times New Roman" w:cs="Times New Roman"/>
          <w:sz w:val="24"/>
          <w:szCs w:val="24"/>
        </w:rPr>
        <w:t xml:space="preserve"> în condițiile tehnice privind consumul de </w:t>
      </w:r>
      <w:r w:rsidR="00F81701">
        <w:rPr>
          <w:rFonts w:ascii="Times New Roman" w:eastAsia="Times New Roman" w:hAnsi="Times New Roman" w:cs="Times New Roman"/>
          <w:sz w:val="24"/>
          <w:szCs w:val="24"/>
        </w:rPr>
        <w:t>carburanți</w:t>
      </w:r>
      <w:r w:rsidR="00647ECD" w:rsidRPr="004D2FF7">
        <w:rPr>
          <w:rFonts w:ascii="Times New Roman" w:eastAsia="Times New Roman" w:hAnsi="Times New Roman" w:cs="Times New Roman"/>
          <w:sz w:val="24"/>
          <w:szCs w:val="24"/>
        </w:rPr>
        <w:t xml:space="preserve"> stipulate</w:t>
      </w:r>
      <w:r w:rsidR="004B5A19" w:rsidRPr="004D2FF7">
        <w:rPr>
          <w:rFonts w:ascii="Times New Roman" w:eastAsia="Times New Roman" w:hAnsi="Times New Roman" w:cs="Times New Roman"/>
          <w:sz w:val="24"/>
          <w:szCs w:val="24"/>
        </w:rPr>
        <w:t xml:space="preserve"> în oferta desemnată </w:t>
      </w:r>
      <w:r w:rsidR="00A54BBA" w:rsidRPr="004D2FF7">
        <w:rPr>
          <w:rFonts w:ascii="Times New Roman" w:eastAsia="Times New Roman" w:hAnsi="Times New Roman" w:cs="Times New Roman"/>
          <w:sz w:val="24"/>
          <w:szCs w:val="24"/>
        </w:rPr>
        <w:t>câștigătoare</w:t>
      </w:r>
      <w:r w:rsidR="004B5A19" w:rsidRPr="004D2FF7">
        <w:rPr>
          <w:rFonts w:ascii="Times New Roman" w:eastAsia="Times New Roman" w:hAnsi="Times New Roman" w:cs="Times New Roman"/>
          <w:sz w:val="24"/>
          <w:szCs w:val="24"/>
        </w:rPr>
        <w:t xml:space="preserve"> și</w:t>
      </w:r>
      <w:r w:rsidR="00647ECD" w:rsidRPr="004D2FF7">
        <w:rPr>
          <w:rFonts w:ascii="Times New Roman" w:eastAsia="Times New Roman" w:hAnsi="Times New Roman" w:cs="Times New Roman"/>
          <w:sz w:val="24"/>
          <w:szCs w:val="24"/>
        </w:rPr>
        <w:t xml:space="preserve"> în contract</w:t>
      </w:r>
      <w:r w:rsidR="00782EEB" w:rsidRPr="004D2FF7">
        <w:rPr>
          <w:rStyle w:val="FootnoteReference"/>
          <w:rFonts w:ascii="Times New Roman" w:eastAsia="Times New Roman" w:hAnsi="Times New Roman" w:cs="Times New Roman"/>
          <w:sz w:val="24"/>
          <w:szCs w:val="24"/>
        </w:rPr>
        <w:footnoteReference w:id="92"/>
      </w:r>
      <w:r w:rsidR="00B76CDB" w:rsidRPr="004D2FF7">
        <w:rPr>
          <w:rFonts w:ascii="Times New Roman" w:eastAsia="Times New Roman" w:hAnsi="Times New Roman" w:cs="Times New Roman"/>
          <w:sz w:val="24"/>
          <w:szCs w:val="24"/>
        </w:rPr>
        <w:t>, ulterior</w:t>
      </w:r>
      <w:r w:rsidR="00867EF4" w:rsidRPr="004D2FF7">
        <w:rPr>
          <w:rFonts w:ascii="Times New Roman" w:eastAsia="Times New Roman" w:hAnsi="Times New Roman" w:cs="Times New Roman"/>
          <w:sz w:val="24"/>
          <w:szCs w:val="24"/>
        </w:rPr>
        <w:t xml:space="preserve"> la 08.08.2018 </w:t>
      </w:r>
      <w:r w:rsidR="00B76CDB" w:rsidRPr="004D2FF7">
        <w:rPr>
          <w:rFonts w:ascii="Times New Roman" w:eastAsia="Times New Roman" w:hAnsi="Times New Roman" w:cs="Times New Roman"/>
          <w:sz w:val="24"/>
          <w:szCs w:val="24"/>
        </w:rPr>
        <w:t xml:space="preserve">norma de bază a </w:t>
      </w:r>
      <w:r w:rsidR="00F81701">
        <w:rPr>
          <w:rFonts w:ascii="Times New Roman" w:eastAsia="Times New Roman" w:hAnsi="Times New Roman" w:cs="Times New Roman"/>
          <w:sz w:val="24"/>
          <w:szCs w:val="24"/>
        </w:rPr>
        <w:t>c</w:t>
      </w:r>
      <w:r w:rsidR="00424B12">
        <w:rPr>
          <w:rFonts w:ascii="Times New Roman" w:eastAsia="Times New Roman" w:hAnsi="Times New Roman" w:cs="Times New Roman"/>
          <w:sz w:val="24"/>
          <w:szCs w:val="24"/>
        </w:rPr>
        <w:t>arburanților</w:t>
      </w:r>
      <w:r w:rsidR="00B76CDB" w:rsidRPr="004D2FF7">
        <w:rPr>
          <w:rFonts w:ascii="Times New Roman" w:eastAsia="Times New Roman" w:hAnsi="Times New Roman" w:cs="Times New Roman"/>
          <w:sz w:val="24"/>
          <w:szCs w:val="24"/>
        </w:rPr>
        <w:t xml:space="preserve"> a fost majorată</w:t>
      </w:r>
      <w:r w:rsidR="00783617" w:rsidRPr="004D2F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 </w:t>
      </w:r>
      <w:r w:rsidR="00783617" w:rsidRPr="004D2FF7">
        <w:rPr>
          <w:rFonts w:ascii="Times New Roman" w:eastAsia="Times New Roman" w:hAnsi="Times New Roman" w:cs="Times New Roman"/>
          <w:sz w:val="24"/>
          <w:szCs w:val="24"/>
        </w:rPr>
        <w:t xml:space="preserve">urmare </w:t>
      </w:r>
      <w:r>
        <w:rPr>
          <w:rFonts w:ascii="Times New Roman" w:eastAsia="Times New Roman" w:hAnsi="Times New Roman" w:cs="Times New Roman"/>
          <w:sz w:val="24"/>
          <w:szCs w:val="24"/>
        </w:rPr>
        <w:t xml:space="preserve">a </w:t>
      </w:r>
      <w:r w:rsidR="00783617" w:rsidRPr="004D2FF7">
        <w:rPr>
          <w:rFonts w:ascii="Times New Roman" w:eastAsia="Times New Roman" w:hAnsi="Times New Roman" w:cs="Times New Roman"/>
          <w:sz w:val="24"/>
          <w:szCs w:val="24"/>
        </w:rPr>
        <w:t>revizuiri</w:t>
      </w:r>
      <w:r>
        <w:rPr>
          <w:rFonts w:ascii="Times New Roman" w:eastAsia="Times New Roman" w:hAnsi="Times New Roman" w:cs="Times New Roman"/>
          <w:sz w:val="24"/>
          <w:szCs w:val="24"/>
        </w:rPr>
        <w:t>i</w:t>
      </w:r>
      <w:r w:rsidR="00783617" w:rsidRPr="004D2FF7">
        <w:rPr>
          <w:rFonts w:ascii="Times New Roman" w:eastAsia="Times New Roman" w:hAnsi="Times New Roman" w:cs="Times New Roman"/>
          <w:sz w:val="24"/>
          <w:szCs w:val="24"/>
        </w:rPr>
        <w:t xml:space="preserve"> </w:t>
      </w:r>
      <w:r w:rsidR="00B76CDB" w:rsidRPr="004D2FF7">
        <w:rPr>
          <w:rFonts w:ascii="Times New Roman" w:eastAsia="Times New Roman" w:hAnsi="Times New Roman" w:cs="Times New Roman"/>
          <w:sz w:val="24"/>
          <w:szCs w:val="24"/>
        </w:rPr>
        <w:t xml:space="preserve">de către </w:t>
      </w:r>
      <w:r w:rsidR="00783617" w:rsidRPr="004D2FF7">
        <w:rPr>
          <w:rFonts w:ascii="Times New Roman" w:eastAsia="Times New Roman" w:hAnsi="Times New Roman" w:cs="Times New Roman"/>
          <w:sz w:val="24"/>
          <w:szCs w:val="24"/>
        </w:rPr>
        <w:t xml:space="preserve">o Comisie </w:t>
      </w:r>
      <w:r w:rsidR="00CE0AF9" w:rsidRPr="004D2FF7">
        <w:rPr>
          <w:rFonts w:ascii="Times New Roman" w:eastAsia="Times New Roman" w:hAnsi="Times New Roman" w:cs="Times New Roman"/>
          <w:sz w:val="24"/>
          <w:szCs w:val="24"/>
        </w:rPr>
        <w:t>format</w:t>
      </w:r>
      <w:r w:rsidR="00783617" w:rsidRPr="004D2FF7">
        <w:rPr>
          <w:rFonts w:ascii="Times New Roman" w:eastAsia="Times New Roman" w:hAnsi="Times New Roman" w:cs="Times New Roman"/>
          <w:sz w:val="24"/>
          <w:szCs w:val="24"/>
        </w:rPr>
        <w:t>ă</w:t>
      </w:r>
      <w:r w:rsidR="00086FBA" w:rsidRPr="004D2FF7">
        <w:rPr>
          <w:rFonts w:ascii="Times New Roman" w:eastAsia="Times New Roman" w:hAnsi="Times New Roman" w:cs="Times New Roman"/>
          <w:sz w:val="24"/>
          <w:szCs w:val="24"/>
        </w:rPr>
        <w:t xml:space="preserve"> </w:t>
      </w:r>
      <w:r w:rsidR="00CE0AF9" w:rsidRPr="004D2FF7">
        <w:rPr>
          <w:rFonts w:ascii="Times New Roman" w:eastAsia="Times New Roman" w:hAnsi="Times New Roman" w:cs="Times New Roman"/>
          <w:sz w:val="24"/>
          <w:szCs w:val="24"/>
        </w:rPr>
        <w:t>din</w:t>
      </w:r>
      <w:r w:rsidR="00783617" w:rsidRPr="004D2FF7">
        <w:rPr>
          <w:rFonts w:ascii="Times New Roman" w:eastAsia="Times New Roman" w:hAnsi="Times New Roman" w:cs="Times New Roman"/>
          <w:sz w:val="24"/>
          <w:szCs w:val="24"/>
        </w:rPr>
        <w:t xml:space="preserve"> 6</w:t>
      </w:r>
      <w:r w:rsidR="00CE0AF9" w:rsidRPr="004D2FF7">
        <w:rPr>
          <w:rFonts w:ascii="Times New Roman" w:eastAsia="Times New Roman" w:hAnsi="Times New Roman" w:cs="Times New Roman"/>
          <w:sz w:val="24"/>
          <w:szCs w:val="24"/>
        </w:rPr>
        <w:t xml:space="preserve"> </w:t>
      </w:r>
      <w:r w:rsidR="00557CA1" w:rsidRPr="004D2FF7">
        <w:rPr>
          <w:rFonts w:ascii="Times New Roman" w:eastAsia="Times New Roman" w:hAnsi="Times New Roman" w:cs="Times New Roman"/>
          <w:sz w:val="24"/>
          <w:szCs w:val="24"/>
        </w:rPr>
        <w:t xml:space="preserve">angajați </w:t>
      </w:r>
      <w:r w:rsidR="00783617" w:rsidRPr="004D2FF7">
        <w:rPr>
          <w:rFonts w:ascii="Times New Roman" w:eastAsia="Times New Roman" w:hAnsi="Times New Roman" w:cs="Times New Roman"/>
          <w:sz w:val="24"/>
          <w:szCs w:val="24"/>
        </w:rPr>
        <w:t>ai</w:t>
      </w:r>
      <w:r w:rsidR="00CE0AF9" w:rsidRPr="004D2FF7">
        <w:rPr>
          <w:rFonts w:ascii="Times New Roman" w:eastAsia="Times New Roman" w:hAnsi="Times New Roman" w:cs="Times New Roman"/>
          <w:sz w:val="24"/>
          <w:szCs w:val="24"/>
        </w:rPr>
        <w:t xml:space="preserve"> </w:t>
      </w:r>
      <w:r w:rsidR="00B76CDB" w:rsidRPr="004D2FF7">
        <w:rPr>
          <w:rFonts w:ascii="Times New Roman" w:eastAsia="Times New Roman" w:hAnsi="Times New Roman" w:cs="Times New Roman"/>
          <w:sz w:val="24"/>
          <w:szCs w:val="24"/>
        </w:rPr>
        <w:t>CNPDCP</w:t>
      </w:r>
      <w:r w:rsidR="00617F19" w:rsidRPr="004D2FF7">
        <w:rPr>
          <w:rStyle w:val="FootnoteReference"/>
          <w:rFonts w:ascii="Times New Roman" w:eastAsia="Times New Roman" w:hAnsi="Times New Roman" w:cs="Times New Roman"/>
          <w:sz w:val="24"/>
          <w:szCs w:val="24"/>
        </w:rPr>
        <w:footnoteReference w:id="93"/>
      </w:r>
      <w:r w:rsidR="00783617" w:rsidRPr="004D2FF7">
        <w:rPr>
          <w:rFonts w:ascii="Times New Roman" w:eastAsia="Times New Roman" w:hAnsi="Times New Roman" w:cs="Times New Roman"/>
          <w:sz w:val="24"/>
          <w:szCs w:val="24"/>
        </w:rPr>
        <w:t xml:space="preserve">, care de fapt nu </w:t>
      </w:r>
      <w:r w:rsidR="00557CA1" w:rsidRPr="004D2FF7">
        <w:rPr>
          <w:rFonts w:ascii="Times New Roman" w:eastAsia="Times New Roman" w:hAnsi="Times New Roman" w:cs="Times New Roman"/>
          <w:sz w:val="24"/>
          <w:szCs w:val="24"/>
        </w:rPr>
        <w:t>aveau</w:t>
      </w:r>
      <w:r w:rsidR="00783617" w:rsidRPr="004D2FF7">
        <w:rPr>
          <w:rFonts w:ascii="Times New Roman" w:eastAsia="Times New Roman" w:hAnsi="Times New Roman" w:cs="Times New Roman"/>
          <w:sz w:val="24"/>
          <w:szCs w:val="24"/>
        </w:rPr>
        <w:t xml:space="preserve"> studii </w:t>
      </w:r>
      <w:r w:rsidR="000C1709" w:rsidRPr="004D2FF7">
        <w:rPr>
          <w:rFonts w:ascii="Times New Roman" w:eastAsia="Times New Roman" w:hAnsi="Times New Roman" w:cs="Times New Roman"/>
          <w:sz w:val="24"/>
          <w:szCs w:val="24"/>
        </w:rPr>
        <w:t>î</w:t>
      </w:r>
      <w:r w:rsidR="00783617" w:rsidRPr="004D2FF7">
        <w:rPr>
          <w:rFonts w:ascii="Times New Roman" w:eastAsia="Times New Roman" w:hAnsi="Times New Roman" w:cs="Times New Roman"/>
          <w:sz w:val="24"/>
          <w:szCs w:val="24"/>
        </w:rPr>
        <w:t>n domeniu</w:t>
      </w:r>
      <w:r w:rsidR="00086FBA" w:rsidRPr="004D2FF7">
        <w:rPr>
          <w:rFonts w:ascii="Times New Roman" w:eastAsia="Times New Roman" w:hAnsi="Times New Roman" w:cs="Times New Roman"/>
          <w:sz w:val="24"/>
          <w:szCs w:val="24"/>
        </w:rPr>
        <w:t>.</w:t>
      </w:r>
      <w:r w:rsidR="000C1709" w:rsidRPr="004D2FF7">
        <w:rPr>
          <w:rFonts w:ascii="Times New Roman" w:eastAsia="Times New Roman" w:hAnsi="Times New Roman" w:cs="Times New Roman"/>
          <w:sz w:val="24"/>
          <w:szCs w:val="24"/>
        </w:rPr>
        <w:t xml:space="preserve"> Prin urmare</w:t>
      </w:r>
      <w:r>
        <w:rPr>
          <w:rFonts w:ascii="Times New Roman" w:eastAsia="Times New Roman" w:hAnsi="Times New Roman" w:cs="Times New Roman"/>
          <w:sz w:val="24"/>
          <w:szCs w:val="24"/>
        </w:rPr>
        <w:t>,</w:t>
      </w:r>
      <w:r w:rsidR="000C1709" w:rsidRPr="004D2FF7">
        <w:rPr>
          <w:rFonts w:ascii="Times New Roman" w:eastAsia="Times New Roman" w:hAnsi="Times New Roman" w:cs="Times New Roman"/>
          <w:sz w:val="24"/>
          <w:szCs w:val="24"/>
        </w:rPr>
        <w:t xml:space="preserve"> </w:t>
      </w:r>
      <w:r w:rsidR="00AB5D4D" w:rsidRPr="004D2FF7">
        <w:rPr>
          <w:rFonts w:ascii="Times New Roman" w:eastAsia="Times New Roman" w:hAnsi="Times New Roman" w:cs="Times New Roman"/>
          <w:sz w:val="24"/>
          <w:szCs w:val="24"/>
        </w:rPr>
        <w:t>parametrii tehnici</w:t>
      </w:r>
      <w:r w:rsidR="006A1579" w:rsidRPr="004D2FF7">
        <w:rPr>
          <w:rFonts w:ascii="Times New Roman" w:eastAsia="Times New Roman" w:hAnsi="Times New Roman" w:cs="Times New Roman"/>
          <w:sz w:val="24"/>
          <w:szCs w:val="24"/>
        </w:rPr>
        <w:t xml:space="preserve"> </w:t>
      </w:r>
      <w:r w:rsidR="009A0FCA" w:rsidRPr="004D2FF7">
        <w:rPr>
          <w:rFonts w:ascii="Times New Roman" w:eastAsia="Times New Roman" w:hAnsi="Times New Roman" w:cs="Times New Roman"/>
          <w:sz w:val="24"/>
          <w:szCs w:val="24"/>
        </w:rPr>
        <w:t>pr</w:t>
      </w:r>
      <w:r w:rsidR="00BD06C2" w:rsidRPr="004D2FF7">
        <w:rPr>
          <w:rFonts w:ascii="Times New Roman" w:eastAsia="Times New Roman" w:hAnsi="Times New Roman" w:cs="Times New Roman"/>
          <w:sz w:val="24"/>
          <w:szCs w:val="24"/>
        </w:rPr>
        <w:t>i</w:t>
      </w:r>
      <w:r w:rsidR="009A0FCA" w:rsidRPr="004D2FF7">
        <w:rPr>
          <w:rFonts w:ascii="Times New Roman" w:eastAsia="Times New Roman" w:hAnsi="Times New Roman" w:cs="Times New Roman"/>
          <w:sz w:val="24"/>
          <w:szCs w:val="24"/>
        </w:rPr>
        <w:t>vind</w:t>
      </w:r>
      <w:r w:rsidR="0015474F" w:rsidRPr="004D2FF7">
        <w:rPr>
          <w:rFonts w:ascii="Times New Roman" w:eastAsia="Times New Roman" w:hAnsi="Times New Roman" w:cs="Times New Roman"/>
          <w:sz w:val="24"/>
          <w:szCs w:val="24"/>
        </w:rPr>
        <w:t xml:space="preserve"> norma de bază </w:t>
      </w:r>
      <w:r w:rsidR="00AB5D4D" w:rsidRPr="004D2FF7">
        <w:rPr>
          <w:rFonts w:ascii="Times New Roman" w:eastAsia="Times New Roman" w:hAnsi="Times New Roman" w:cs="Times New Roman"/>
          <w:sz w:val="24"/>
          <w:szCs w:val="24"/>
        </w:rPr>
        <w:t xml:space="preserve">a </w:t>
      </w:r>
      <w:r w:rsidR="00852476" w:rsidRPr="004D2FF7">
        <w:rPr>
          <w:rFonts w:ascii="Times New Roman" w:eastAsia="Times New Roman" w:hAnsi="Times New Roman" w:cs="Times New Roman"/>
          <w:sz w:val="24"/>
          <w:szCs w:val="24"/>
        </w:rPr>
        <w:t>autoturisme</w:t>
      </w:r>
      <w:r w:rsidR="00AB5D4D" w:rsidRPr="004D2FF7">
        <w:rPr>
          <w:rFonts w:ascii="Times New Roman" w:eastAsia="Times New Roman" w:hAnsi="Times New Roman" w:cs="Times New Roman"/>
          <w:sz w:val="24"/>
          <w:szCs w:val="24"/>
        </w:rPr>
        <w:t>lor</w:t>
      </w:r>
      <w:r w:rsidR="00BA4035" w:rsidRPr="004D2FF7">
        <w:rPr>
          <w:rFonts w:ascii="Times New Roman" w:eastAsia="Times New Roman" w:hAnsi="Times New Roman" w:cs="Times New Roman"/>
          <w:sz w:val="24"/>
          <w:szCs w:val="24"/>
        </w:rPr>
        <w:t xml:space="preserve"> </w:t>
      </w:r>
      <w:r w:rsidR="00B76CDB" w:rsidRPr="004D2FF7">
        <w:rPr>
          <w:rFonts w:ascii="Times New Roman" w:eastAsia="Times New Roman" w:hAnsi="Times New Roman" w:cs="Times New Roman"/>
          <w:sz w:val="24"/>
          <w:szCs w:val="24"/>
        </w:rPr>
        <w:t>procurate</w:t>
      </w:r>
      <w:r w:rsidR="006A1579" w:rsidRPr="004D2FF7">
        <w:rPr>
          <w:rFonts w:ascii="Times New Roman" w:eastAsia="Times New Roman" w:hAnsi="Times New Roman" w:cs="Times New Roman"/>
          <w:sz w:val="24"/>
          <w:szCs w:val="24"/>
        </w:rPr>
        <w:t xml:space="preserve"> </w:t>
      </w:r>
      <w:r w:rsidR="00A43232" w:rsidRPr="004D2FF7">
        <w:rPr>
          <w:rFonts w:ascii="Times New Roman" w:eastAsia="Times New Roman" w:hAnsi="Times New Roman" w:cs="Times New Roman"/>
          <w:sz w:val="24"/>
          <w:szCs w:val="24"/>
        </w:rPr>
        <w:t>de CNPDCP</w:t>
      </w:r>
      <w:r w:rsidR="00557CA1" w:rsidRPr="004D2FF7">
        <w:rPr>
          <w:rFonts w:ascii="Times New Roman" w:eastAsia="Times New Roman" w:hAnsi="Times New Roman" w:cs="Times New Roman"/>
          <w:sz w:val="24"/>
          <w:szCs w:val="24"/>
        </w:rPr>
        <w:t xml:space="preserve"> de marca</w:t>
      </w:r>
      <w:r w:rsidR="000C1709" w:rsidRPr="004D2FF7">
        <w:rPr>
          <w:rFonts w:ascii="Times New Roman" w:eastAsia="Times New Roman" w:hAnsi="Times New Roman" w:cs="Times New Roman"/>
          <w:sz w:val="24"/>
          <w:szCs w:val="24"/>
        </w:rPr>
        <w:t xml:space="preserve"> Renault Kadjar HRE 854 cu un parcurs</w:t>
      </w:r>
      <w:r w:rsidR="00C32191" w:rsidRPr="004D2FF7">
        <w:rPr>
          <w:rFonts w:ascii="Times New Roman" w:eastAsia="Times New Roman" w:hAnsi="Times New Roman" w:cs="Times New Roman"/>
          <w:sz w:val="24"/>
          <w:szCs w:val="24"/>
        </w:rPr>
        <w:t xml:space="preserve"> </w:t>
      </w:r>
      <w:r w:rsidR="000C1709" w:rsidRPr="004D2FF7">
        <w:rPr>
          <w:rFonts w:ascii="Times New Roman" w:eastAsia="Times New Roman" w:hAnsi="Times New Roman" w:cs="Times New Roman"/>
          <w:sz w:val="24"/>
          <w:szCs w:val="24"/>
        </w:rPr>
        <w:t>de 2,2 mii km la 01.08.2018 și</w:t>
      </w:r>
      <w:r>
        <w:rPr>
          <w:rFonts w:ascii="Times New Roman" w:eastAsia="Times New Roman" w:hAnsi="Times New Roman" w:cs="Times New Roman"/>
          <w:sz w:val="24"/>
          <w:szCs w:val="24"/>
        </w:rPr>
        <w:t>,</w:t>
      </w:r>
      <w:r w:rsidR="0015474F" w:rsidRPr="004D2FF7">
        <w:rPr>
          <w:rFonts w:ascii="Times New Roman" w:eastAsia="Times New Roman" w:hAnsi="Times New Roman" w:cs="Times New Roman"/>
          <w:sz w:val="24"/>
          <w:szCs w:val="24"/>
        </w:rPr>
        <w:t xml:space="preserve"> respectiv</w:t>
      </w:r>
      <w:r>
        <w:rPr>
          <w:rFonts w:ascii="Times New Roman" w:eastAsia="Times New Roman" w:hAnsi="Times New Roman" w:cs="Times New Roman"/>
          <w:sz w:val="24"/>
          <w:szCs w:val="24"/>
        </w:rPr>
        <w:t>,</w:t>
      </w:r>
      <w:r w:rsidR="000C1709" w:rsidRPr="004D2FF7">
        <w:rPr>
          <w:rFonts w:ascii="Times New Roman" w:eastAsia="Times New Roman" w:hAnsi="Times New Roman" w:cs="Times New Roman"/>
          <w:sz w:val="24"/>
          <w:szCs w:val="24"/>
        </w:rPr>
        <w:t xml:space="preserve"> Renault Kadjar HRE 861 cu un parcurs de 4,8 mii km</w:t>
      </w:r>
      <w:r w:rsidR="0015474F" w:rsidRPr="004D2FF7">
        <w:rPr>
          <w:rFonts w:ascii="Times New Roman" w:eastAsia="Times New Roman" w:hAnsi="Times New Roman" w:cs="Times New Roman"/>
          <w:sz w:val="24"/>
          <w:szCs w:val="24"/>
        </w:rPr>
        <w:t>,</w:t>
      </w:r>
      <w:r w:rsidR="000C1709" w:rsidRPr="004D2FF7">
        <w:rPr>
          <w:rFonts w:ascii="Times New Roman" w:eastAsia="Times New Roman" w:hAnsi="Times New Roman" w:cs="Times New Roman"/>
          <w:sz w:val="24"/>
          <w:szCs w:val="24"/>
        </w:rPr>
        <w:t xml:space="preserve"> </w:t>
      </w:r>
      <w:r w:rsidR="00B76CDB" w:rsidRPr="004D2FF7">
        <w:rPr>
          <w:rFonts w:ascii="Times New Roman" w:eastAsia="Times New Roman" w:hAnsi="Times New Roman" w:cs="Times New Roman"/>
          <w:sz w:val="24"/>
          <w:szCs w:val="24"/>
        </w:rPr>
        <w:t>nu</w:t>
      </w:r>
      <w:r w:rsidR="000C4A71" w:rsidRPr="004D2FF7">
        <w:rPr>
          <w:rFonts w:ascii="Times New Roman" w:eastAsia="Times New Roman" w:hAnsi="Times New Roman" w:cs="Times New Roman"/>
          <w:sz w:val="24"/>
          <w:szCs w:val="24"/>
        </w:rPr>
        <w:t xml:space="preserve"> au</w:t>
      </w:r>
      <w:r w:rsidR="00B76CDB" w:rsidRPr="004D2FF7">
        <w:rPr>
          <w:rFonts w:ascii="Times New Roman" w:eastAsia="Times New Roman" w:hAnsi="Times New Roman" w:cs="Times New Roman"/>
          <w:sz w:val="24"/>
          <w:szCs w:val="24"/>
        </w:rPr>
        <w:t xml:space="preserve"> corespun</w:t>
      </w:r>
      <w:r w:rsidR="000C4A71" w:rsidRPr="004D2FF7">
        <w:rPr>
          <w:rFonts w:ascii="Times New Roman" w:eastAsia="Times New Roman" w:hAnsi="Times New Roman" w:cs="Times New Roman"/>
          <w:sz w:val="24"/>
          <w:szCs w:val="24"/>
        </w:rPr>
        <w:t>s</w:t>
      </w:r>
      <w:r w:rsidR="00CE0AF9" w:rsidRPr="004D2FF7">
        <w:rPr>
          <w:rFonts w:ascii="Times New Roman" w:eastAsia="Times New Roman" w:hAnsi="Times New Roman" w:cs="Times New Roman"/>
          <w:sz w:val="24"/>
          <w:szCs w:val="24"/>
        </w:rPr>
        <w:t xml:space="preserve"> parametrilor</w:t>
      </w:r>
      <w:r w:rsidR="00783617" w:rsidRPr="004D2FF7">
        <w:rPr>
          <w:rFonts w:ascii="Times New Roman" w:eastAsia="Times New Roman" w:hAnsi="Times New Roman" w:cs="Times New Roman"/>
          <w:sz w:val="24"/>
          <w:szCs w:val="24"/>
        </w:rPr>
        <w:t xml:space="preserve"> tehnici</w:t>
      </w:r>
      <w:r w:rsidR="006A1579" w:rsidRPr="004D2FF7">
        <w:rPr>
          <w:rFonts w:ascii="Times New Roman" w:eastAsia="Times New Roman" w:hAnsi="Times New Roman" w:cs="Times New Roman"/>
          <w:sz w:val="24"/>
          <w:szCs w:val="24"/>
        </w:rPr>
        <w:t xml:space="preserve"> </w:t>
      </w:r>
      <w:r w:rsidR="009A0FCA" w:rsidRPr="004D2FF7">
        <w:rPr>
          <w:rFonts w:ascii="Times New Roman" w:eastAsia="Times New Roman" w:hAnsi="Times New Roman" w:cs="Times New Roman"/>
          <w:sz w:val="24"/>
          <w:szCs w:val="24"/>
        </w:rPr>
        <w:t>ce țin de</w:t>
      </w:r>
      <w:r w:rsidR="006A1579" w:rsidRPr="004D2FF7">
        <w:rPr>
          <w:rFonts w:ascii="Times New Roman" w:eastAsia="Times New Roman" w:hAnsi="Times New Roman" w:cs="Times New Roman"/>
          <w:sz w:val="24"/>
          <w:szCs w:val="24"/>
        </w:rPr>
        <w:t xml:space="preserve"> norma de bază</w:t>
      </w:r>
      <w:r w:rsidR="00CE0AF9" w:rsidRPr="004D2FF7">
        <w:rPr>
          <w:rFonts w:ascii="Times New Roman" w:eastAsia="Times New Roman" w:hAnsi="Times New Roman" w:cs="Times New Roman"/>
          <w:sz w:val="24"/>
          <w:szCs w:val="24"/>
        </w:rPr>
        <w:t xml:space="preserve"> privind</w:t>
      </w:r>
      <w:r w:rsidR="00B76CDB" w:rsidRPr="004D2FF7">
        <w:rPr>
          <w:rFonts w:ascii="Times New Roman" w:eastAsia="Times New Roman" w:hAnsi="Times New Roman" w:cs="Times New Roman"/>
          <w:sz w:val="24"/>
          <w:szCs w:val="24"/>
        </w:rPr>
        <w:t xml:space="preserve"> consumul</w:t>
      </w:r>
      <w:r w:rsidR="00CE0AF9" w:rsidRPr="004D2FF7">
        <w:rPr>
          <w:rFonts w:ascii="Times New Roman" w:eastAsia="Times New Roman" w:hAnsi="Times New Roman" w:cs="Times New Roman"/>
          <w:sz w:val="24"/>
          <w:szCs w:val="24"/>
        </w:rPr>
        <w:t xml:space="preserve"> de </w:t>
      </w:r>
      <w:r w:rsidR="00F81701">
        <w:rPr>
          <w:rFonts w:ascii="Times New Roman" w:eastAsia="Times New Roman" w:hAnsi="Times New Roman" w:cs="Times New Roman"/>
          <w:sz w:val="24"/>
          <w:szCs w:val="24"/>
        </w:rPr>
        <w:t>carburanți</w:t>
      </w:r>
      <w:r w:rsidR="00B76CDB" w:rsidRPr="004D2FF7">
        <w:rPr>
          <w:rFonts w:ascii="Times New Roman" w:eastAsia="Times New Roman" w:hAnsi="Times New Roman" w:cs="Times New Roman"/>
          <w:sz w:val="24"/>
          <w:szCs w:val="24"/>
        </w:rPr>
        <w:t xml:space="preserve"> indicat</w:t>
      </w:r>
      <w:r w:rsidR="006E311B" w:rsidRPr="004D2FF7">
        <w:rPr>
          <w:rFonts w:ascii="Times New Roman" w:eastAsia="Times New Roman" w:hAnsi="Times New Roman" w:cs="Times New Roman"/>
          <w:sz w:val="24"/>
          <w:szCs w:val="24"/>
        </w:rPr>
        <w:t xml:space="preserve"> în</w:t>
      </w:r>
      <w:r w:rsidR="00B76CDB" w:rsidRPr="004D2FF7">
        <w:rPr>
          <w:rFonts w:ascii="Times New Roman" w:eastAsia="Times New Roman" w:hAnsi="Times New Roman" w:cs="Times New Roman"/>
          <w:sz w:val="24"/>
          <w:szCs w:val="24"/>
        </w:rPr>
        <w:t xml:space="preserve"> specificațiile tehnice din oferta comercială</w:t>
      </w:r>
      <w:r w:rsidR="007E71BB" w:rsidRPr="004D2FF7">
        <w:rPr>
          <w:rFonts w:ascii="Times New Roman" w:eastAsia="Times New Roman" w:hAnsi="Times New Roman" w:cs="Times New Roman"/>
          <w:sz w:val="24"/>
          <w:szCs w:val="24"/>
        </w:rPr>
        <w:t xml:space="preserve"> prezentată la licitație</w:t>
      </w:r>
      <w:r w:rsidR="00617F19" w:rsidRPr="004D2FF7">
        <w:rPr>
          <w:rFonts w:ascii="Times New Roman" w:eastAsia="Times New Roman" w:hAnsi="Times New Roman" w:cs="Times New Roman"/>
          <w:sz w:val="24"/>
          <w:szCs w:val="24"/>
        </w:rPr>
        <w:t xml:space="preserve"> și </w:t>
      </w:r>
      <w:r w:rsidR="00372EAF">
        <w:rPr>
          <w:rFonts w:ascii="Times New Roman" w:eastAsia="Times New Roman" w:hAnsi="Times New Roman" w:cs="Times New Roman"/>
          <w:sz w:val="24"/>
          <w:szCs w:val="24"/>
        </w:rPr>
        <w:t xml:space="preserve">din </w:t>
      </w:r>
      <w:r w:rsidR="00617F19" w:rsidRPr="004D2FF7">
        <w:rPr>
          <w:rFonts w:ascii="Times New Roman" w:eastAsia="Times New Roman" w:hAnsi="Times New Roman" w:cs="Times New Roman"/>
          <w:sz w:val="24"/>
          <w:szCs w:val="24"/>
        </w:rPr>
        <w:t>contractul</w:t>
      </w:r>
      <w:r w:rsidR="0015474F" w:rsidRPr="004D2FF7">
        <w:rPr>
          <w:rFonts w:ascii="Times New Roman" w:eastAsia="Times New Roman" w:hAnsi="Times New Roman" w:cs="Times New Roman"/>
          <w:sz w:val="24"/>
          <w:szCs w:val="24"/>
        </w:rPr>
        <w:t xml:space="preserve"> </w:t>
      </w:r>
      <w:r w:rsidR="00617F19" w:rsidRPr="004D2FF7">
        <w:rPr>
          <w:rFonts w:ascii="Times New Roman" w:eastAsia="Times New Roman" w:hAnsi="Times New Roman" w:cs="Times New Roman"/>
          <w:sz w:val="24"/>
          <w:szCs w:val="24"/>
        </w:rPr>
        <w:t>încheiat</w:t>
      </w:r>
      <w:r w:rsidR="0015474F" w:rsidRPr="004D2FF7">
        <w:rPr>
          <w:rStyle w:val="FootnoteReference"/>
          <w:rFonts w:ascii="Times New Roman" w:eastAsia="Times New Roman" w:hAnsi="Times New Roman" w:cs="Times New Roman"/>
          <w:sz w:val="24"/>
          <w:szCs w:val="24"/>
        </w:rPr>
        <w:footnoteReference w:id="94"/>
      </w:r>
      <w:r w:rsidR="0015474F" w:rsidRPr="004D2FF7">
        <w:rPr>
          <w:rFonts w:ascii="Times New Roman" w:eastAsia="Times New Roman" w:hAnsi="Times New Roman" w:cs="Times New Roman"/>
          <w:sz w:val="24"/>
          <w:szCs w:val="24"/>
        </w:rPr>
        <w:t xml:space="preserve"> </w:t>
      </w:r>
      <w:r w:rsidR="009A0FCA" w:rsidRPr="004D2FF7">
        <w:rPr>
          <w:rFonts w:ascii="Times New Roman" w:eastAsia="Times New Roman" w:hAnsi="Times New Roman" w:cs="Times New Roman"/>
          <w:sz w:val="24"/>
          <w:szCs w:val="24"/>
        </w:rPr>
        <w:t xml:space="preserve">în raport </w:t>
      </w:r>
      <w:r w:rsidR="0015474F" w:rsidRPr="004D2FF7">
        <w:rPr>
          <w:rFonts w:ascii="Times New Roman" w:eastAsia="Times New Roman" w:hAnsi="Times New Roman" w:cs="Times New Roman"/>
          <w:sz w:val="24"/>
          <w:szCs w:val="24"/>
        </w:rPr>
        <w:t xml:space="preserve">cu norma de bază la </w:t>
      </w:r>
      <w:r w:rsidR="00F81701">
        <w:rPr>
          <w:rFonts w:ascii="Times New Roman" w:eastAsia="Times New Roman" w:hAnsi="Times New Roman" w:cs="Times New Roman"/>
          <w:sz w:val="24"/>
          <w:szCs w:val="24"/>
        </w:rPr>
        <w:t>carburanți</w:t>
      </w:r>
      <w:r w:rsidR="0015474F" w:rsidRPr="004D2FF7">
        <w:rPr>
          <w:rFonts w:ascii="Times New Roman" w:eastAsia="Times New Roman" w:hAnsi="Times New Roman" w:cs="Times New Roman"/>
          <w:sz w:val="24"/>
          <w:szCs w:val="24"/>
        </w:rPr>
        <w:t xml:space="preserve"> aplicată după punerea în exploatare a autoturismelor</w:t>
      </w:r>
      <w:r w:rsidR="00F514E0" w:rsidRPr="004D2FF7">
        <w:rPr>
          <w:rFonts w:ascii="Times New Roman" w:eastAsia="Times New Roman" w:hAnsi="Times New Roman" w:cs="Times New Roman"/>
          <w:sz w:val="24"/>
          <w:szCs w:val="24"/>
        </w:rPr>
        <w:t xml:space="preserve"> noi procurate</w:t>
      </w:r>
      <w:r w:rsidR="0068611E" w:rsidRPr="004D2FF7">
        <w:rPr>
          <w:rFonts w:ascii="Times New Roman" w:eastAsia="Times New Roman" w:hAnsi="Times New Roman" w:cs="Times New Roman"/>
          <w:sz w:val="24"/>
          <w:szCs w:val="24"/>
        </w:rPr>
        <w:t>;</w:t>
      </w:r>
      <w:r w:rsidR="00B76CDB" w:rsidRPr="004D2FF7">
        <w:rPr>
          <w:rFonts w:ascii="Times New Roman" w:eastAsia="Times New Roman" w:hAnsi="Times New Roman" w:cs="Times New Roman"/>
          <w:sz w:val="24"/>
          <w:szCs w:val="24"/>
        </w:rPr>
        <w:t xml:space="preserve"> </w:t>
      </w:r>
    </w:p>
    <w:p w14:paraId="1F931A90" w14:textId="324270B5" w:rsidR="0068611E" w:rsidRPr="004D2FF7" w:rsidRDefault="00372EAF" w:rsidP="00ED5A00">
      <w:pPr>
        <w:pStyle w:val="ListParagraph"/>
        <w:numPr>
          <w:ilvl w:val="0"/>
          <w:numId w:val="19"/>
        </w:numPr>
        <w:spacing w:after="120" w:line="276" w:lineRule="auto"/>
        <w:ind w:left="0" w:right="-93" w:firstLine="360"/>
        <w:jc w:val="both"/>
        <w:rPr>
          <w:rFonts w:ascii="Times New Roman" w:hAnsi="Times New Roman" w:cs="Times New Roman"/>
          <w:bCs/>
          <w:iCs/>
          <w:sz w:val="24"/>
          <w:szCs w:val="24"/>
          <w:lang w:val="ro-RO"/>
        </w:rPr>
      </w:pPr>
      <w:r>
        <w:rPr>
          <w:rFonts w:ascii="Times New Roman" w:eastAsia="Times New Roman" w:hAnsi="Times New Roman" w:cs="Times New Roman"/>
          <w:sz w:val="24"/>
          <w:szCs w:val="24"/>
        </w:rPr>
        <w:t>d</w:t>
      </w:r>
      <w:r w:rsidR="00086FBA" w:rsidRPr="004D2FF7">
        <w:rPr>
          <w:rFonts w:ascii="Times New Roman" w:eastAsia="Times New Roman" w:hAnsi="Times New Roman" w:cs="Times New Roman"/>
          <w:sz w:val="24"/>
          <w:szCs w:val="24"/>
        </w:rPr>
        <w:t>eși conform</w:t>
      </w:r>
      <w:r w:rsidR="009B4039" w:rsidRPr="004D2FF7">
        <w:rPr>
          <w:rFonts w:ascii="Times New Roman" w:eastAsia="Times New Roman" w:hAnsi="Times New Roman" w:cs="Times New Roman"/>
          <w:sz w:val="24"/>
          <w:szCs w:val="24"/>
        </w:rPr>
        <w:t xml:space="preserve"> clauzelor</w:t>
      </w:r>
      <w:r w:rsidR="00086FBA" w:rsidRPr="004D2FF7">
        <w:rPr>
          <w:rFonts w:ascii="Times New Roman" w:eastAsia="Times New Roman" w:hAnsi="Times New Roman" w:cs="Times New Roman"/>
          <w:sz w:val="24"/>
          <w:szCs w:val="24"/>
        </w:rPr>
        <w:t xml:space="preserve"> contractu</w:t>
      </w:r>
      <w:r>
        <w:rPr>
          <w:rFonts w:ascii="Times New Roman" w:eastAsia="Times New Roman" w:hAnsi="Times New Roman" w:cs="Times New Roman"/>
          <w:sz w:val="24"/>
          <w:szCs w:val="24"/>
        </w:rPr>
        <w:t>ale</w:t>
      </w:r>
      <w:r w:rsidR="00086FBA" w:rsidRPr="004D2FF7">
        <w:rPr>
          <w:rFonts w:ascii="Times New Roman" w:eastAsia="Times New Roman" w:hAnsi="Times New Roman" w:cs="Times New Roman"/>
          <w:sz w:val="24"/>
          <w:szCs w:val="24"/>
        </w:rPr>
        <w:t xml:space="preserve"> cele 2 </w:t>
      </w:r>
      <w:r w:rsidR="00852476" w:rsidRPr="004D2FF7">
        <w:rPr>
          <w:rFonts w:ascii="Times New Roman" w:eastAsia="Times New Roman" w:hAnsi="Times New Roman" w:cs="Times New Roman"/>
          <w:sz w:val="24"/>
          <w:szCs w:val="24"/>
        </w:rPr>
        <w:t>autoturisme</w:t>
      </w:r>
      <w:r w:rsidR="00086FBA" w:rsidRPr="004D2FF7">
        <w:rPr>
          <w:rFonts w:ascii="Times New Roman" w:eastAsia="Times New Roman" w:hAnsi="Times New Roman" w:cs="Times New Roman"/>
          <w:sz w:val="24"/>
          <w:szCs w:val="24"/>
        </w:rPr>
        <w:t xml:space="preserve"> de serviciu Renault Kadjar aveau un termen de garanție de 3 ani</w:t>
      </w:r>
      <w:r w:rsidR="00CB0AD5" w:rsidRPr="004D2FF7">
        <w:rPr>
          <w:rFonts w:ascii="Times New Roman" w:eastAsia="Times New Roman" w:hAnsi="Times New Roman" w:cs="Times New Roman"/>
          <w:sz w:val="24"/>
          <w:szCs w:val="24"/>
        </w:rPr>
        <w:t xml:space="preserve"> și o</w:t>
      </w:r>
      <w:r w:rsidR="00086FBA" w:rsidRPr="004D2FF7">
        <w:rPr>
          <w:rFonts w:ascii="Times New Roman" w:eastAsia="Times New Roman" w:hAnsi="Times New Roman" w:cs="Times New Roman"/>
          <w:sz w:val="24"/>
          <w:szCs w:val="24"/>
        </w:rPr>
        <w:t xml:space="preserve"> limit</w:t>
      </w:r>
      <w:r>
        <w:rPr>
          <w:rFonts w:ascii="Times New Roman" w:eastAsia="Times New Roman" w:hAnsi="Times New Roman" w:cs="Times New Roman"/>
          <w:sz w:val="24"/>
          <w:szCs w:val="24"/>
        </w:rPr>
        <w:t>ă</w:t>
      </w:r>
      <w:r w:rsidR="00086FBA" w:rsidRPr="004D2FF7">
        <w:rPr>
          <w:rFonts w:ascii="Times New Roman" w:eastAsia="Times New Roman" w:hAnsi="Times New Roman" w:cs="Times New Roman"/>
          <w:sz w:val="24"/>
          <w:szCs w:val="24"/>
        </w:rPr>
        <w:t xml:space="preserve"> de parcurs de 100,0 mii km, </w:t>
      </w:r>
      <w:r w:rsidR="00A723A8" w:rsidRPr="004D2FF7">
        <w:rPr>
          <w:rFonts w:ascii="Times New Roman" w:eastAsia="Times New Roman" w:hAnsi="Times New Roman" w:cs="Times New Roman"/>
          <w:sz w:val="24"/>
          <w:szCs w:val="24"/>
        </w:rPr>
        <w:t>entitatea</w:t>
      </w:r>
      <w:r w:rsidR="00086FBA" w:rsidRPr="004D2FF7">
        <w:rPr>
          <w:rFonts w:ascii="Times New Roman" w:eastAsia="Times New Roman" w:hAnsi="Times New Roman" w:cs="Times New Roman"/>
          <w:sz w:val="24"/>
          <w:szCs w:val="24"/>
        </w:rPr>
        <w:t xml:space="preserve"> s-a adresat operatorul</w:t>
      </w:r>
      <w:r w:rsidR="00CB0AD5" w:rsidRPr="004D2FF7">
        <w:rPr>
          <w:rFonts w:ascii="Times New Roman" w:eastAsia="Times New Roman" w:hAnsi="Times New Roman" w:cs="Times New Roman"/>
          <w:sz w:val="24"/>
          <w:szCs w:val="24"/>
        </w:rPr>
        <w:t>ui</w:t>
      </w:r>
      <w:r w:rsidR="00086FBA" w:rsidRPr="004D2FF7">
        <w:rPr>
          <w:rFonts w:ascii="Times New Roman" w:eastAsia="Times New Roman" w:hAnsi="Times New Roman" w:cs="Times New Roman"/>
          <w:sz w:val="24"/>
          <w:szCs w:val="24"/>
        </w:rPr>
        <w:t xml:space="preserve"> economic pentru a soluționa problemele ce țin de consumul exces</w:t>
      </w:r>
      <w:r w:rsidR="00B73D0B" w:rsidRPr="004D2FF7">
        <w:rPr>
          <w:rFonts w:ascii="Times New Roman" w:eastAsia="Times New Roman" w:hAnsi="Times New Roman" w:cs="Times New Roman"/>
          <w:sz w:val="24"/>
          <w:szCs w:val="24"/>
        </w:rPr>
        <w:t>iv</w:t>
      </w:r>
      <w:r w:rsidR="00086FBA" w:rsidRPr="004D2FF7">
        <w:rPr>
          <w:rFonts w:ascii="Times New Roman" w:eastAsia="Times New Roman" w:hAnsi="Times New Roman" w:cs="Times New Roman"/>
          <w:sz w:val="24"/>
          <w:szCs w:val="24"/>
        </w:rPr>
        <w:t xml:space="preserve"> de </w:t>
      </w:r>
      <w:r w:rsidR="00F81701">
        <w:rPr>
          <w:rFonts w:ascii="Times New Roman" w:eastAsia="Times New Roman" w:hAnsi="Times New Roman" w:cs="Times New Roman"/>
          <w:sz w:val="24"/>
          <w:szCs w:val="24"/>
        </w:rPr>
        <w:t>carburanți</w:t>
      </w:r>
      <w:r w:rsidR="00086FBA" w:rsidRPr="004D2FF7">
        <w:rPr>
          <w:rFonts w:ascii="Times New Roman" w:eastAsia="Times New Roman" w:hAnsi="Times New Roman" w:cs="Times New Roman"/>
          <w:sz w:val="24"/>
          <w:szCs w:val="24"/>
        </w:rPr>
        <w:t xml:space="preserve">, însă </w:t>
      </w:r>
      <w:r w:rsidR="007E71BB" w:rsidRPr="004D2FF7">
        <w:rPr>
          <w:rFonts w:ascii="Times New Roman" w:eastAsia="Times New Roman" w:hAnsi="Times New Roman" w:cs="Times New Roman"/>
          <w:sz w:val="24"/>
          <w:szCs w:val="24"/>
        </w:rPr>
        <w:t xml:space="preserve">garanția autoturismelor nu a fost </w:t>
      </w:r>
      <w:r w:rsidR="00760C5F" w:rsidRPr="004D2FF7">
        <w:rPr>
          <w:rFonts w:ascii="Times New Roman" w:eastAsia="Times New Roman" w:hAnsi="Times New Roman" w:cs="Times New Roman"/>
          <w:sz w:val="24"/>
          <w:szCs w:val="24"/>
        </w:rPr>
        <w:t>activată</w:t>
      </w:r>
      <w:r w:rsidR="009B4039" w:rsidRPr="004D2FF7">
        <w:rPr>
          <w:rFonts w:ascii="Times New Roman" w:eastAsia="Times New Roman" w:hAnsi="Times New Roman" w:cs="Times New Roman"/>
          <w:sz w:val="24"/>
          <w:szCs w:val="24"/>
        </w:rPr>
        <w:t xml:space="preserve">, iar problema </w:t>
      </w:r>
      <w:r w:rsidR="00760C5F" w:rsidRPr="004D2FF7">
        <w:rPr>
          <w:rFonts w:ascii="Times New Roman" w:eastAsia="Times New Roman" w:hAnsi="Times New Roman" w:cs="Times New Roman"/>
          <w:sz w:val="24"/>
          <w:szCs w:val="24"/>
        </w:rPr>
        <w:t>a rămas</w:t>
      </w:r>
      <w:r w:rsidR="009B4039" w:rsidRPr="004D2FF7">
        <w:rPr>
          <w:rFonts w:ascii="Times New Roman" w:eastAsia="Times New Roman" w:hAnsi="Times New Roman" w:cs="Times New Roman"/>
          <w:sz w:val="24"/>
          <w:szCs w:val="24"/>
        </w:rPr>
        <w:t xml:space="preserve"> </w:t>
      </w:r>
      <w:r w:rsidR="00760C5F" w:rsidRPr="004D2FF7">
        <w:rPr>
          <w:rFonts w:ascii="Times New Roman" w:eastAsia="Times New Roman" w:hAnsi="Times New Roman" w:cs="Times New Roman"/>
          <w:sz w:val="24"/>
          <w:szCs w:val="24"/>
        </w:rPr>
        <w:t>ne</w:t>
      </w:r>
      <w:r w:rsidR="009B4039" w:rsidRPr="004D2FF7">
        <w:rPr>
          <w:rFonts w:ascii="Times New Roman" w:eastAsia="Times New Roman" w:hAnsi="Times New Roman" w:cs="Times New Roman"/>
          <w:sz w:val="24"/>
          <w:szCs w:val="24"/>
        </w:rPr>
        <w:t>soluționată</w:t>
      </w:r>
      <w:r w:rsidR="00086FBA" w:rsidRPr="004D2FF7">
        <w:rPr>
          <w:rFonts w:ascii="Times New Roman" w:eastAsia="Times New Roman" w:hAnsi="Times New Roman" w:cs="Times New Roman"/>
          <w:sz w:val="24"/>
          <w:szCs w:val="24"/>
        </w:rPr>
        <w:t xml:space="preserve">.  </w:t>
      </w:r>
    </w:p>
    <w:p w14:paraId="696ED1B0" w14:textId="3AF0DA59" w:rsidR="0068611E" w:rsidRPr="004D2FF7" w:rsidRDefault="00A5267A" w:rsidP="00612BF7">
      <w:pPr>
        <w:spacing w:after="120" w:line="276" w:lineRule="auto"/>
        <w:ind w:right="-93"/>
        <w:jc w:val="both"/>
        <w:rPr>
          <w:rFonts w:ascii="Times New Roman" w:hAnsi="Times New Roman" w:cs="Times New Roman"/>
          <w:bCs/>
          <w:iCs/>
          <w:sz w:val="24"/>
          <w:szCs w:val="24"/>
          <w:lang w:val="ro-RO"/>
        </w:rPr>
      </w:pPr>
      <w:r w:rsidRPr="004D2FF7">
        <w:rPr>
          <w:rFonts w:ascii="Times New Roman" w:eastAsia="Calibri" w:hAnsi="Times New Roman" w:cs="Times New Roman"/>
          <w:color w:val="000000"/>
          <w:sz w:val="24"/>
          <w:szCs w:val="24"/>
        </w:rPr>
        <w:t>CNPDCP a încheiat</w:t>
      </w:r>
      <w:r w:rsidR="00FB7863" w:rsidRPr="004D2FF7">
        <w:rPr>
          <w:rFonts w:ascii="Times New Roman" w:eastAsia="Calibri" w:hAnsi="Times New Roman" w:cs="Times New Roman"/>
          <w:color w:val="000000"/>
          <w:sz w:val="24"/>
          <w:szCs w:val="24"/>
        </w:rPr>
        <w:t xml:space="preserve"> cu un operator economic contractul nr.30/20 din 23.11.2020 </w:t>
      </w:r>
      <w:r w:rsidR="00B72177" w:rsidRPr="004D2FF7">
        <w:rPr>
          <w:rFonts w:ascii="Times New Roman" w:eastAsia="Calibri" w:hAnsi="Times New Roman" w:cs="Times New Roman"/>
          <w:color w:val="000000"/>
          <w:sz w:val="24"/>
          <w:szCs w:val="24"/>
        </w:rPr>
        <w:t>în valoare de 59,5 mii lei</w:t>
      </w:r>
      <w:r w:rsidR="009D49BC" w:rsidRPr="004D2FF7">
        <w:rPr>
          <w:rStyle w:val="FootnoteReference"/>
          <w:rFonts w:ascii="Times New Roman" w:eastAsia="Calibri" w:hAnsi="Times New Roman" w:cs="Times New Roman"/>
          <w:color w:val="000000"/>
          <w:sz w:val="24"/>
          <w:szCs w:val="24"/>
        </w:rPr>
        <w:footnoteReference w:id="95"/>
      </w:r>
      <w:r w:rsidR="009D49BC" w:rsidRPr="004D2FF7">
        <w:rPr>
          <w:rFonts w:ascii="Times New Roman" w:eastAsia="Calibri" w:hAnsi="Times New Roman" w:cs="Times New Roman"/>
          <w:color w:val="000000"/>
          <w:sz w:val="24"/>
          <w:szCs w:val="24"/>
        </w:rPr>
        <w:t xml:space="preserve"> </w:t>
      </w:r>
      <w:r w:rsidR="003F0401" w:rsidRPr="004D2FF7">
        <w:rPr>
          <w:rFonts w:ascii="Times New Roman" w:eastAsia="Calibri" w:hAnsi="Times New Roman" w:cs="Times New Roman"/>
          <w:color w:val="000000"/>
          <w:sz w:val="24"/>
          <w:szCs w:val="24"/>
        </w:rPr>
        <w:t xml:space="preserve">privind </w:t>
      </w:r>
      <w:r w:rsidR="00B72177" w:rsidRPr="004D2FF7">
        <w:rPr>
          <w:rFonts w:ascii="Times New Roman" w:eastAsia="Calibri" w:hAnsi="Times New Roman" w:cs="Times New Roman"/>
          <w:color w:val="000000"/>
          <w:sz w:val="24"/>
          <w:szCs w:val="24"/>
        </w:rPr>
        <w:t>achiziți</w:t>
      </w:r>
      <w:r w:rsidR="003F0401" w:rsidRPr="004D2FF7">
        <w:rPr>
          <w:rFonts w:ascii="Times New Roman" w:eastAsia="Calibri" w:hAnsi="Times New Roman" w:cs="Times New Roman"/>
          <w:color w:val="000000"/>
          <w:sz w:val="24"/>
          <w:szCs w:val="24"/>
        </w:rPr>
        <w:t>a serviciilor</w:t>
      </w:r>
      <w:r w:rsidR="00B72177" w:rsidRPr="004D2FF7">
        <w:rPr>
          <w:rFonts w:ascii="Times New Roman" w:eastAsia="Calibri" w:hAnsi="Times New Roman" w:cs="Times New Roman"/>
          <w:color w:val="000000"/>
          <w:sz w:val="24"/>
          <w:szCs w:val="24"/>
        </w:rPr>
        <w:t xml:space="preserve"> de reparație a cutiei de viteză</w:t>
      </w:r>
      <w:r w:rsidR="00B240DB" w:rsidRPr="004D2FF7">
        <w:rPr>
          <w:rFonts w:ascii="Times New Roman" w:eastAsia="Calibri" w:hAnsi="Times New Roman" w:cs="Times New Roman"/>
          <w:color w:val="000000"/>
          <w:sz w:val="24"/>
          <w:szCs w:val="24"/>
        </w:rPr>
        <w:t xml:space="preserve"> automat</w:t>
      </w:r>
      <w:r w:rsidR="00FF6244" w:rsidRPr="004D2FF7">
        <w:rPr>
          <w:rFonts w:ascii="Times New Roman" w:eastAsia="Calibri" w:hAnsi="Times New Roman" w:cs="Times New Roman"/>
          <w:color w:val="000000"/>
          <w:sz w:val="24"/>
          <w:szCs w:val="24"/>
        </w:rPr>
        <w:t>ă</w:t>
      </w:r>
      <w:r w:rsidR="00B72177" w:rsidRPr="004D2FF7">
        <w:rPr>
          <w:rFonts w:ascii="Times New Roman" w:eastAsia="Calibri" w:hAnsi="Times New Roman" w:cs="Times New Roman"/>
          <w:color w:val="000000"/>
          <w:sz w:val="24"/>
          <w:szCs w:val="24"/>
        </w:rPr>
        <w:t xml:space="preserve"> a </w:t>
      </w:r>
      <w:r w:rsidR="00D4430C" w:rsidRPr="004D2FF7">
        <w:rPr>
          <w:rFonts w:ascii="Times New Roman" w:eastAsia="Calibri" w:hAnsi="Times New Roman" w:cs="Times New Roman"/>
          <w:color w:val="000000"/>
          <w:sz w:val="24"/>
          <w:szCs w:val="24"/>
        </w:rPr>
        <w:t>autoturismului</w:t>
      </w:r>
      <w:r w:rsidR="00B72177" w:rsidRPr="004D2FF7">
        <w:rPr>
          <w:rFonts w:ascii="Times New Roman" w:eastAsia="Calibri" w:hAnsi="Times New Roman" w:cs="Times New Roman"/>
          <w:color w:val="000000"/>
          <w:sz w:val="24"/>
          <w:szCs w:val="24"/>
        </w:rPr>
        <w:t xml:space="preserve"> Chevrolet Captiva</w:t>
      </w:r>
      <w:r w:rsidR="00421BF7" w:rsidRPr="004D2FF7">
        <w:rPr>
          <w:rFonts w:ascii="Times New Roman" w:hAnsi="Times New Roman" w:cs="Times New Roman"/>
          <w:sz w:val="24"/>
          <w:szCs w:val="24"/>
        </w:rPr>
        <w:t xml:space="preserve"> SUV cu </w:t>
      </w:r>
      <w:r w:rsidR="00421BF7" w:rsidRPr="004D2FF7">
        <w:rPr>
          <w:rFonts w:ascii="Times New Roman" w:hAnsi="Times New Roman" w:cs="Times New Roman"/>
          <w:sz w:val="24"/>
          <w:szCs w:val="24"/>
          <w:lang w:val="ro-RO"/>
        </w:rPr>
        <w:t>caroserie</w:t>
      </w:r>
      <w:r w:rsidR="00421BF7" w:rsidRPr="004D2FF7">
        <w:rPr>
          <w:rFonts w:ascii="Times New Roman" w:hAnsi="Times New Roman" w:cs="Times New Roman"/>
          <w:sz w:val="24"/>
          <w:szCs w:val="24"/>
        </w:rPr>
        <w:t xml:space="preserve"> universal</w:t>
      </w:r>
      <w:r w:rsidR="00026D4F">
        <w:rPr>
          <w:rFonts w:ascii="Times New Roman" w:hAnsi="Times New Roman" w:cs="Times New Roman"/>
          <w:sz w:val="24"/>
          <w:szCs w:val="24"/>
        </w:rPr>
        <w:t>ă</w:t>
      </w:r>
      <w:r w:rsidR="00523F57" w:rsidRPr="004D2FF7">
        <w:rPr>
          <w:rFonts w:ascii="Times New Roman" w:eastAsia="Calibri" w:hAnsi="Times New Roman" w:cs="Times New Roman"/>
          <w:color w:val="000000"/>
          <w:sz w:val="24"/>
          <w:szCs w:val="24"/>
        </w:rPr>
        <w:t>, care avea un parcurs de 73,0 mii km</w:t>
      </w:r>
      <w:r w:rsidR="00B72177" w:rsidRPr="004D2FF7">
        <w:rPr>
          <w:rFonts w:ascii="Times New Roman" w:eastAsia="Calibri" w:hAnsi="Times New Roman" w:cs="Times New Roman"/>
          <w:color w:val="000000"/>
          <w:sz w:val="24"/>
          <w:szCs w:val="24"/>
        </w:rPr>
        <w:t xml:space="preserve">. </w:t>
      </w:r>
      <w:r w:rsidR="00AC7BA4" w:rsidRPr="004D2FF7">
        <w:rPr>
          <w:rFonts w:ascii="Times New Roman" w:eastAsia="Calibri" w:hAnsi="Times New Roman" w:cs="Times New Roman"/>
          <w:color w:val="000000"/>
          <w:sz w:val="24"/>
          <w:szCs w:val="24"/>
        </w:rPr>
        <w:t>Cadrul legal</w:t>
      </w:r>
      <w:r w:rsidR="00AC7BA4" w:rsidRPr="004D2FF7">
        <w:rPr>
          <w:rStyle w:val="FootnoteReference"/>
          <w:rFonts w:ascii="Times New Roman" w:eastAsia="Calibri" w:hAnsi="Times New Roman" w:cs="Times New Roman"/>
          <w:color w:val="000000"/>
          <w:sz w:val="24"/>
          <w:szCs w:val="24"/>
        </w:rPr>
        <w:footnoteReference w:id="96"/>
      </w:r>
      <w:r w:rsidR="00AC7BA4" w:rsidRPr="004D2FF7">
        <w:rPr>
          <w:rFonts w:ascii="Times New Roman" w:eastAsia="Calibri" w:hAnsi="Times New Roman" w:cs="Times New Roman"/>
          <w:color w:val="000000"/>
          <w:sz w:val="24"/>
          <w:szCs w:val="24"/>
        </w:rPr>
        <w:t xml:space="preserve"> p</w:t>
      </w:r>
      <w:r w:rsidR="00AC7BA4" w:rsidRPr="004D2FF7">
        <w:rPr>
          <w:rFonts w:ascii="Times New Roman" w:hAnsi="Times New Roman" w:cs="Times New Roman"/>
          <w:sz w:val="24"/>
          <w:szCs w:val="24"/>
        </w:rPr>
        <w:t xml:space="preserve">revede </w:t>
      </w:r>
      <w:r w:rsidR="00AC7BA4" w:rsidRPr="004D2FF7">
        <w:rPr>
          <w:rFonts w:ascii="Times New Roman" w:hAnsi="Times New Roman" w:cs="Times New Roman"/>
          <w:sz w:val="24"/>
          <w:szCs w:val="24"/>
          <w:lang w:val="ro-RO"/>
        </w:rPr>
        <w:t xml:space="preserve">că </w:t>
      </w:r>
      <w:r w:rsidR="00AC7BA4" w:rsidRPr="004D2FF7">
        <w:rPr>
          <w:rFonts w:ascii="Times New Roman" w:hAnsi="Times New Roman" w:cs="Times New Roman"/>
          <w:sz w:val="24"/>
          <w:szCs w:val="24"/>
          <w:lang w:val="ro-RO"/>
        </w:rPr>
        <w:lastRenderedPageBreak/>
        <w:t xml:space="preserve">înainte de inițierea procedurii de atribuire, autoritatea contractantă are dreptul de a organiza consultări ale pieței în vederea pregătirii achiziției. </w:t>
      </w:r>
      <w:r w:rsidR="00AC7BA4" w:rsidRPr="004D2FF7">
        <w:rPr>
          <w:rFonts w:ascii="Times New Roman" w:eastAsia="Calibri" w:hAnsi="Times New Roman" w:cs="Times New Roman"/>
          <w:color w:val="000000"/>
          <w:sz w:val="24"/>
          <w:szCs w:val="24"/>
        </w:rPr>
        <w:t>Astfel, d</w:t>
      </w:r>
      <w:r w:rsidR="00B72177" w:rsidRPr="004D2FF7">
        <w:rPr>
          <w:rFonts w:ascii="Times New Roman" w:eastAsia="Calibri" w:hAnsi="Times New Roman" w:cs="Times New Roman"/>
          <w:color w:val="000000"/>
          <w:sz w:val="24"/>
          <w:szCs w:val="24"/>
        </w:rPr>
        <w:t xml:space="preserve">eși la contract s-a anexat </w:t>
      </w:r>
      <w:r w:rsidR="00794A12" w:rsidRPr="004D2FF7">
        <w:rPr>
          <w:rFonts w:ascii="Times New Roman" w:eastAsia="Calibri" w:hAnsi="Times New Roman" w:cs="Times New Roman"/>
          <w:color w:val="000000"/>
          <w:sz w:val="24"/>
          <w:szCs w:val="24"/>
        </w:rPr>
        <w:t>o specificație tehnică</w:t>
      </w:r>
      <w:r w:rsidR="00B54B8E" w:rsidRPr="004D2FF7">
        <w:rPr>
          <w:rFonts w:ascii="Times New Roman" w:eastAsia="Calibri" w:hAnsi="Times New Roman" w:cs="Times New Roman"/>
          <w:color w:val="000000"/>
          <w:sz w:val="24"/>
          <w:szCs w:val="24"/>
        </w:rPr>
        <w:t xml:space="preserve"> ca răspuns la scrisoarea CNPDCP</w:t>
      </w:r>
      <w:r w:rsidR="00B54B8E" w:rsidRPr="004D2FF7">
        <w:rPr>
          <w:rStyle w:val="FootnoteReference"/>
          <w:rFonts w:ascii="Times New Roman" w:eastAsia="Calibri" w:hAnsi="Times New Roman" w:cs="Times New Roman"/>
          <w:color w:val="000000"/>
          <w:sz w:val="24"/>
          <w:szCs w:val="24"/>
        </w:rPr>
        <w:footnoteReference w:id="97"/>
      </w:r>
      <w:r w:rsidR="00B54B8E" w:rsidRPr="004D2FF7">
        <w:rPr>
          <w:rFonts w:ascii="Times New Roman" w:eastAsia="Calibri" w:hAnsi="Times New Roman" w:cs="Times New Roman"/>
          <w:color w:val="000000"/>
          <w:sz w:val="24"/>
          <w:szCs w:val="24"/>
        </w:rPr>
        <w:t xml:space="preserve"> </w:t>
      </w:r>
      <w:r w:rsidR="00684940" w:rsidRPr="004D2FF7">
        <w:rPr>
          <w:rFonts w:ascii="Times New Roman" w:eastAsia="Calibri" w:hAnsi="Times New Roman" w:cs="Times New Roman"/>
          <w:color w:val="000000"/>
          <w:sz w:val="24"/>
          <w:szCs w:val="24"/>
        </w:rPr>
        <w:t xml:space="preserve">adresată </w:t>
      </w:r>
      <w:r w:rsidR="00794A12" w:rsidRPr="004D2FF7">
        <w:rPr>
          <w:rFonts w:ascii="Times New Roman" w:eastAsia="Calibri" w:hAnsi="Times New Roman" w:cs="Times New Roman"/>
          <w:color w:val="000000"/>
          <w:sz w:val="24"/>
          <w:szCs w:val="24"/>
        </w:rPr>
        <w:t>distribuitorul</w:t>
      </w:r>
      <w:r w:rsidR="00684940" w:rsidRPr="004D2FF7">
        <w:rPr>
          <w:rFonts w:ascii="Times New Roman" w:eastAsia="Calibri" w:hAnsi="Times New Roman" w:cs="Times New Roman"/>
          <w:color w:val="000000"/>
          <w:sz w:val="24"/>
          <w:szCs w:val="24"/>
        </w:rPr>
        <w:t>ui</w:t>
      </w:r>
      <w:r w:rsidR="00794A12" w:rsidRPr="004D2FF7">
        <w:rPr>
          <w:rFonts w:ascii="Times New Roman" w:eastAsia="Calibri" w:hAnsi="Times New Roman" w:cs="Times New Roman"/>
          <w:color w:val="000000"/>
          <w:sz w:val="24"/>
          <w:szCs w:val="24"/>
        </w:rPr>
        <w:t xml:space="preserve"> oficial Chevrolet în Republica Moldova</w:t>
      </w:r>
      <w:r w:rsidR="00523F57" w:rsidRPr="004D2FF7">
        <w:rPr>
          <w:rFonts w:ascii="Times New Roman" w:eastAsia="Calibri" w:hAnsi="Times New Roman" w:cs="Times New Roman"/>
          <w:color w:val="000000"/>
          <w:sz w:val="24"/>
          <w:szCs w:val="24"/>
        </w:rPr>
        <w:t>,</w:t>
      </w:r>
      <w:r w:rsidR="00684940" w:rsidRPr="004D2FF7">
        <w:rPr>
          <w:rFonts w:ascii="Times New Roman" w:eastAsia="Calibri" w:hAnsi="Times New Roman" w:cs="Times New Roman"/>
          <w:color w:val="000000"/>
          <w:sz w:val="24"/>
          <w:szCs w:val="24"/>
        </w:rPr>
        <w:t xml:space="preserve"> care a confirmat că</w:t>
      </w:r>
      <w:r w:rsidR="00794A12" w:rsidRPr="004D2FF7">
        <w:rPr>
          <w:rFonts w:ascii="Times New Roman" w:eastAsia="Calibri" w:hAnsi="Times New Roman" w:cs="Times New Roman"/>
          <w:color w:val="000000"/>
          <w:sz w:val="24"/>
          <w:szCs w:val="24"/>
        </w:rPr>
        <w:t xml:space="preserve"> </w:t>
      </w:r>
      <w:r w:rsidR="00B72177" w:rsidRPr="004D2FF7">
        <w:rPr>
          <w:rFonts w:ascii="Times New Roman" w:eastAsia="Calibri" w:hAnsi="Times New Roman" w:cs="Times New Roman"/>
          <w:color w:val="000000"/>
          <w:sz w:val="24"/>
          <w:szCs w:val="24"/>
        </w:rPr>
        <w:t>costul reparației cutiei de viteză automat</w:t>
      </w:r>
      <w:r w:rsidR="00FF6244" w:rsidRPr="004D2FF7">
        <w:rPr>
          <w:rFonts w:ascii="Times New Roman" w:eastAsia="Calibri" w:hAnsi="Times New Roman" w:cs="Times New Roman"/>
          <w:color w:val="000000"/>
          <w:sz w:val="24"/>
          <w:szCs w:val="24"/>
        </w:rPr>
        <w:t>ă</w:t>
      </w:r>
      <w:r w:rsidR="00B72177" w:rsidRPr="004D2FF7">
        <w:rPr>
          <w:rFonts w:ascii="Times New Roman" w:eastAsia="Calibri" w:hAnsi="Times New Roman" w:cs="Times New Roman"/>
          <w:color w:val="000000"/>
          <w:sz w:val="24"/>
          <w:szCs w:val="24"/>
        </w:rPr>
        <w:t xml:space="preserve"> a </w:t>
      </w:r>
      <w:r w:rsidR="00D4430C" w:rsidRPr="004D2FF7">
        <w:rPr>
          <w:rFonts w:ascii="Times New Roman" w:eastAsia="Calibri" w:hAnsi="Times New Roman" w:cs="Times New Roman"/>
          <w:color w:val="000000"/>
          <w:sz w:val="24"/>
          <w:szCs w:val="24"/>
        </w:rPr>
        <w:t>autoturismului</w:t>
      </w:r>
      <w:r w:rsidR="00454AF4" w:rsidRPr="004D2FF7">
        <w:rPr>
          <w:rFonts w:ascii="Times New Roman" w:eastAsia="Calibri" w:hAnsi="Times New Roman" w:cs="Times New Roman"/>
          <w:color w:val="000000"/>
          <w:sz w:val="24"/>
          <w:szCs w:val="24"/>
        </w:rPr>
        <w:t>, inclusiv piesele de schimb</w:t>
      </w:r>
      <w:r w:rsidR="00794A12" w:rsidRPr="004D2FF7">
        <w:rPr>
          <w:rFonts w:ascii="Times New Roman" w:eastAsia="Calibri" w:hAnsi="Times New Roman" w:cs="Times New Roman"/>
          <w:color w:val="000000"/>
          <w:sz w:val="24"/>
          <w:szCs w:val="24"/>
        </w:rPr>
        <w:t xml:space="preserve"> </w:t>
      </w:r>
      <w:r w:rsidR="00B72177" w:rsidRPr="004D2FF7">
        <w:rPr>
          <w:rFonts w:ascii="Times New Roman" w:eastAsia="Calibri" w:hAnsi="Times New Roman" w:cs="Times New Roman"/>
          <w:color w:val="000000"/>
          <w:sz w:val="24"/>
          <w:szCs w:val="24"/>
        </w:rPr>
        <w:t>constituie 29,6 mii lei,</w:t>
      </w:r>
      <w:r w:rsidR="00684940" w:rsidRPr="004D2FF7">
        <w:rPr>
          <w:rFonts w:ascii="Times New Roman" w:eastAsia="Calibri" w:hAnsi="Times New Roman" w:cs="Times New Roman"/>
          <w:color w:val="000000"/>
          <w:sz w:val="24"/>
          <w:szCs w:val="24"/>
        </w:rPr>
        <w:t xml:space="preserve"> </w:t>
      </w:r>
      <w:r w:rsidR="000573FC" w:rsidRPr="004D2FF7">
        <w:rPr>
          <w:rFonts w:ascii="Times New Roman" w:eastAsia="Calibri" w:hAnsi="Times New Roman" w:cs="Times New Roman"/>
          <w:color w:val="000000"/>
          <w:sz w:val="24"/>
          <w:szCs w:val="24"/>
        </w:rPr>
        <w:t>de fapt</w:t>
      </w:r>
      <w:r w:rsidR="00684940" w:rsidRPr="004D2FF7">
        <w:rPr>
          <w:rFonts w:ascii="Times New Roman" w:eastAsia="Calibri" w:hAnsi="Times New Roman" w:cs="Times New Roman"/>
          <w:color w:val="000000"/>
          <w:sz w:val="24"/>
          <w:szCs w:val="24"/>
        </w:rPr>
        <w:t xml:space="preserve"> CNPDCP a încheiat </w:t>
      </w:r>
      <w:r w:rsidR="00B72177" w:rsidRPr="004D2FF7">
        <w:rPr>
          <w:rFonts w:ascii="Times New Roman" w:eastAsia="Calibri" w:hAnsi="Times New Roman" w:cs="Times New Roman"/>
          <w:color w:val="000000"/>
          <w:sz w:val="24"/>
          <w:szCs w:val="24"/>
        </w:rPr>
        <w:t xml:space="preserve">contractul </w:t>
      </w:r>
      <w:r w:rsidR="000573FC" w:rsidRPr="004D2FF7">
        <w:rPr>
          <w:rFonts w:ascii="Times New Roman" w:eastAsia="Calibri" w:hAnsi="Times New Roman" w:cs="Times New Roman"/>
          <w:color w:val="000000"/>
          <w:sz w:val="24"/>
          <w:szCs w:val="24"/>
        </w:rPr>
        <w:t>cu un alt operator economic</w:t>
      </w:r>
      <w:r w:rsidR="00B93AB6" w:rsidRPr="004D2FF7">
        <w:rPr>
          <w:rFonts w:ascii="Times New Roman" w:hAnsi="Times New Roman" w:cs="Times New Roman"/>
          <w:sz w:val="24"/>
          <w:szCs w:val="24"/>
        </w:rPr>
        <w:t>,</w:t>
      </w:r>
      <w:r w:rsidR="000573FC" w:rsidRPr="004D2FF7">
        <w:rPr>
          <w:rFonts w:ascii="Times New Roman" w:eastAsia="Calibri" w:hAnsi="Times New Roman" w:cs="Times New Roman"/>
          <w:color w:val="000000"/>
          <w:sz w:val="24"/>
          <w:szCs w:val="24"/>
        </w:rPr>
        <w:t xml:space="preserve"> potrivit căruia reparația </w:t>
      </w:r>
      <w:r w:rsidR="00454AF4" w:rsidRPr="004D2FF7">
        <w:rPr>
          <w:rFonts w:ascii="Times New Roman" w:eastAsia="Calibri" w:hAnsi="Times New Roman" w:cs="Times New Roman"/>
          <w:color w:val="000000"/>
          <w:sz w:val="24"/>
          <w:szCs w:val="24"/>
        </w:rPr>
        <w:t>cutiei</w:t>
      </w:r>
      <w:r w:rsidR="000573FC" w:rsidRPr="004D2FF7">
        <w:rPr>
          <w:rFonts w:ascii="Times New Roman" w:eastAsia="Calibri" w:hAnsi="Times New Roman" w:cs="Times New Roman"/>
          <w:color w:val="000000"/>
          <w:sz w:val="24"/>
          <w:szCs w:val="24"/>
        </w:rPr>
        <w:t xml:space="preserve"> de viteză</w:t>
      </w:r>
      <w:r w:rsidR="00B93AB6" w:rsidRPr="004D2FF7">
        <w:rPr>
          <w:rFonts w:ascii="Times New Roman" w:eastAsia="Calibri" w:hAnsi="Times New Roman" w:cs="Times New Roman"/>
          <w:color w:val="000000"/>
          <w:sz w:val="24"/>
          <w:szCs w:val="24"/>
        </w:rPr>
        <w:t xml:space="preserve"> automat</w:t>
      </w:r>
      <w:r w:rsidR="00FF6244" w:rsidRPr="004D2FF7">
        <w:rPr>
          <w:rFonts w:ascii="Times New Roman" w:eastAsia="Calibri" w:hAnsi="Times New Roman" w:cs="Times New Roman"/>
          <w:color w:val="000000"/>
          <w:sz w:val="24"/>
          <w:szCs w:val="24"/>
        </w:rPr>
        <w:t>ă</w:t>
      </w:r>
      <w:r w:rsidR="000573FC" w:rsidRPr="004D2FF7">
        <w:rPr>
          <w:rFonts w:ascii="Times New Roman" w:eastAsia="Calibri" w:hAnsi="Times New Roman" w:cs="Times New Roman"/>
          <w:color w:val="000000"/>
          <w:sz w:val="24"/>
          <w:szCs w:val="24"/>
        </w:rPr>
        <w:t xml:space="preserve"> a </w:t>
      </w:r>
      <w:r w:rsidR="00D4430C" w:rsidRPr="004D2FF7">
        <w:rPr>
          <w:rFonts w:ascii="Times New Roman" w:eastAsia="Calibri" w:hAnsi="Times New Roman" w:cs="Times New Roman"/>
          <w:color w:val="000000"/>
          <w:sz w:val="24"/>
          <w:szCs w:val="24"/>
        </w:rPr>
        <w:t>autoturismului</w:t>
      </w:r>
      <w:r w:rsidR="000573FC" w:rsidRPr="004D2FF7">
        <w:rPr>
          <w:rFonts w:ascii="Times New Roman" w:eastAsia="Calibri" w:hAnsi="Times New Roman" w:cs="Times New Roman"/>
          <w:color w:val="000000"/>
          <w:sz w:val="24"/>
          <w:szCs w:val="24"/>
        </w:rPr>
        <w:t xml:space="preserve"> Chevrolet Captiva a </w:t>
      </w:r>
      <w:r w:rsidR="00AB37CD" w:rsidRPr="004D2FF7">
        <w:rPr>
          <w:rFonts w:ascii="Times New Roman" w:eastAsia="Calibri" w:hAnsi="Times New Roman" w:cs="Times New Roman"/>
          <w:color w:val="000000"/>
          <w:sz w:val="24"/>
          <w:szCs w:val="24"/>
        </w:rPr>
        <w:t>costat</w:t>
      </w:r>
      <w:r w:rsidR="000573FC" w:rsidRPr="004D2FF7">
        <w:rPr>
          <w:rFonts w:ascii="Times New Roman" w:eastAsia="Calibri" w:hAnsi="Times New Roman" w:cs="Times New Roman"/>
          <w:color w:val="000000"/>
          <w:sz w:val="24"/>
          <w:szCs w:val="24"/>
        </w:rPr>
        <w:t xml:space="preserve"> </w:t>
      </w:r>
      <w:r w:rsidR="00B72177" w:rsidRPr="004D2FF7">
        <w:rPr>
          <w:rFonts w:ascii="Times New Roman" w:eastAsia="Calibri" w:hAnsi="Times New Roman" w:cs="Times New Roman"/>
          <w:color w:val="000000"/>
          <w:sz w:val="24"/>
          <w:szCs w:val="24"/>
        </w:rPr>
        <w:t>59,5 mii lei</w:t>
      </w:r>
      <w:r w:rsidR="00026D4F">
        <w:rPr>
          <w:rFonts w:ascii="Times New Roman" w:eastAsia="Calibri" w:hAnsi="Times New Roman" w:cs="Times New Roman"/>
          <w:color w:val="000000"/>
          <w:sz w:val="24"/>
          <w:szCs w:val="24"/>
        </w:rPr>
        <w:t>,</w:t>
      </w:r>
      <w:r w:rsidR="000573FC" w:rsidRPr="004D2FF7">
        <w:rPr>
          <w:rFonts w:ascii="Times New Roman" w:eastAsia="Calibri" w:hAnsi="Times New Roman" w:cs="Times New Roman"/>
          <w:color w:val="000000"/>
          <w:sz w:val="24"/>
          <w:szCs w:val="24"/>
        </w:rPr>
        <w:t xml:space="preserve"> sau cu 29,9 mii lei</w:t>
      </w:r>
      <w:r w:rsidR="00B93AB6" w:rsidRPr="004D2FF7">
        <w:rPr>
          <w:rFonts w:ascii="Times New Roman" w:eastAsia="Calibri" w:hAnsi="Times New Roman" w:cs="Times New Roman"/>
          <w:color w:val="000000"/>
          <w:sz w:val="24"/>
          <w:szCs w:val="24"/>
        </w:rPr>
        <w:t xml:space="preserve"> mai</w:t>
      </w:r>
      <w:r w:rsidR="000573FC" w:rsidRPr="004D2FF7">
        <w:rPr>
          <w:rFonts w:ascii="Times New Roman" w:eastAsia="Calibri" w:hAnsi="Times New Roman" w:cs="Times New Roman"/>
          <w:color w:val="000000"/>
          <w:sz w:val="24"/>
          <w:szCs w:val="24"/>
        </w:rPr>
        <w:t xml:space="preserve"> scump</w:t>
      </w:r>
      <w:r w:rsidR="00D64924" w:rsidRPr="004D2FF7">
        <w:rPr>
          <w:rFonts w:ascii="Times New Roman" w:eastAsia="Calibri" w:hAnsi="Times New Roman" w:cs="Times New Roman"/>
          <w:color w:val="000000"/>
          <w:sz w:val="24"/>
          <w:szCs w:val="24"/>
        </w:rPr>
        <w:t xml:space="preserve"> decât</w:t>
      </w:r>
      <w:r w:rsidR="00FB7863" w:rsidRPr="004D2FF7">
        <w:rPr>
          <w:rFonts w:ascii="Times New Roman" w:eastAsia="Calibri" w:hAnsi="Times New Roman" w:cs="Times New Roman"/>
          <w:color w:val="000000"/>
          <w:sz w:val="24"/>
          <w:szCs w:val="24"/>
        </w:rPr>
        <w:t xml:space="preserve"> costul serviciilor oferite de </w:t>
      </w:r>
      <w:r w:rsidR="00D64924" w:rsidRPr="004D2FF7">
        <w:rPr>
          <w:rFonts w:ascii="Times New Roman" w:eastAsia="Calibri" w:hAnsi="Times New Roman" w:cs="Times New Roman"/>
          <w:color w:val="000000"/>
          <w:sz w:val="24"/>
          <w:szCs w:val="24"/>
        </w:rPr>
        <w:t>distribuitorul oficial</w:t>
      </w:r>
      <w:r w:rsidR="00B93AB6" w:rsidRPr="004D2FF7">
        <w:rPr>
          <w:rFonts w:ascii="Times New Roman" w:eastAsia="Calibri" w:hAnsi="Times New Roman" w:cs="Times New Roman"/>
          <w:color w:val="000000"/>
          <w:sz w:val="24"/>
          <w:szCs w:val="24"/>
        </w:rPr>
        <w:t xml:space="preserve">, nefiind </w:t>
      </w:r>
      <w:r w:rsidR="00B93AB6" w:rsidRPr="004D2FF7">
        <w:rPr>
          <w:rFonts w:ascii="Times New Roman" w:hAnsi="Times New Roman" w:cs="Times New Roman"/>
          <w:sz w:val="24"/>
          <w:szCs w:val="24"/>
        </w:rPr>
        <w:t>solicitate ofertele altor operatori economici pentru a organiza o concurență de oferte</w:t>
      </w:r>
      <w:r w:rsidR="00B72177" w:rsidRPr="004D2FF7">
        <w:rPr>
          <w:rFonts w:ascii="Times New Roman" w:eastAsia="Calibri" w:hAnsi="Times New Roman" w:cs="Times New Roman"/>
          <w:color w:val="000000"/>
          <w:sz w:val="24"/>
          <w:szCs w:val="24"/>
        </w:rPr>
        <w:t xml:space="preserve">. </w:t>
      </w:r>
      <w:r w:rsidR="00B93AB6" w:rsidRPr="004D2FF7">
        <w:rPr>
          <w:rFonts w:ascii="Times New Roman" w:eastAsia="Calibri" w:hAnsi="Times New Roman" w:cs="Times New Roman"/>
          <w:color w:val="000000"/>
          <w:sz w:val="24"/>
          <w:szCs w:val="24"/>
        </w:rPr>
        <w:t xml:space="preserve">Se </w:t>
      </w:r>
      <w:r w:rsidR="00B72177" w:rsidRPr="004D2FF7">
        <w:rPr>
          <w:rFonts w:ascii="Times New Roman" w:eastAsia="Calibri" w:hAnsi="Times New Roman" w:cs="Times New Roman"/>
          <w:color w:val="000000"/>
          <w:sz w:val="24"/>
          <w:szCs w:val="24"/>
        </w:rPr>
        <w:t>mențion</w:t>
      </w:r>
      <w:r w:rsidR="00B93AB6" w:rsidRPr="004D2FF7">
        <w:rPr>
          <w:rFonts w:ascii="Times New Roman" w:eastAsia="Calibri" w:hAnsi="Times New Roman" w:cs="Times New Roman"/>
          <w:color w:val="000000"/>
          <w:sz w:val="24"/>
          <w:szCs w:val="24"/>
        </w:rPr>
        <w:t>ează</w:t>
      </w:r>
      <w:r w:rsidR="00B72177" w:rsidRPr="004D2FF7">
        <w:rPr>
          <w:rFonts w:ascii="Times New Roman" w:eastAsia="Calibri" w:hAnsi="Times New Roman" w:cs="Times New Roman"/>
          <w:color w:val="000000"/>
          <w:sz w:val="24"/>
          <w:szCs w:val="24"/>
        </w:rPr>
        <w:t xml:space="preserve"> și faptul informării </w:t>
      </w:r>
      <w:r w:rsidR="00812701" w:rsidRPr="004D2FF7">
        <w:rPr>
          <w:rFonts w:ascii="Times New Roman" w:eastAsia="Calibri" w:hAnsi="Times New Roman" w:cs="Times New Roman"/>
          <w:color w:val="000000"/>
          <w:sz w:val="24"/>
          <w:szCs w:val="24"/>
        </w:rPr>
        <w:t xml:space="preserve">eronate a </w:t>
      </w:r>
      <w:r w:rsidR="00B72177" w:rsidRPr="004D2FF7">
        <w:rPr>
          <w:rFonts w:ascii="Times New Roman" w:eastAsia="Calibri" w:hAnsi="Times New Roman" w:cs="Times New Roman"/>
          <w:color w:val="000000"/>
          <w:sz w:val="24"/>
          <w:szCs w:val="24"/>
        </w:rPr>
        <w:t>conducerii CNPDCP</w:t>
      </w:r>
      <w:r w:rsidR="00B54B8E" w:rsidRPr="004D2FF7">
        <w:rPr>
          <w:rFonts w:ascii="Times New Roman" w:eastAsia="Calibri" w:hAnsi="Times New Roman" w:cs="Times New Roman"/>
          <w:color w:val="000000"/>
          <w:sz w:val="24"/>
          <w:szCs w:val="24"/>
        </w:rPr>
        <w:t>,</w:t>
      </w:r>
      <w:r w:rsidR="00B72177" w:rsidRPr="004D2FF7">
        <w:rPr>
          <w:rFonts w:ascii="Times New Roman" w:eastAsia="Calibri" w:hAnsi="Times New Roman" w:cs="Times New Roman"/>
          <w:color w:val="000000"/>
          <w:sz w:val="24"/>
          <w:szCs w:val="24"/>
        </w:rPr>
        <w:t xml:space="preserve"> în baza unei note de serviciu</w:t>
      </w:r>
      <w:r w:rsidR="00B54B8E" w:rsidRPr="004D2FF7">
        <w:rPr>
          <w:rStyle w:val="FootnoteReference"/>
          <w:rFonts w:ascii="Times New Roman" w:eastAsia="Calibri" w:hAnsi="Times New Roman" w:cs="Times New Roman"/>
          <w:color w:val="000000"/>
          <w:sz w:val="24"/>
          <w:szCs w:val="24"/>
        </w:rPr>
        <w:footnoteReference w:id="98"/>
      </w:r>
      <w:r w:rsidR="00B72177" w:rsidRPr="004D2FF7">
        <w:rPr>
          <w:rFonts w:ascii="Times New Roman" w:eastAsia="Calibri" w:hAnsi="Times New Roman" w:cs="Times New Roman"/>
          <w:color w:val="000000"/>
          <w:sz w:val="24"/>
          <w:szCs w:val="24"/>
        </w:rPr>
        <w:t>, precum că reparația cutiei de viteză automat</w:t>
      </w:r>
      <w:r w:rsidR="00FF6244" w:rsidRPr="004D2FF7">
        <w:rPr>
          <w:rFonts w:ascii="Times New Roman" w:eastAsia="Calibri" w:hAnsi="Times New Roman" w:cs="Times New Roman"/>
          <w:color w:val="000000"/>
          <w:sz w:val="24"/>
          <w:szCs w:val="24"/>
        </w:rPr>
        <w:t>ă</w:t>
      </w:r>
      <w:r w:rsidR="00B72177" w:rsidRPr="004D2FF7">
        <w:rPr>
          <w:rFonts w:ascii="Times New Roman" w:eastAsia="Calibri" w:hAnsi="Times New Roman" w:cs="Times New Roman"/>
          <w:color w:val="000000"/>
          <w:sz w:val="24"/>
          <w:szCs w:val="24"/>
        </w:rPr>
        <w:t xml:space="preserve"> a </w:t>
      </w:r>
      <w:r w:rsidR="00D4430C" w:rsidRPr="004D2FF7">
        <w:rPr>
          <w:rFonts w:ascii="Times New Roman" w:eastAsia="Calibri" w:hAnsi="Times New Roman" w:cs="Times New Roman"/>
          <w:color w:val="000000"/>
          <w:sz w:val="24"/>
          <w:szCs w:val="24"/>
        </w:rPr>
        <w:t>autoturismului</w:t>
      </w:r>
      <w:r w:rsidR="006A3EC4" w:rsidRPr="004D2FF7">
        <w:rPr>
          <w:rFonts w:ascii="Times New Roman" w:eastAsia="Calibri" w:hAnsi="Times New Roman" w:cs="Times New Roman"/>
          <w:color w:val="000000"/>
          <w:sz w:val="24"/>
          <w:szCs w:val="24"/>
        </w:rPr>
        <w:t xml:space="preserve"> nominalizat</w:t>
      </w:r>
      <w:r w:rsidR="00B72177" w:rsidRPr="004D2FF7">
        <w:rPr>
          <w:rFonts w:ascii="Times New Roman" w:eastAsia="Calibri" w:hAnsi="Times New Roman" w:cs="Times New Roman"/>
          <w:color w:val="000000"/>
          <w:sz w:val="24"/>
          <w:szCs w:val="24"/>
        </w:rPr>
        <w:t xml:space="preserve"> </w:t>
      </w:r>
      <w:r w:rsidR="00B93AB6" w:rsidRPr="004D2FF7">
        <w:rPr>
          <w:rFonts w:ascii="Times New Roman" w:eastAsia="Calibri" w:hAnsi="Times New Roman" w:cs="Times New Roman"/>
          <w:color w:val="000000"/>
          <w:sz w:val="24"/>
          <w:szCs w:val="24"/>
        </w:rPr>
        <w:t>ar costa</w:t>
      </w:r>
      <w:r w:rsidR="00B72177" w:rsidRPr="004D2FF7">
        <w:rPr>
          <w:rFonts w:ascii="Times New Roman" w:eastAsia="Calibri" w:hAnsi="Times New Roman" w:cs="Times New Roman"/>
          <w:color w:val="000000"/>
          <w:sz w:val="24"/>
          <w:szCs w:val="24"/>
        </w:rPr>
        <w:t xml:space="preserve"> 100</w:t>
      </w:r>
      <w:r w:rsidR="00B93AB6" w:rsidRPr="004D2FF7">
        <w:rPr>
          <w:rFonts w:ascii="Times New Roman" w:eastAsia="Calibri" w:hAnsi="Times New Roman" w:cs="Times New Roman"/>
          <w:color w:val="000000"/>
          <w:sz w:val="24"/>
          <w:szCs w:val="24"/>
        </w:rPr>
        <w:t>,0</w:t>
      </w:r>
      <w:r w:rsidR="00B72177" w:rsidRPr="004D2FF7">
        <w:rPr>
          <w:rFonts w:ascii="Times New Roman" w:eastAsia="Calibri" w:hAnsi="Times New Roman" w:cs="Times New Roman"/>
          <w:color w:val="000000"/>
          <w:sz w:val="24"/>
          <w:szCs w:val="24"/>
        </w:rPr>
        <w:t xml:space="preserve"> mii lei, iar procurarea unei cutii noi </w:t>
      </w:r>
      <w:r w:rsidR="006A3EC4" w:rsidRPr="004D2FF7">
        <w:rPr>
          <w:rFonts w:ascii="Times New Roman" w:eastAsia="Calibri" w:hAnsi="Times New Roman" w:cs="Times New Roman"/>
          <w:color w:val="000000"/>
          <w:sz w:val="24"/>
          <w:szCs w:val="24"/>
        </w:rPr>
        <w:t xml:space="preserve">- </w:t>
      </w:r>
      <w:r w:rsidR="00B72177" w:rsidRPr="004D2FF7">
        <w:rPr>
          <w:rFonts w:ascii="Times New Roman" w:eastAsia="Calibri" w:hAnsi="Times New Roman" w:cs="Times New Roman"/>
          <w:color w:val="000000"/>
          <w:sz w:val="24"/>
          <w:szCs w:val="24"/>
        </w:rPr>
        <w:t>200</w:t>
      </w:r>
      <w:r w:rsidR="00B93AB6" w:rsidRPr="004D2FF7">
        <w:rPr>
          <w:rFonts w:ascii="Times New Roman" w:eastAsia="Calibri" w:hAnsi="Times New Roman" w:cs="Times New Roman"/>
          <w:color w:val="000000"/>
          <w:sz w:val="24"/>
          <w:szCs w:val="24"/>
        </w:rPr>
        <w:t>,0</w:t>
      </w:r>
      <w:r w:rsidR="00B72177" w:rsidRPr="004D2FF7">
        <w:rPr>
          <w:rFonts w:ascii="Times New Roman" w:eastAsia="Calibri" w:hAnsi="Times New Roman" w:cs="Times New Roman"/>
          <w:color w:val="000000"/>
          <w:sz w:val="24"/>
          <w:szCs w:val="24"/>
        </w:rPr>
        <w:t xml:space="preserve"> mii lei</w:t>
      </w:r>
      <w:r w:rsidR="00523F57" w:rsidRPr="004D2FF7">
        <w:rPr>
          <w:rFonts w:ascii="Times New Roman" w:eastAsia="Calibri" w:hAnsi="Times New Roman" w:cs="Times New Roman"/>
          <w:color w:val="000000"/>
          <w:sz w:val="24"/>
          <w:szCs w:val="24"/>
        </w:rPr>
        <w:t xml:space="preserve">, deși </w:t>
      </w:r>
      <w:r w:rsidR="00D4430C" w:rsidRPr="004D2FF7">
        <w:rPr>
          <w:rFonts w:ascii="Times New Roman" w:eastAsia="Calibri" w:hAnsi="Times New Roman" w:cs="Times New Roman"/>
          <w:color w:val="000000"/>
          <w:sz w:val="24"/>
          <w:szCs w:val="24"/>
        </w:rPr>
        <w:t>autoturismul</w:t>
      </w:r>
      <w:r w:rsidR="00454AF4" w:rsidRPr="004D2FF7">
        <w:rPr>
          <w:rFonts w:ascii="Times New Roman" w:eastAsia="Calibri" w:hAnsi="Times New Roman" w:cs="Times New Roman"/>
          <w:color w:val="000000"/>
          <w:sz w:val="24"/>
          <w:szCs w:val="24"/>
        </w:rPr>
        <w:t xml:space="preserve"> costa</w:t>
      </w:r>
      <w:r w:rsidR="00523F57" w:rsidRPr="004D2FF7">
        <w:rPr>
          <w:rFonts w:ascii="Times New Roman" w:eastAsia="Calibri" w:hAnsi="Times New Roman" w:cs="Times New Roman"/>
          <w:color w:val="000000"/>
          <w:sz w:val="24"/>
          <w:szCs w:val="24"/>
        </w:rPr>
        <w:t xml:space="preserve"> 325</w:t>
      </w:r>
      <w:r w:rsidR="00FB7863" w:rsidRPr="004D2FF7">
        <w:rPr>
          <w:rFonts w:ascii="Times New Roman" w:eastAsia="Calibri" w:hAnsi="Times New Roman" w:cs="Times New Roman"/>
          <w:color w:val="000000"/>
          <w:sz w:val="24"/>
          <w:szCs w:val="24"/>
        </w:rPr>
        <w:t>,0</w:t>
      </w:r>
      <w:r w:rsidR="00523F57" w:rsidRPr="004D2FF7">
        <w:rPr>
          <w:rFonts w:ascii="Times New Roman" w:eastAsia="Calibri" w:hAnsi="Times New Roman" w:cs="Times New Roman"/>
          <w:color w:val="000000"/>
          <w:sz w:val="24"/>
          <w:szCs w:val="24"/>
        </w:rPr>
        <w:t xml:space="preserve"> mii lei</w:t>
      </w:r>
      <w:r w:rsidR="00B72177" w:rsidRPr="004D2FF7">
        <w:rPr>
          <w:rFonts w:ascii="Times New Roman" w:eastAsia="Calibri" w:hAnsi="Times New Roman" w:cs="Times New Roman"/>
          <w:color w:val="000000"/>
          <w:sz w:val="24"/>
          <w:szCs w:val="24"/>
        </w:rPr>
        <w:t xml:space="preserve">. </w:t>
      </w:r>
      <w:r w:rsidR="00527D9F" w:rsidRPr="004D2FF7">
        <w:rPr>
          <w:rFonts w:ascii="Times New Roman" w:eastAsia="Calibri" w:hAnsi="Times New Roman" w:cs="Times New Roman"/>
          <w:color w:val="000000"/>
          <w:sz w:val="24"/>
          <w:szCs w:val="24"/>
        </w:rPr>
        <w:t>Prin urmare</w:t>
      </w:r>
      <w:r w:rsidR="00026D4F">
        <w:rPr>
          <w:rFonts w:ascii="Times New Roman" w:eastAsia="Calibri" w:hAnsi="Times New Roman" w:cs="Times New Roman"/>
          <w:color w:val="000000"/>
          <w:sz w:val="24"/>
          <w:szCs w:val="24"/>
        </w:rPr>
        <w:t>,</w:t>
      </w:r>
      <w:r w:rsidR="00527D9F" w:rsidRPr="004D2FF7">
        <w:rPr>
          <w:rFonts w:ascii="Times New Roman" w:eastAsia="Calibri" w:hAnsi="Times New Roman" w:cs="Times New Roman"/>
          <w:color w:val="000000"/>
          <w:sz w:val="24"/>
          <w:szCs w:val="24"/>
        </w:rPr>
        <w:t xml:space="preserve"> </w:t>
      </w:r>
      <w:r w:rsidR="00B72177" w:rsidRPr="004D2FF7">
        <w:rPr>
          <w:rFonts w:ascii="Times New Roman" w:eastAsia="Calibri" w:hAnsi="Times New Roman" w:cs="Times New Roman"/>
          <w:color w:val="000000"/>
          <w:sz w:val="24"/>
          <w:szCs w:val="24"/>
        </w:rPr>
        <w:t>auditul denotă fa</w:t>
      </w:r>
      <w:r w:rsidR="00812701" w:rsidRPr="004D2FF7">
        <w:rPr>
          <w:rFonts w:ascii="Times New Roman" w:eastAsia="Calibri" w:hAnsi="Times New Roman" w:cs="Times New Roman"/>
          <w:color w:val="000000"/>
          <w:sz w:val="24"/>
          <w:szCs w:val="24"/>
        </w:rPr>
        <w:t xml:space="preserve">ptul că deficiențele existente </w:t>
      </w:r>
      <w:r w:rsidR="00B72177" w:rsidRPr="004D2FF7">
        <w:rPr>
          <w:rFonts w:ascii="Times New Roman" w:eastAsia="Calibri" w:hAnsi="Times New Roman" w:cs="Times New Roman"/>
          <w:color w:val="000000"/>
          <w:sz w:val="24"/>
          <w:szCs w:val="24"/>
        </w:rPr>
        <w:t>în cadrul CNPDCP</w:t>
      </w:r>
      <w:r w:rsidR="00812701" w:rsidRPr="004D2FF7">
        <w:rPr>
          <w:rFonts w:ascii="Times New Roman" w:eastAsia="Calibri" w:hAnsi="Times New Roman" w:cs="Times New Roman"/>
          <w:color w:val="000000"/>
          <w:sz w:val="24"/>
          <w:szCs w:val="24"/>
        </w:rPr>
        <w:t xml:space="preserve"> din lipsa controlului intern</w:t>
      </w:r>
      <w:r w:rsidR="00B72177" w:rsidRPr="004D2FF7">
        <w:rPr>
          <w:rFonts w:ascii="Times New Roman" w:eastAsia="Calibri" w:hAnsi="Times New Roman" w:cs="Times New Roman"/>
          <w:color w:val="000000"/>
          <w:sz w:val="24"/>
          <w:szCs w:val="24"/>
        </w:rPr>
        <w:t xml:space="preserve"> s-au soldat cu achiziția serviciilor de reparație auto la prețuri exagerate, iar cheltuielile aferente acestor servicii </w:t>
      </w:r>
      <w:r w:rsidR="00B93AB6" w:rsidRPr="004D2FF7">
        <w:rPr>
          <w:rFonts w:ascii="Times New Roman" w:eastAsia="Calibri" w:hAnsi="Times New Roman" w:cs="Times New Roman"/>
          <w:color w:val="000000"/>
          <w:sz w:val="24"/>
          <w:szCs w:val="24"/>
        </w:rPr>
        <w:t xml:space="preserve">sunt </w:t>
      </w:r>
      <w:r w:rsidR="00B72177" w:rsidRPr="004D2FF7">
        <w:rPr>
          <w:rFonts w:ascii="Times New Roman" w:eastAsia="Calibri" w:hAnsi="Times New Roman" w:cs="Times New Roman"/>
          <w:color w:val="000000"/>
          <w:sz w:val="24"/>
          <w:szCs w:val="24"/>
        </w:rPr>
        <w:t>ineficiente</w:t>
      </w:r>
      <w:r w:rsidR="00B6588E" w:rsidRPr="004D2FF7">
        <w:rPr>
          <w:rFonts w:ascii="Times New Roman" w:eastAsia="Calibri" w:hAnsi="Times New Roman" w:cs="Times New Roman"/>
          <w:color w:val="000000"/>
          <w:sz w:val="24"/>
          <w:szCs w:val="24"/>
        </w:rPr>
        <w:t xml:space="preserve"> (29,9 mii lei)</w:t>
      </w:r>
      <w:r w:rsidR="00B72177" w:rsidRPr="004D2FF7">
        <w:rPr>
          <w:rFonts w:ascii="Times New Roman" w:eastAsia="Calibri" w:hAnsi="Times New Roman" w:cs="Times New Roman"/>
          <w:color w:val="000000"/>
          <w:sz w:val="24"/>
          <w:szCs w:val="24"/>
        </w:rPr>
        <w:t>.</w:t>
      </w:r>
    </w:p>
    <w:p w14:paraId="5B6F42CC" w14:textId="5333953A" w:rsidR="0068611E" w:rsidRPr="004D2FF7" w:rsidRDefault="0068611E" w:rsidP="00612BF7">
      <w:pPr>
        <w:spacing w:after="120" w:line="276" w:lineRule="auto"/>
        <w:ind w:right="-93"/>
        <w:jc w:val="both"/>
        <w:rPr>
          <w:rFonts w:ascii="Times New Roman" w:hAnsi="Times New Roman" w:cs="Times New Roman"/>
          <w:sz w:val="24"/>
          <w:szCs w:val="24"/>
        </w:rPr>
      </w:pPr>
      <w:r w:rsidRPr="004D2FF7">
        <w:rPr>
          <w:rFonts w:ascii="Times New Roman" w:hAnsi="Times New Roman" w:cs="Times New Roman"/>
          <w:sz w:val="24"/>
          <w:szCs w:val="24"/>
        </w:rPr>
        <w:t xml:space="preserve">Contrar </w:t>
      </w:r>
      <w:r w:rsidR="0026451B" w:rsidRPr="004D2FF7">
        <w:rPr>
          <w:rFonts w:ascii="Times New Roman" w:hAnsi="Times New Roman" w:cs="Times New Roman"/>
          <w:sz w:val="24"/>
          <w:szCs w:val="24"/>
        </w:rPr>
        <w:t xml:space="preserve">prevederilor </w:t>
      </w:r>
      <w:r w:rsidR="00144BF0" w:rsidRPr="004D2FF7">
        <w:rPr>
          <w:rFonts w:ascii="Times New Roman" w:hAnsi="Times New Roman" w:cs="Times New Roman"/>
          <w:sz w:val="24"/>
          <w:szCs w:val="24"/>
        </w:rPr>
        <w:t>cadrului legal</w:t>
      </w:r>
      <w:r w:rsidRPr="004D2FF7">
        <w:rPr>
          <w:rStyle w:val="FootnoteReference"/>
          <w:rFonts w:ascii="Times New Roman" w:hAnsi="Times New Roman" w:cs="Times New Roman"/>
          <w:sz w:val="24"/>
          <w:szCs w:val="24"/>
        </w:rPr>
        <w:footnoteReference w:id="99"/>
      </w:r>
      <w:r w:rsidR="007207A6" w:rsidRPr="004D2FF7">
        <w:rPr>
          <w:rFonts w:ascii="Times New Roman" w:hAnsi="Times New Roman" w:cs="Times New Roman"/>
          <w:sz w:val="24"/>
          <w:szCs w:val="24"/>
        </w:rPr>
        <w:t>,</w:t>
      </w:r>
      <w:r w:rsidRPr="004D2FF7">
        <w:rPr>
          <w:rFonts w:ascii="Times New Roman" w:hAnsi="Times New Roman" w:cs="Times New Roman"/>
          <w:sz w:val="24"/>
          <w:szCs w:val="24"/>
        </w:rPr>
        <w:t xml:space="preserve"> CNPDCP a încheiat 3 contracte de achiziție a produselor petroliere în valoare de 175,0 mii lei, însă în specificația anexă la contract nu a indicat cantitatea și prețul produselor petroliere contractate, fiind stipulat numai disc</w:t>
      </w:r>
      <w:r w:rsidR="0026451B" w:rsidRPr="004D2FF7">
        <w:rPr>
          <w:rFonts w:ascii="Times New Roman" w:hAnsi="Times New Roman" w:cs="Times New Roman"/>
          <w:sz w:val="24"/>
          <w:szCs w:val="24"/>
        </w:rPr>
        <w:t>ou</w:t>
      </w:r>
      <w:r w:rsidR="00527D9F" w:rsidRPr="004D2FF7">
        <w:rPr>
          <w:rFonts w:ascii="Times New Roman" w:hAnsi="Times New Roman" w:cs="Times New Roman"/>
          <w:sz w:val="24"/>
          <w:szCs w:val="24"/>
        </w:rPr>
        <w:t>nt</w:t>
      </w:r>
      <w:r w:rsidR="0026451B" w:rsidRPr="004D2FF7">
        <w:rPr>
          <w:rFonts w:ascii="Times New Roman" w:hAnsi="Times New Roman" w:cs="Times New Roman"/>
          <w:sz w:val="24"/>
          <w:szCs w:val="24"/>
        </w:rPr>
        <w:t>-ul</w:t>
      </w:r>
      <w:r w:rsidRPr="004D2FF7">
        <w:rPr>
          <w:rFonts w:ascii="Times New Roman" w:hAnsi="Times New Roman" w:cs="Times New Roman"/>
          <w:sz w:val="24"/>
          <w:szCs w:val="24"/>
        </w:rPr>
        <w:t xml:space="preserve"> în % și valoarea bunurilor. Analogic, CNPDCP</w:t>
      </w:r>
      <w:r w:rsidR="00026D4F">
        <w:rPr>
          <w:rFonts w:ascii="Times New Roman" w:hAnsi="Times New Roman" w:cs="Times New Roman"/>
          <w:sz w:val="24"/>
          <w:szCs w:val="24"/>
        </w:rPr>
        <w:t>,</w:t>
      </w:r>
      <w:r w:rsidRPr="004D2FF7">
        <w:rPr>
          <w:rFonts w:ascii="Times New Roman" w:hAnsi="Times New Roman" w:cs="Times New Roman"/>
          <w:sz w:val="24"/>
          <w:szCs w:val="24"/>
        </w:rPr>
        <w:t xml:space="preserve"> </w:t>
      </w:r>
      <w:r w:rsidR="00674C24" w:rsidRPr="004D2FF7">
        <w:rPr>
          <w:rFonts w:ascii="Times New Roman" w:hAnsi="Times New Roman" w:cs="Times New Roman"/>
          <w:sz w:val="24"/>
          <w:szCs w:val="24"/>
        </w:rPr>
        <w:t xml:space="preserve">nerespectând </w:t>
      </w:r>
      <w:r w:rsidR="0026451B" w:rsidRPr="004D2FF7">
        <w:rPr>
          <w:rFonts w:ascii="Times New Roman" w:hAnsi="Times New Roman" w:cs="Times New Roman"/>
          <w:sz w:val="24"/>
          <w:szCs w:val="24"/>
        </w:rPr>
        <w:t xml:space="preserve">cerințele </w:t>
      </w:r>
      <w:r w:rsidR="00674C24" w:rsidRPr="004D2FF7">
        <w:rPr>
          <w:rFonts w:ascii="Times New Roman" w:hAnsi="Times New Roman" w:cs="Times New Roman"/>
          <w:sz w:val="24"/>
          <w:szCs w:val="24"/>
        </w:rPr>
        <w:t>documentați</w:t>
      </w:r>
      <w:r w:rsidR="0026451B" w:rsidRPr="004D2FF7">
        <w:rPr>
          <w:rFonts w:ascii="Times New Roman" w:hAnsi="Times New Roman" w:cs="Times New Roman"/>
          <w:sz w:val="24"/>
          <w:szCs w:val="24"/>
        </w:rPr>
        <w:t>ei</w:t>
      </w:r>
      <w:r w:rsidR="00674C24" w:rsidRPr="004D2FF7">
        <w:rPr>
          <w:rFonts w:ascii="Times New Roman" w:hAnsi="Times New Roman" w:cs="Times New Roman"/>
          <w:sz w:val="24"/>
          <w:szCs w:val="24"/>
        </w:rPr>
        <w:t xml:space="preserve"> standard</w:t>
      </w:r>
      <w:r w:rsidRPr="004D2FF7">
        <w:rPr>
          <w:rStyle w:val="FootnoteReference"/>
          <w:rFonts w:ascii="Times New Roman" w:hAnsi="Times New Roman" w:cs="Times New Roman"/>
          <w:sz w:val="24"/>
          <w:szCs w:val="24"/>
        </w:rPr>
        <w:footnoteReference w:id="100"/>
      </w:r>
      <w:r w:rsidR="00026D4F">
        <w:rPr>
          <w:rFonts w:ascii="Times New Roman" w:hAnsi="Times New Roman" w:cs="Times New Roman"/>
          <w:sz w:val="24"/>
          <w:szCs w:val="24"/>
        </w:rPr>
        <w:t>,</w:t>
      </w:r>
      <w:r w:rsidRPr="004D2FF7">
        <w:rPr>
          <w:rFonts w:ascii="Times New Roman" w:hAnsi="Times New Roman" w:cs="Times New Roman"/>
          <w:sz w:val="24"/>
          <w:szCs w:val="24"/>
        </w:rPr>
        <w:t xml:space="preserve"> a încheiat 10 contracte de achiziție în valoare de 196,7 mii lei, fără a specifica în contract denumirea serviciilor de deservire, testare, întreținere și reparație a autoturismelor, cantitatea și prețul lor. </w:t>
      </w:r>
    </w:p>
    <w:p w14:paraId="56628199" w14:textId="0FD56128" w:rsidR="00F14887" w:rsidRPr="004D2FF7" w:rsidRDefault="00F14887" w:rsidP="00612BF7">
      <w:pPr>
        <w:spacing w:after="120" w:line="276" w:lineRule="auto"/>
        <w:ind w:right="-93"/>
        <w:jc w:val="both"/>
        <w:rPr>
          <w:rFonts w:ascii="Times New Roman" w:eastAsia="Times New Roman" w:hAnsi="Times New Roman" w:cs="Times New Roman"/>
          <w:color w:val="000000"/>
          <w:sz w:val="24"/>
          <w:szCs w:val="24"/>
        </w:rPr>
      </w:pPr>
      <w:r w:rsidRPr="004D2FF7">
        <w:rPr>
          <w:rFonts w:ascii="Times New Roman" w:hAnsi="Times New Roman" w:cs="Times New Roman"/>
          <w:sz w:val="24"/>
          <w:szCs w:val="24"/>
        </w:rPr>
        <w:t>Auditul</w:t>
      </w:r>
      <w:r w:rsidR="00A84416" w:rsidRPr="004D2FF7">
        <w:rPr>
          <w:rFonts w:ascii="Times New Roman" w:hAnsi="Times New Roman" w:cs="Times New Roman"/>
          <w:sz w:val="24"/>
          <w:szCs w:val="24"/>
        </w:rPr>
        <w:t xml:space="preserve"> a</w:t>
      </w:r>
      <w:r w:rsidRPr="004D2FF7">
        <w:rPr>
          <w:rFonts w:ascii="Times New Roman" w:hAnsi="Times New Roman" w:cs="Times New Roman"/>
          <w:sz w:val="24"/>
          <w:szCs w:val="24"/>
        </w:rPr>
        <w:t xml:space="preserve"> constatat că CNPDCP </w:t>
      </w:r>
      <w:r w:rsidRPr="004D2FF7">
        <w:rPr>
          <w:rFonts w:ascii="Times New Roman" w:eastAsia="Times New Roman" w:hAnsi="Times New Roman" w:cs="Times New Roman"/>
          <w:color w:val="000000" w:themeColor="text1"/>
          <w:sz w:val="24"/>
          <w:szCs w:val="24"/>
        </w:rPr>
        <w:t xml:space="preserve">nu dispune </w:t>
      </w:r>
      <w:r w:rsidRPr="004D2FF7">
        <w:rPr>
          <w:rFonts w:ascii="Times New Roman" w:hAnsi="Times New Roman" w:cs="Times New Roman"/>
          <w:color w:val="000000" w:themeColor="text1"/>
          <w:sz w:val="24"/>
          <w:szCs w:val="24"/>
        </w:rPr>
        <w:t>de procese operaționale aferente</w:t>
      </w:r>
      <w:r w:rsidRPr="004D2FF7">
        <w:rPr>
          <w:rFonts w:ascii="Times New Roman" w:eastAsia="Times New Roman" w:hAnsi="Times New Roman" w:cs="Times New Roman"/>
          <w:i/>
          <w:color w:val="000000"/>
          <w:sz w:val="24"/>
          <w:szCs w:val="24"/>
        </w:rPr>
        <w:t xml:space="preserve"> </w:t>
      </w:r>
      <w:r w:rsidRPr="004D2FF7">
        <w:rPr>
          <w:rFonts w:ascii="Times New Roman" w:eastAsia="Times New Roman" w:hAnsi="Times New Roman" w:cs="Times New Roman"/>
          <w:color w:val="000000"/>
          <w:sz w:val="24"/>
          <w:szCs w:val="24"/>
        </w:rPr>
        <w:t>achizițiilor de valoare mică, acord</w:t>
      </w:r>
      <w:r w:rsidR="00D73BB0" w:rsidRPr="004D2FF7">
        <w:rPr>
          <w:rFonts w:ascii="Times New Roman" w:eastAsia="Times New Roman" w:hAnsi="Times New Roman" w:cs="Times New Roman"/>
          <w:color w:val="000000"/>
          <w:sz w:val="24"/>
          <w:szCs w:val="24"/>
        </w:rPr>
        <w:t>ul</w:t>
      </w:r>
      <w:r w:rsidR="00026D4F">
        <w:rPr>
          <w:rFonts w:ascii="Times New Roman" w:eastAsia="Times New Roman" w:hAnsi="Times New Roman" w:cs="Times New Roman"/>
          <w:color w:val="000000"/>
          <w:sz w:val="24"/>
          <w:szCs w:val="24"/>
        </w:rPr>
        <w:t>ui</w:t>
      </w:r>
      <w:r w:rsidRPr="004D2FF7">
        <w:rPr>
          <w:rFonts w:ascii="Times New Roman" w:eastAsia="Times New Roman" w:hAnsi="Times New Roman" w:cs="Times New Roman"/>
          <w:color w:val="000000"/>
          <w:sz w:val="24"/>
          <w:szCs w:val="24"/>
        </w:rPr>
        <w:t>-cadru, negocier</w:t>
      </w:r>
      <w:r w:rsidR="00026D4F">
        <w:rPr>
          <w:rFonts w:ascii="Times New Roman" w:eastAsia="Times New Roman" w:hAnsi="Times New Roman" w:cs="Times New Roman"/>
          <w:color w:val="000000"/>
          <w:sz w:val="24"/>
          <w:szCs w:val="24"/>
        </w:rPr>
        <w:t>ii</w:t>
      </w:r>
      <w:r w:rsidRPr="004D2FF7">
        <w:rPr>
          <w:rFonts w:ascii="Times New Roman" w:eastAsia="Times New Roman" w:hAnsi="Times New Roman" w:cs="Times New Roman"/>
          <w:color w:val="000000"/>
          <w:sz w:val="24"/>
          <w:szCs w:val="24"/>
        </w:rPr>
        <w:t xml:space="preserve"> fără publicarea prealabilă a unui anunț de participare</w:t>
      </w:r>
      <w:r w:rsidR="00026D4F">
        <w:rPr>
          <w:rFonts w:ascii="Times New Roman" w:eastAsia="Times New Roman" w:hAnsi="Times New Roman" w:cs="Times New Roman"/>
          <w:color w:val="000000"/>
          <w:sz w:val="24"/>
          <w:szCs w:val="24"/>
        </w:rPr>
        <w:t>,</w:t>
      </w:r>
      <w:r w:rsidR="00D73BB0" w:rsidRPr="004D2FF7">
        <w:rPr>
          <w:rFonts w:ascii="Times New Roman" w:eastAsia="Times New Roman" w:hAnsi="Times New Roman" w:cs="Times New Roman"/>
          <w:color w:val="000000"/>
          <w:sz w:val="24"/>
          <w:szCs w:val="24"/>
        </w:rPr>
        <w:t xml:space="preserve"> fapt</w:t>
      </w:r>
      <w:r w:rsidRPr="004D2FF7">
        <w:rPr>
          <w:rFonts w:ascii="Times New Roman" w:eastAsia="Times New Roman" w:hAnsi="Times New Roman" w:cs="Times New Roman"/>
          <w:color w:val="000000"/>
          <w:sz w:val="24"/>
          <w:szCs w:val="24"/>
        </w:rPr>
        <w:t xml:space="preserve"> ce denotă implementarea parțială a controlului intern managerial.</w:t>
      </w:r>
    </w:p>
    <w:p w14:paraId="1C129D3B" w14:textId="77777777" w:rsidR="00F1710E" w:rsidRPr="004D2FF7" w:rsidRDefault="008C5C1F" w:rsidP="00450E85">
      <w:pPr>
        <w:spacing w:after="0" w:line="276" w:lineRule="auto"/>
        <w:jc w:val="both"/>
        <w:rPr>
          <w:rFonts w:ascii="Times New Roman" w:eastAsia="Times New Roman" w:hAnsi="Times New Roman" w:cs="Times New Roman"/>
          <w:b/>
          <w:color w:val="000000"/>
          <w:sz w:val="24"/>
          <w:szCs w:val="24"/>
        </w:rPr>
      </w:pPr>
      <w:r w:rsidRPr="004D2FF7">
        <w:rPr>
          <w:rFonts w:ascii="Times New Roman" w:eastAsia="Times New Roman" w:hAnsi="Times New Roman" w:cs="Times New Roman"/>
          <w:b/>
          <w:color w:val="000000"/>
          <w:sz w:val="24"/>
          <w:szCs w:val="24"/>
        </w:rPr>
        <w:t>În perioada misiunii de audit</w:t>
      </w:r>
      <w:r w:rsidR="00F1710E" w:rsidRPr="004D2FF7">
        <w:rPr>
          <w:rFonts w:ascii="Times New Roman" w:eastAsia="Times New Roman" w:hAnsi="Times New Roman" w:cs="Times New Roman"/>
          <w:b/>
          <w:color w:val="000000"/>
          <w:sz w:val="24"/>
          <w:szCs w:val="24"/>
        </w:rPr>
        <w:t>:</w:t>
      </w:r>
    </w:p>
    <w:p w14:paraId="1126A153" w14:textId="1EF66E51" w:rsidR="00F1710E" w:rsidRPr="004D2FF7" w:rsidRDefault="00F1710E" w:rsidP="00450E85">
      <w:pPr>
        <w:pStyle w:val="ListParagraph"/>
        <w:numPr>
          <w:ilvl w:val="0"/>
          <w:numId w:val="19"/>
        </w:numPr>
        <w:spacing w:after="0" w:line="276" w:lineRule="auto"/>
        <w:ind w:left="142" w:firstLine="142"/>
        <w:jc w:val="both"/>
        <w:rPr>
          <w:rFonts w:ascii="Times New Roman" w:eastAsia="Times New Roman" w:hAnsi="Times New Roman" w:cs="Times New Roman"/>
          <w:i/>
          <w:color w:val="000000"/>
          <w:sz w:val="24"/>
          <w:szCs w:val="24"/>
        </w:rPr>
      </w:pPr>
      <w:r w:rsidRPr="004D2FF7">
        <w:rPr>
          <w:rFonts w:ascii="Times New Roman" w:hAnsi="Times New Roman" w:cs="Times New Roman"/>
          <w:i/>
          <w:sz w:val="24"/>
          <w:szCs w:val="24"/>
        </w:rPr>
        <w:t>CNPDCP</w:t>
      </w:r>
      <w:r w:rsidR="00FE724D" w:rsidRPr="004D2FF7">
        <w:rPr>
          <w:rFonts w:ascii="Times New Roman" w:hAnsi="Times New Roman" w:cs="Times New Roman"/>
          <w:i/>
          <w:sz w:val="24"/>
          <w:szCs w:val="24"/>
        </w:rPr>
        <w:t>,</w:t>
      </w:r>
      <w:r w:rsidR="000979CE" w:rsidRPr="004D2FF7">
        <w:rPr>
          <w:rFonts w:ascii="Times New Roman" w:hAnsi="Times New Roman" w:cs="Times New Roman"/>
          <w:i/>
          <w:sz w:val="24"/>
          <w:szCs w:val="24"/>
        </w:rPr>
        <w:t xml:space="preserve"> în noiembrie 2023</w:t>
      </w:r>
      <w:r w:rsidR="00026D4F">
        <w:rPr>
          <w:rFonts w:ascii="Times New Roman" w:hAnsi="Times New Roman" w:cs="Times New Roman"/>
          <w:i/>
          <w:sz w:val="24"/>
          <w:szCs w:val="24"/>
        </w:rPr>
        <w:t>,</w:t>
      </w:r>
      <w:r w:rsidRPr="004D2FF7">
        <w:rPr>
          <w:rFonts w:ascii="Times New Roman" w:hAnsi="Times New Roman" w:cs="Times New Roman"/>
          <w:i/>
          <w:sz w:val="24"/>
          <w:szCs w:val="24"/>
        </w:rPr>
        <w:t xml:space="preserve"> </w:t>
      </w:r>
      <w:r w:rsidR="00FE724D" w:rsidRPr="004D2FF7">
        <w:rPr>
          <w:rFonts w:ascii="Times New Roman" w:hAnsi="Times New Roman" w:cs="Times New Roman"/>
          <w:i/>
          <w:sz w:val="24"/>
          <w:szCs w:val="24"/>
        </w:rPr>
        <w:t>s-a înregistrat pe platforma „M</w:t>
      </w:r>
      <w:r w:rsidRPr="004D2FF7">
        <w:rPr>
          <w:rFonts w:ascii="Times New Roman" w:hAnsi="Times New Roman" w:cs="Times New Roman"/>
          <w:i/>
          <w:sz w:val="24"/>
          <w:szCs w:val="24"/>
        </w:rPr>
        <w:t>Tender”, astfel fiind inițiate proceduri de achiziții pe această platformă, iar pentru asigurarea transparenței toate achizițiile efectuate în trimestrul IV anul 2023 vor fi raportate pe platforma „MTender”</w:t>
      </w:r>
      <w:r w:rsidR="00026D4F">
        <w:rPr>
          <w:rFonts w:ascii="Times New Roman" w:hAnsi="Times New Roman" w:cs="Times New Roman"/>
          <w:i/>
          <w:sz w:val="24"/>
          <w:szCs w:val="24"/>
        </w:rPr>
        <w:t>;</w:t>
      </w:r>
    </w:p>
    <w:p w14:paraId="1207AC2C" w14:textId="011326A9" w:rsidR="00F1710E" w:rsidRPr="004D2FF7" w:rsidRDefault="00F1710E" w:rsidP="00450E85">
      <w:pPr>
        <w:pStyle w:val="ListParagraph"/>
        <w:numPr>
          <w:ilvl w:val="0"/>
          <w:numId w:val="19"/>
        </w:numPr>
        <w:spacing w:after="0" w:line="276" w:lineRule="auto"/>
        <w:ind w:left="0" w:firstLine="360"/>
        <w:jc w:val="both"/>
        <w:rPr>
          <w:rFonts w:ascii="Times New Roman" w:eastAsia="Times New Roman" w:hAnsi="Times New Roman" w:cs="Times New Roman"/>
          <w:i/>
          <w:color w:val="000000"/>
          <w:sz w:val="24"/>
          <w:szCs w:val="24"/>
        </w:rPr>
      </w:pPr>
      <w:r w:rsidRPr="004D2FF7">
        <w:rPr>
          <w:rFonts w:ascii="Times New Roman" w:eastAsia="Times New Roman" w:hAnsi="Times New Roman" w:cs="Times New Roman"/>
          <w:i/>
          <w:color w:val="000000"/>
          <w:sz w:val="24"/>
          <w:szCs w:val="24"/>
        </w:rPr>
        <w:t>CNPDCP a modificat și</w:t>
      </w:r>
      <w:r w:rsidR="00511752" w:rsidRPr="004D2FF7">
        <w:rPr>
          <w:rFonts w:ascii="Times New Roman" w:eastAsia="Times New Roman" w:hAnsi="Times New Roman" w:cs="Times New Roman"/>
          <w:i/>
          <w:color w:val="000000"/>
          <w:sz w:val="24"/>
          <w:szCs w:val="24"/>
        </w:rPr>
        <w:t xml:space="preserve"> a</w:t>
      </w:r>
      <w:r w:rsidRPr="004D2FF7">
        <w:rPr>
          <w:rFonts w:ascii="Times New Roman" w:eastAsia="Times New Roman" w:hAnsi="Times New Roman" w:cs="Times New Roman"/>
          <w:i/>
          <w:color w:val="000000"/>
          <w:sz w:val="24"/>
          <w:szCs w:val="24"/>
        </w:rPr>
        <w:t xml:space="preserve"> plasat pe pagina web</w:t>
      </w:r>
      <w:r w:rsidR="00511752" w:rsidRPr="004D2FF7">
        <w:rPr>
          <w:rFonts w:ascii="Times New Roman" w:eastAsia="Times New Roman" w:hAnsi="Times New Roman" w:cs="Times New Roman"/>
          <w:i/>
          <w:color w:val="000000"/>
          <w:sz w:val="24"/>
          <w:szCs w:val="24"/>
        </w:rPr>
        <w:t xml:space="preserve"> a instituției</w:t>
      </w:r>
      <w:r w:rsidR="00026D4F">
        <w:rPr>
          <w:rFonts w:ascii="Times New Roman" w:eastAsia="Times New Roman" w:hAnsi="Times New Roman" w:cs="Times New Roman"/>
          <w:i/>
          <w:color w:val="000000"/>
          <w:sz w:val="24"/>
          <w:szCs w:val="24"/>
        </w:rPr>
        <w:t>,</w:t>
      </w:r>
      <w:r w:rsidRPr="004D2FF7">
        <w:rPr>
          <w:rFonts w:ascii="Times New Roman" w:eastAsia="Times New Roman" w:hAnsi="Times New Roman" w:cs="Times New Roman"/>
          <w:i/>
          <w:color w:val="000000"/>
          <w:sz w:val="24"/>
          <w:szCs w:val="24"/>
        </w:rPr>
        <w:t xml:space="preserve"> în termen</w:t>
      </w:r>
      <w:r w:rsidR="00026D4F">
        <w:rPr>
          <w:rFonts w:ascii="Times New Roman" w:eastAsia="Times New Roman" w:hAnsi="Times New Roman" w:cs="Times New Roman"/>
          <w:i/>
          <w:color w:val="000000"/>
          <w:sz w:val="24"/>
          <w:szCs w:val="24"/>
        </w:rPr>
        <w:t>ele</w:t>
      </w:r>
      <w:r w:rsidRPr="004D2FF7">
        <w:rPr>
          <w:rFonts w:ascii="Times New Roman" w:eastAsia="Times New Roman" w:hAnsi="Times New Roman" w:cs="Times New Roman"/>
          <w:i/>
          <w:color w:val="000000"/>
          <w:sz w:val="24"/>
          <w:szCs w:val="24"/>
        </w:rPr>
        <w:t xml:space="preserve"> stabi</w:t>
      </w:r>
      <w:r w:rsidR="00FE724D" w:rsidRPr="004D2FF7">
        <w:rPr>
          <w:rFonts w:ascii="Times New Roman" w:eastAsia="Times New Roman" w:hAnsi="Times New Roman" w:cs="Times New Roman"/>
          <w:i/>
          <w:color w:val="000000"/>
          <w:sz w:val="24"/>
          <w:szCs w:val="24"/>
        </w:rPr>
        <w:t>li</w:t>
      </w:r>
      <w:r w:rsidR="00026D4F">
        <w:rPr>
          <w:rFonts w:ascii="Times New Roman" w:eastAsia="Times New Roman" w:hAnsi="Times New Roman" w:cs="Times New Roman"/>
          <w:i/>
          <w:color w:val="000000"/>
          <w:sz w:val="24"/>
          <w:szCs w:val="24"/>
        </w:rPr>
        <w:t>te</w:t>
      </w:r>
      <w:r w:rsidR="00FE724D" w:rsidRPr="004D2FF7">
        <w:rPr>
          <w:rFonts w:ascii="Times New Roman" w:eastAsia="Times New Roman" w:hAnsi="Times New Roman" w:cs="Times New Roman"/>
          <w:i/>
          <w:color w:val="000000"/>
          <w:sz w:val="24"/>
          <w:szCs w:val="24"/>
        </w:rPr>
        <w:t xml:space="preserve"> de lege</w:t>
      </w:r>
      <w:r w:rsidR="00026D4F">
        <w:rPr>
          <w:rFonts w:ascii="Times New Roman" w:eastAsia="Times New Roman" w:hAnsi="Times New Roman" w:cs="Times New Roman"/>
          <w:i/>
          <w:color w:val="000000"/>
          <w:sz w:val="24"/>
          <w:szCs w:val="24"/>
        </w:rPr>
        <w:t>,</w:t>
      </w:r>
      <w:r w:rsidR="00FE724D" w:rsidRPr="004D2FF7">
        <w:rPr>
          <w:rFonts w:ascii="Times New Roman" w:eastAsia="Times New Roman" w:hAnsi="Times New Roman" w:cs="Times New Roman"/>
          <w:i/>
          <w:color w:val="000000"/>
          <w:sz w:val="24"/>
          <w:szCs w:val="24"/>
        </w:rPr>
        <w:t xml:space="preserve"> planul de achiziție</w:t>
      </w:r>
      <w:r w:rsidRPr="004D2FF7">
        <w:rPr>
          <w:rFonts w:ascii="Times New Roman" w:eastAsia="Times New Roman" w:hAnsi="Times New Roman" w:cs="Times New Roman"/>
          <w:i/>
          <w:color w:val="000000"/>
          <w:sz w:val="24"/>
          <w:szCs w:val="24"/>
        </w:rPr>
        <w:t xml:space="preserve"> pe anul 2023</w:t>
      </w:r>
      <w:r w:rsidR="00026D4F">
        <w:rPr>
          <w:rFonts w:ascii="Times New Roman" w:eastAsia="Times New Roman" w:hAnsi="Times New Roman" w:cs="Times New Roman"/>
          <w:i/>
          <w:color w:val="000000"/>
          <w:sz w:val="24"/>
          <w:szCs w:val="24"/>
        </w:rPr>
        <w:t>;</w:t>
      </w:r>
    </w:p>
    <w:p w14:paraId="4B64BE3E" w14:textId="39FE8BEF" w:rsidR="008C5C1F" w:rsidRPr="004D2FF7" w:rsidRDefault="00026D4F" w:rsidP="00450E85">
      <w:pPr>
        <w:pStyle w:val="ListParagraph"/>
        <w:numPr>
          <w:ilvl w:val="0"/>
          <w:numId w:val="19"/>
        </w:numPr>
        <w:spacing w:after="0" w:line="276" w:lineRule="auto"/>
        <w:ind w:left="0" w:firstLine="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noProof/>
          <w:color w:val="000000"/>
          <w:sz w:val="24"/>
          <w:szCs w:val="24"/>
        </w:rPr>
        <w:t>l</w:t>
      </w:r>
      <w:r w:rsidR="008C5C1F" w:rsidRPr="004D2FF7">
        <w:rPr>
          <w:rFonts w:ascii="Times New Roman" w:eastAsia="Times New Roman" w:hAnsi="Times New Roman" w:cs="Times New Roman"/>
          <w:i/>
          <w:noProof/>
          <w:color w:val="000000"/>
          <w:sz w:val="24"/>
          <w:szCs w:val="24"/>
        </w:rPr>
        <w:t>a elaborarea planului de achiziții pentru anul 2024, CNPDCP</w:t>
      </w:r>
      <w:r w:rsidR="00CF567B">
        <w:rPr>
          <w:rFonts w:ascii="Times New Roman" w:eastAsia="Times New Roman" w:hAnsi="Times New Roman" w:cs="Times New Roman"/>
          <w:i/>
          <w:noProof/>
          <w:color w:val="000000"/>
          <w:sz w:val="24"/>
          <w:szCs w:val="24"/>
        </w:rPr>
        <w:t xml:space="preserve"> a menționat că</w:t>
      </w:r>
      <w:r w:rsidR="008C5C1F" w:rsidRPr="004D2FF7">
        <w:rPr>
          <w:rFonts w:ascii="Times New Roman" w:eastAsia="Times New Roman" w:hAnsi="Times New Roman" w:cs="Times New Roman"/>
          <w:i/>
          <w:noProof/>
          <w:color w:val="000000"/>
          <w:sz w:val="24"/>
          <w:szCs w:val="24"/>
        </w:rPr>
        <w:t xml:space="preserve"> va ține cont de prevederile legale și </w:t>
      </w:r>
      <w:r>
        <w:rPr>
          <w:rFonts w:ascii="Times New Roman" w:eastAsia="Times New Roman" w:hAnsi="Times New Roman" w:cs="Times New Roman"/>
          <w:i/>
          <w:noProof/>
          <w:color w:val="000000"/>
          <w:sz w:val="24"/>
          <w:szCs w:val="24"/>
        </w:rPr>
        <w:t xml:space="preserve">de </w:t>
      </w:r>
      <w:r w:rsidR="008C5C1F" w:rsidRPr="004D2FF7">
        <w:rPr>
          <w:rFonts w:ascii="Times New Roman" w:eastAsia="Times New Roman" w:hAnsi="Times New Roman" w:cs="Times New Roman"/>
          <w:i/>
          <w:noProof/>
          <w:color w:val="000000"/>
          <w:sz w:val="24"/>
          <w:szCs w:val="24"/>
        </w:rPr>
        <w:t>obiecțiile echipei de audit, astfel încât planificarea achiziți</w:t>
      </w:r>
      <w:r w:rsidR="00511752" w:rsidRPr="004D2FF7">
        <w:rPr>
          <w:rFonts w:ascii="Times New Roman" w:eastAsia="Times New Roman" w:hAnsi="Times New Roman" w:cs="Times New Roman"/>
          <w:i/>
          <w:noProof/>
          <w:color w:val="000000"/>
          <w:sz w:val="24"/>
          <w:szCs w:val="24"/>
        </w:rPr>
        <w:t>ilor</w:t>
      </w:r>
      <w:r w:rsidR="008C5C1F" w:rsidRPr="004D2FF7">
        <w:rPr>
          <w:rFonts w:ascii="Times New Roman" w:eastAsia="Times New Roman" w:hAnsi="Times New Roman" w:cs="Times New Roman"/>
          <w:i/>
          <w:noProof/>
          <w:color w:val="000000"/>
          <w:sz w:val="24"/>
          <w:szCs w:val="24"/>
        </w:rPr>
        <w:t xml:space="preserve"> să fie cât mai ef</w:t>
      </w:r>
      <w:r w:rsidR="00511752" w:rsidRPr="004D2FF7">
        <w:rPr>
          <w:rFonts w:ascii="Times New Roman" w:eastAsia="Times New Roman" w:hAnsi="Times New Roman" w:cs="Times New Roman"/>
          <w:i/>
          <w:noProof/>
          <w:color w:val="000000"/>
          <w:sz w:val="24"/>
          <w:szCs w:val="24"/>
        </w:rPr>
        <w:t>icient</w:t>
      </w:r>
      <w:r w:rsidR="00FE724D" w:rsidRPr="004D2FF7">
        <w:rPr>
          <w:rFonts w:ascii="Times New Roman" w:eastAsia="Times New Roman" w:hAnsi="Times New Roman" w:cs="Times New Roman"/>
          <w:i/>
          <w:noProof/>
          <w:color w:val="000000"/>
          <w:sz w:val="24"/>
          <w:szCs w:val="24"/>
        </w:rPr>
        <w:t>ă</w:t>
      </w:r>
      <w:r>
        <w:rPr>
          <w:rFonts w:ascii="Times New Roman" w:eastAsia="Times New Roman" w:hAnsi="Times New Roman" w:cs="Times New Roman"/>
          <w:i/>
          <w:noProof/>
          <w:color w:val="000000"/>
          <w:sz w:val="24"/>
          <w:szCs w:val="24"/>
        </w:rPr>
        <w:t>;</w:t>
      </w:r>
    </w:p>
    <w:p w14:paraId="72E33B71" w14:textId="57140313" w:rsidR="008B2F9F" w:rsidRPr="00E56BB6" w:rsidRDefault="008B2F9F" w:rsidP="00450E85">
      <w:pPr>
        <w:pStyle w:val="ListParagraph"/>
        <w:numPr>
          <w:ilvl w:val="0"/>
          <w:numId w:val="19"/>
        </w:numPr>
        <w:spacing w:after="0" w:line="276" w:lineRule="auto"/>
        <w:ind w:left="0" w:firstLine="360"/>
        <w:jc w:val="both"/>
        <w:rPr>
          <w:rFonts w:ascii="Times New Roman" w:hAnsi="Times New Roman" w:cs="Times New Roman"/>
          <w:bCs/>
          <w:i/>
          <w:sz w:val="24"/>
          <w:szCs w:val="24"/>
        </w:rPr>
      </w:pPr>
      <w:r w:rsidRPr="004D2FF7">
        <w:rPr>
          <w:rFonts w:ascii="Times New Roman" w:hAnsi="Times New Roman" w:cs="Times New Roman"/>
          <w:bCs/>
          <w:i/>
          <w:sz w:val="24"/>
          <w:szCs w:val="24"/>
        </w:rPr>
        <w:t xml:space="preserve">CNPDCP va ține cont de obiecțiile înaintate privind achiziția </w:t>
      </w:r>
      <w:r w:rsidRPr="004D2FF7">
        <w:rPr>
          <w:rFonts w:ascii="Times New Roman" w:hAnsi="Times New Roman" w:cs="Times New Roman"/>
          <w:i/>
          <w:sz w:val="24"/>
          <w:szCs w:val="24"/>
        </w:rPr>
        <w:t>serviciilor de asigurare</w:t>
      </w:r>
      <w:r w:rsidR="00511752" w:rsidRPr="004D2FF7">
        <w:rPr>
          <w:rFonts w:ascii="Times New Roman" w:hAnsi="Times New Roman" w:cs="Times New Roman"/>
          <w:i/>
          <w:sz w:val="24"/>
          <w:szCs w:val="24"/>
        </w:rPr>
        <w:t xml:space="preserve"> facultativă</w:t>
      </w:r>
      <w:r w:rsidRPr="004D2FF7">
        <w:rPr>
          <w:rFonts w:ascii="Times New Roman" w:hAnsi="Times New Roman" w:cs="Times New Roman"/>
          <w:i/>
          <w:sz w:val="24"/>
          <w:szCs w:val="24"/>
        </w:rPr>
        <w:t xml:space="preserve"> CASCO</w:t>
      </w:r>
      <w:r w:rsidR="00511752" w:rsidRPr="004D2FF7">
        <w:rPr>
          <w:rFonts w:ascii="Times New Roman" w:hAnsi="Times New Roman" w:cs="Times New Roman"/>
          <w:i/>
          <w:sz w:val="24"/>
          <w:szCs w:val="24"/>
        </w:rPr>
        <w:t xml:space="preserve"> </w:t>
      </w:r>
      <w:r w:rsidR="00BA07BB">
        <w:rPr>
          <w:rFonts w:ascii="Times New Roman" w:hAnsi="Times New Roman" w:cs="Times New Roman"/>
          <w:i/>
          <w:sz w:val="24"/>
          <w:szCs w:val="24"/>
        </w:rPr>
        <w:t>și va</w:t>
      </w:r>
      <w:r w:rsidR="00511752" w:rsidRPr="004D2FF7">
        <w:rPr>
          <w:rFonts w:ascii="Times New Roman" w:hAnsi="Times New Roman" w:cs="Times New Roman"/>
          <w:i/>
          <w:sz w:val="24"/>
          <w:szCs w:val="24"/>
        </w:rPr>
        <w:t xml:space="preserve"> reduce cheltuielil</w:t>
      </w:r>
      <w:r w:rsidR="00BA07BB">
        <w:rPr>
          <w:rFonts w:ascii="Times New Roman" w:hAnsi="Times New Roman" w:cs="Times New Roman"/>
          <w:i/>
          <w:sz w:val="24"/>
          <w:szCs w:val="24"/>
        </w:rPr>
        <w:t>e</w:t>
      </w:r>
      <w:r w:rsidR="00511752" w:rsidRPr="004D2FF7">
        <w:rPr>
          <w:rFonts w:ascii="Times New Roman" w:hAnsi="Times New Roman" w:cs="Times New Roman"/>
          <w:i/>
          <w:sz w:val="24"/>
          <w:szCs w:val="24"/>
        </w:rPr>
        <w:t xml:space="preserve"> bugetare</w:t>
      </w:r>
      <w:r w:rsidRPr="004D2FF7">
        <w:rPr>
          <w:rFonts w:ascii="Times New Roman" w:hAnsi="Times New Roman" w:cs="Times New Roman"/>
          <w:i/>
          <w:sz w:val="24"/>
          <w:szCs w:val="24"/>
        </w:rPr>
        <w:t>.</w:t>
      </w:r>
    </w:p>
    <w:p w14:paraId="35C6D0DC" w14:textId="77777777" w:rsidR="00E56BB6" w:rsidRPr="004D2FF7" w:rsidRDefault="00E56BB6" w:rsidP="00E56BB6">
      <w:pPr>
        <w:pStyle w:val="ListParagraph"/>
        <w:spacing w:after="0" w:line="276" w:lineRule="auto"/>
        <w:ind w:left="360"/>
        <w:jc w:val="both"/>
        <w:rPr>
          <w:rFonts w:ascii="Times New Roman" w:hAnsi="Times New Roman" w:cs="Times New Roman"/>
          <w:bCs/>
          <w:i/>
          <w:sz w:val="24"/>
          <w:szCs w:val="24"/>
        </w:rPr>
      </w:pPr>
    </w:p>
    <w:p w14:paraId="126C65F9" w14:textId="77777777" w:rsidR="008B2F9F" w:rsidRPr="004D2FF7" w:rsidRDefault="008B2F9F" w:rsidP="008B2F9F">
      <w:pPr>
        <w:pStyle w:val="ListParagraph"/>
        <w:spacing w:after="0" w:line="240" w:lineRule="auto"/>
        <w:jc w:val="both"/>
        <w:rPr>
          <w:rFonts w:ascii="Times New Roman" w:hAnsi="Times New Roman" w:cs="Times New Roman"/>
          <w:b/>
          <w:i/>
          <w:sz w:val="20"/>
          <w:szCs w:val="20"/>
        </w:rPr>
      </w:pPr>
    </w:p>
    <w:p w14:paraId="6390C81D" w14:textId="754B131B" w:rsidR="001B6116" w:rsidRPr="004D2FF7" w:rsidRDefault="00121761" w:rsidP="00121761">
      <w:pPr>
        <w:pStyle w:val="tt"/>
        <w:spacing w:after="120" w:line="276" w:lineRule="auto"/>
        <w:jc w:val="both"/>
        <w:outlineLvl w:val="2"/>
        <w:rPr>
          <w:rFonts w:eastAsia="Calibri"/>
          <w:i/>
          <w:color w:val="2E74B5" w:themeColor="accent1" w:themeShade="BF"/>
          <w:lang w:val="ro-MD"/>
        </w:rPr>
      </w:pPr>
      <w:bookmarkStart w:id="33" w:name="_Toc157776095"/>
      <w:r w:rsidRPr="004D2FF7">
        <w:rPr>
          <w:rFonts w:eastAsia="Calibri"/>
          <w:i/>
          <w:color w:val="2E74B5" w:themeColor="accent1" w:themeShade="BF"/>
          <w:lang w:val="ro-MD"/>
        </w:rPr>
        <w:lastRenderedPageBreak/>
        <w:t xml:space="preserve">4.2.2. </w:t>
      </w:r>
      <w:r w:rsidR="000A05F4" w:rsidRPr="004D2FF7">
        <w:rPr>
          <w:rFonts w:eastAsia="Calibri"/>
          <w:i/>
          <w:color w:val="2E74B5" w:themeColor="accent1" w:themeShade="BF"/>
          <w:lang w:val="ro-MD"/>
        </w:rPr>
        <w:t xml:space="preserve">La remunerarea </w:t>
      </w:r>
      <w:r w:rsidR="00DD5817" w:rsidRPr="004D2FF7">
        <w:rPr>
          <w:rFonts w:eastAsia="Calibri"/>
          <w:i/>
          <w:color w:val="2E74B5" w:themeColor="accent1" w:themeShade="BF"/>
          <w:lang w:val="ro-MD"/>
        </w:rPr>
        <w:t xml:space="preserve">muncii </w:t>
      </w:r>
      <w:r w:rsidR="000A05F4" w:rsidRPr="004D2FF7">
        <w:rPr>
          <w:rFonts w:eastAsia="Calibri"/>
          <w:i/>
          <w:color w:val="2E74B5" w:themeColor="accent1" w:themeShade="BF"/>
          <w:lang w:val="ro-MD"/>
        </w:rPr>
        <w:t xml:space="preserve">angajaților </w:t>
      </w:r>
      <w:r w:rsidR="001B6116" w:rsidRPr="004D2FF7">
        <w:rPr>
          <w:i/>
          <w:color w:val="2E74B5" w:themeColor="accent1" w:themeShade="BF"/>
          <w:lang w:val="ro-MD" w:eastAsia="ru-RU"/>
        </w:rPr>
        <w:t xml:space="preserve">Centrului Național </w:t>
      </w:r>
      <w:r w:rsidR="00026D4F">
        <w:rPr>
          <w:i/>
          <w:color w:val="2E74B5" w:themeColor="accent1" w:themeShade="BF"/>
          <w:lang w:val="ro-MD" w:eastAsia="ru-RU"/>
        </w:rPr>
        <w:t>p</w:t>
      </w:r>
      <w:r w:rsidR="001B6116" w:rsidRPr="004D2FF7">
        <w:rPr>
          <w:i/>
          <w:color w:val="2E74B5" w:themeColor="accent1" w:themeShade="BF"/>
          <w:lang w:val="ro-MD" w:eastAsia="ru-RU"/>
        </w:rPr>
        <w:t>entru Protecția Datelor cu Caracter Personal</w:t>
      </w:r>
      <w:r w:rsidR="000A05F4" w:rsidRPr="004D2FF7">
        <w:rPr>
          <w:i/>
          <w:color w:val="2E74B5" w:themeColor="accent1" w:themeShade="BF"/>
          <w:lang w:val="ro-MD" w:eastAsia="ru-RU"/>
        </w:rPr>
        <w:t xml:space="preserve"> au fost admise unele neconformități</w:t>
      </w:r>
      <w:r w:rsidR="00026D4F">
        <w:rPr>
          <w:i/>
          <w:color w:val="2E74B5" w:themeColor="accent1" w:themeShade="BF"/>
          <w:lang w:val="ro-MD" w:eastAsia="ru-RU"/>
        </w:rPr>
        <w:t>.</w:t>
      </w:r>
      <w:bookmarkEnd w:id="33"/>
    </w:p>
    <w:p w14:paraId="4459E564" w14:textId="4D0748F4" w:rsidR="00A02509" w:rsidRPr="004D2FF7" w:rsidRDefault="00A02509" w:rsidP="00A02509">
      <w:pPr>
        <w:spacing w:after="80"/>
        <w:jc w:val="both"/>
        <w:rPr>
          <w:rFonts w:ascii="Times New Roman" w:hAnsi="Times New Roman" w:cs="Times New Roman"/>
          <w:sz w:val="24"/>
          <w:szCs w:val="24"/>
        </w:rPr>
      </w:pPr>
      <w:r w:rsidRPr="004D2FF7">
        <w:rPr>
          <w:rFonts w:ascii="Times New Roman" w:hAnsi="Times New Roman" w:cs="Times New Roman"/>
          <w:sz w:val="24"/>
          <w:szCs w:val="24"/>
          <w:lang w:val="ro-RO"/>
        </w:rPr>
        <w:t>Salarizarea angajaților se efectuează în conformitate cu prevederile sistemului de salarizare în sectorul bugetar</w:t>
      </w:r>
      <w:r w:rsidRPr="004D2FF7">
        <w:rPr>
          <w:rStyle w:val="FootnoteReference"/>
          <w:rFonts w:ascii="Times New Roman" w:hAnsi="Times New Roman" w:cs="Times New Roman"/>
          <w:lang w:val="ro-RO"/>
        </w:rPr>
        <w:footnoteReference w:id="101"/>
      </w:r>
      <w:r w:rsidR="00026D4F">
        <w:rPr>
          <w:rFonts w:ascii="Times New Roman" w:hAnsi="Times New Roman" w:cs="Times New Roman"/>
          <w:sz w:val="24"/>
          <w:szCs w:val="24"/>
          <w:lang w:val="ro-RO"/>
        </w:rPr>
        <w:t>,</w:t>
      </w:r>
      <w:r w:rsidRPr="004D2FF7">
        <w:rPr>
          <w:rFonts w:ascii="Times New Roman" w:hAnsi="Times New Roman" w:cs="Times New Roman"/>
          <w:sz w:val="24"/>
          <w:szCs w:val="24"/>
          <w:lang w:val="ro-RO"/>
        </w:rPr>
        <w:t xml:space="preserve"> având la bază principiul nediscriminării, echității în sensul asigurării tratamentului egal al angajaților. </w:t>
      </w:r>
      <w:r w:rsidRPr="004D2FF7">
        <w:rPr>
          <w:rFonts w:ascii="Times New Roman" w:hAnsi="Times New Roman" w:cs="Times New Roman"/>
          <w:sz w:val="24"/>
          <w:szCs w:val="24"/>
        </w:rPr>
        <w:t>Totodată</w:t>
      </w:r>
      <w:r w:rsidR="00026D4F">
        <w:rPr>
          <w:rFonts w:ascii="Times New Roman" w:hAnsi="Times New Roman" w:cs="Times New Roman"/>
          <w:sz w:val="24"/>
          <w:szCs w:val="24"/>
        </w:rPr>
        <w:t>,</w:t>
      </w:r>
      <w:r w:rsidRPr="004D2FF7">
        <w:rPr>
          <w:rFonts w:ascii="Times New Roman" w:hAnsi="Times New Roman" w:cs="Times New Roman"/>
          <w:sz w:val="24"/>
          <w:szCs w:val="24"/>
        </w:rPr>
        <w:t xml:space="preserve"> conform cadrului legal</w:t>
      </w:r>
      <w:r w:rsidRPr="004D2FF7">
        <w:rPr>
          <w:rStyle w:val="FootnoteReference"/>
          <w:rFonts w:ascii="Times New Roman" w:hAnsi="Times New Roman" w:cs="Times New Roman"/>
          <w:lang w:val="ro-RO"/>
        </w:rPr>
        <w:footnoteReference w:id="102"/>
      </w:r>
      <w:r w:rsidRPr="004D2FF7">
        <w:rPr>
          <w:rFonts w:ascii="Times New Roman" w:hAnsi="Times New Roman" w:cs="Times New Roman"/>
          <w:sz w:val="24"/>
          <w:szCs w:val="24"/>
        </w:rPr>
        <w:t xml:space="preserve">, personalul din unitățile bugetare poate beneficia de premii unice cu prilejul sărbătorilor profesionale și al zilelor de sărbătoare nelucrătoare, care se plătesc din contul economiei mijloacelor </w:t>
      </w:r>
      <w:r w:rsidR="00E205F2" w:rsidRPr="004D2FF7">
        <w:rPr>
          <w:rFonts w:ascii="Times New Roman" w:hAnsi="Times New Roman" w:cs="Times New Roman"/>
          <w:sz w:val="24"/>
          <w:szCs w:val="24"/>
        </w:rPr>
        <w:t>formate de la</w:t>
      </w:r>
      <w:r w:rsidR="00B3429E" w:rsidRPr="004D2FF7">
        <w:rPr>
          <w:rFonts w:ascii="Times New Roman" w:hAnsi="Times New Roman" w:cs="Times New Roman"/>
          <w:sz w:val="24"/>
          <w:szCs w:val="24"/>
          <w:lang w:val="ro-RO"/>
        </w:rPr>
        <w:t xml:space="preserve"> funcțiil</w:t>
      </w:r>
      <w:r w:rsidR="00E205F2" w:rsidRPr="004D2FF7">
        <w:rPr>
          <w:rFonts w:ascii="Times New Roman" w:hAnsi="Times New Roman" w:cs="Times New Roman"/>
          <w:sz w:val="24"/>
          <w:szCs w:val="24"/>
          <w:lang w:val="ro-RO"/>
        </w:rPr>
        <w:t>e</w:t>
      </w:r>
      <w:r w:rsidR="00B3429E" w:rsidRPr="004D2FF7">
        <w:rPr>
          <w:rFonts w:ascii="Times New Roman" w:hAnsi="Times New Roman" w:cs="Times New Roman"/>
          <w:sz w:val="24"/>
          <w:szCs w:val="24"/>
          <w:lang w:val="ro-RO"/>
        </w:rPr>
        <w:t xml:space="preserve"> vacante, aflarea în conced</w:t>
      </w:r>
      <w:r w:rsidR="00E205F2" w:rsidRPr="004D2FF7">
        <w:rPr>
          <w:rFonts w:ascii="Times New Roman" w:hAnsi="Times New Roman" w:cs="Times New Roman"/>
          <w:sz w:val="24"/>
          <w:szCs w:val="24"/>
          <w:lang w:val="ro-RO"/>
        </w:rPr>
        <w:t>iu</w:t>
      </w:r>
      <w:r w:rsidR="00B3429E" w:rsidRPr="004D2FF7">
        <w:rPr>
          <w:rFonts w:ascii="Times New Roman" w:hAnsi="Times New Roman" w:cs="Times New Roman"/>
          <w:sz w:val="24"/>
          <w:szCs w:val="24"/>
          <w:lang w:val="ro-RO"/>
        </w:rPr>
        <w:t xml:space="preserve"> medical, concedi</w:t>
      </w:r>
      <w:r w:rsidR="00E205F2" w:rsidRPr="004D2FF7">
        <w:rPr>
          <w:rFonts w:ascii="Times New Roman" w:hAnsi="Times New Roman" w:cs="Times New Roman"/>
          <w:sz w:val="24"/>
          <w:szCs w:val="24"/>
          <w:lang w:val="ro-RO"/>
        </w:rPr>
        <w:t>u</w:t>
      </w:r>
      <w:r w:rsidR="00B3429E" w:rsidRPr="004D2FF7">
        <w:rPr>
          <w:rFonts w:ascii="Times New Roman" w:hAnsi="Times New Roman" w:cs="Times New Roman"/>
          <w:sz w:val="24"/>
          <w:szCs w:val="24"/>
          <w:lang w:val="ro-RO"/>
        </w:rPr>
        <w:t xml:space="preserve"> neplătit sau parțial plătit</w:t>
      </w:r>
      <w:r w:rsidRPr="004D2FF7">
        <w:rPr>
          <w:rFonts w:ascii="Times New Roman" w:hAnsi="Times New Roman" w:cs="Times New Roman"/>
          <w:sz w:val="24"/>
          <w:szCs w:val="24"/>
        </w:rPr>
        <w:t xml:space="preserve"> pe anul respectiv, dar nu mai mult de 5% din fondul anual de salarizare la nivel de unitate bugetară. </w:t>
      </w:r>
    </w:p>
    <w:p w14:paraId="47C1F389" w14:textId="2EDEA896" w:rsidR="00507243" w:rsidRPr="004D2FF7" w:rsidRDefault="00F351C8" w:rsidP="00507243">
      <w:pPr>
        <w:spacing w:after="80"/>
        <w:jc w:val="both"/>
        <w:rPr>
          <w:rFonts w:ascii="Times New Roman" w:hAnsi="Times New Roman" w:cs="Times New Roman"/>
          <w:sz w:val="24"/>
          <w:szCs w:val="24"/>
          <w:lang w:val="ro-RO"/>
        </w:rPr>
      </w:pPr>
      <w:r w:rsidRPr="004D2FF7">
        <w:rPr>
          <w:rFonts w:ascii="Times New Roman" w:hAnsi="Times New Roman" w:cs="Times New Roman"/>
          <w:sz w:val="24"/>
          <w:szCs w:val="24"/>
        </w:rPr>
        <w:t xml:space="preserve">Pe parcursul perioadei auditate 2018-2022, </w:t>
      </w:r>
      <w:r w:rsidR="00B820C6" w:rsidRPr="004D2FF7">
        <w:rPr>
          <w:rFonts w:ascii="Times New Roman" w:hAnsi="Times New Roman" w:cs="Times New Roman"/>
          <w:sz w:val="24"/>
          <w:szCs w:val="24"/>
        </w:rPr>
        <w:t>angajații</w:t>
      </w:r>
      <w:r w:rsidRPr="004D2FF7">
        <w:rPr>
          <w:rFonts w:ascii="Times New Roman" w:hAnsi="Times New Roman" w:cs="Times New Roman"/>
          <w:sz w:val="24"/>
          <w:szCs w:val="24"/>
        </w:rPr>
        <w:t xml:space="preserve"> CNPDCP a beneficiat de premii unice în sumă totală de 1</w:t>
      </w:r>
      <w:r w:rsidR="00026D4F">
        <w:rPr>
          <w:rFonts w:ascii="Times New Roman" w:hAnsi="Times New Roman" w:cs="Times New Roman"/>
          <w:sz w:val="24"/>
          <w:szCs w:val="24"/>
        </w:rPr>
        <w:t>.</w:t>
      </w:r>
      <w:r w:rsidR="00EE1243" w:rsidRPr="004D2FF7">
        <w:rPr>
          <w:rFonts w:ascii="Times New Roman" w:hAnsi="Times New Roman" w:cs="Times New Roman"/>
          <w:sz w:val="24"/>
          <w:szCs w:val="24"/>
        </w:rPr>
        <w:t>7</w:t>
      </w:r>
      <w:r w:rsidR="00194278" w:rsidRPr="004D2FF7">
        <w:rPr>
          <w:rFonts w:ascii="Times New Roman" w:hAnsi="Times New Roman" w:cs="Times New Roman"/>
          <w:sz w:val="24"/>
          <w:szCs w:val="24"/>
        </w:rPr>
        <w:t>60,0</w:t>
      </w:r>
      <w:r w:rsidRPr="004D2FF7">
        <w:rPr>
          <w:rFonts w:ascii="Times New Roman" w:hAnsi="Times New Roman" w:cs="Times New Roman"/>
          <w:sz w:val="24"/>
          <w:szCs w:val="24"/>
        </w:rPr>
        <w:t xml:space="preserve"> mii lei, inclusiv în anul 2018 </w:t>
      </w:r>
      <w:r w:rsidR="00026D4F">
        <w:rPr>
          <w:rFonts w:ascii="Times New Roman" w:hAnsi="Times New Roman" w:cs="Times New Roman"/>
          <w:sz w:val="24"/>
          <w:szCs w:val="24"/>
        </w:rPr>
        <w:t xml:space="preserve">– </w:t>
      </w:r>
      <w:r w:rsidR="00B33F21" w:rsidRPr="004D2FF7">
        <w:rPr>
          <w:rFonts w:ascii="Times New Roman" w:hAnsi="Times New Roman" w:cs="Times New Roman"/>
          <w:sz w:val="24"/>
          <w:szCs w:val="24"/>
        </w:rPr>
        <w:t>în sumă de</w:t>
      </w:r>
      <w:r w:rsidRPr="004D2FF7">
        <w:rPr>
          <w:rFonts w:ascii="Times New Roman" w:hAnsi="Times New Roman" w:cs="Times New Roman"/>
          <w:sz w:val="24"/>
          <w:szCs w:val="24"/>
        </w:rPr>
        <w:t xml:space="preserve"> 1</w:t>
      </w:r>
      <w:r w:rsidR="00C370A5">
        <w:rPr>
          <w:rFonts w:ascii="Times New Roman" w:hAnsi="Times New Roman" w:cs="Times New Roman"/>
          <w:sz w:val="24"/>
          <w:szCs w:val="24"/>
        </w:rPr>
        <w:t>.</w:t>
      </w:r>
      <w:r w:rsidR="00EE1243" w:rsidRPr="004D2FF7">
        <w:rPr>
          <w:rFonts w:ascii="Times New Roman" w:hAnsi="Times New Roman" w:cs="Times New Roman"/>
          <w:sz w:val="24"/>
          <w:szCs w:val="24"/>
        </w:rPr>
        <w:t>072,5</w:t>
      </w:r>
      <w:r w:rsidRPr="004D2FF7">
        <w:rPr>
          <w:rFonts w:ascii="Times New Roman" w:hAnsi="Times New Roman" w:cs="Times New Roman"/>
          <w:sz w:val="24"/>
          <w:szCs w:val="24"/>
        </w:rPr>
        <w:t xml:space="preserve"> mii lei, în anul 2020 </w:t>
      </w:r>
      <w:r w:rsidR="00B33F21" w:rsidRPr="004D2FF7">
        <w:rPr>
          <w:rFonts w:ascii="Times New Roman" w:hAnsi="Times New Roman" w:cs="Times New Roman"/>
          <w:sz w:val="24"/>
          <w:szCs w:val="24"/>
        </w:rPr>
        <w:t>–</w:t>
      </w:r>
      <w:r w:rsidRPr="004D2FF7">
        <w:rPr>
          <w:rFonts w:ascii="Times New Roman" w:hAnsi="Times New Roman" w:cs="Times New Roman"/>
          <w:sz w:val="24"/>
          <w:szCs w:val="24"/>
        </w:rPr>
        <w:t xml:space="preserve"> </w:t>
      </w:r>
      <w:r w:rsidR="00B33F21" w:rsidRPr="004D2FF7">
        <w:rPr>
          <w:rFonts w:ascii="Times New Roman" w:hAnsi="Times New Roman" w:cs="Times New Roman"/>
          <w:sz w:val="24"/>
          <w:szCs w:val="24"/>
        </w:rPr>
        <w:t xml:space="preserve">de </w:t>
      </w:r>
      <w:r w:rsidRPr="004D2FF7">
        <w:rPr>
          <w:rFonts w:ascii="Times New Roman" w:hAnsi="Times New Roman" w:cs="Times New Roman"/>
          <w:sz w:val="24"/>
          <w:szCs w:val="24"/>
        </w:rPr>
        <w:t>1</w:t>
      </w:r>
      <w:r w:rsidR="00EE1243" w:rsidRPr="004D2FF7">
        <w:rPr>
          <w:rFonts w:ascii="Times New Roman" w:hAnsi="Times New Roman" w:cs="Times New Roman"/>
          <w:sz w:val="24"/>
          <w:szCs w:val="24"/>
        </w:rPr>
        <w:t>65,6</w:t>
      </w:r>
      <w:r w:rsidRPr="004D2FF7">
        <w:rPr>
          <w:rFonts w:ascii="Times New Roman" w:hAnsi="Times New Roman" w:cs="Times New Roman"/>
          <w:sz w:val="24"/>
          <w:szCs w:val="24"/>
        </w:rPr>
        <w:t xml:space="preserve"> mii lei, în anul 2021 </w:t>
      </w:r>
      <w:r w:rsidR="00B33F21" w:rsidRPr="004D2FF7">
        <w:rPr>
          <w:rFonts w:ascii="Times New Roman" w:hAnsi="Times New Roman" w:cs="Times New Roman"/>
          <w:sz w:val="24"/>
          <w:szCs w:val="24"/>
        </w:rPr>
        <w:t>–</w:t>
      </w:r>
      <w:r w:rsidR="00396F2B" w:rsidRPr="004D2FF7">
        <w:rPr>
          <w:rFonts w:ascii="Times New Roman" w:hAnsi="Times New Roman" w:cs="Times New Roman"/>
          <w:sz w:val="24"/>
          <w:szCs w:val="24"/>
        </w:rPr>
        <w:t xml:space="preserve"> </w:t>
      </w:r>
      <w:r w:rsidR="00B33F21" w:rsidRPr="004D2FF7">
        <w:rPr>
          <w:rFonts w:ascii="Times New Roman" w:hAnsi="Times New Roman" w:cs="Times New Roman"/>
          <w:sz w:val="24"/>
          <w:szCs w:val="24"/>
        </w:rPr>
        <w:t xml:space="preserve">de </w:t>
      </w:r>
      <w:r w:rsidR="00396F2B" w:rsidRPr="004D2FF7">
        <w:rPr>
          <w:rFonts w:ascii="Times New Roman" w:hAnsi="Times New Roman" w:cs="Times New Roman"/>
          <w:sz w:val="24"/>
          <w:szCs w:val="24"/>
        </w:rPr>
        <w:t>2</w:t>
      </w:r>
      <w:r w:rsidR="00EE1243" w:rsidRPr="004D2FF7">
        <w:rPr>
          <w:rFonts w:ascii="Times New Roman" w:hAnsi="Times New Roman" w:cs="Times New Roman"/>
          <w:sz w:val="24"/>
          <w:szCs w:val="24"/>
        </w:rPr>
        <w:t>12,8</w:t>
      </w:r>
      <w:r w:rsidR="00396F2B" w:rsidRPr="004D2FF7">
        <w:rPr>
          <w:rFonts w:ascii="Times New Roman" w:hAnsi="Times New Roman" w:cs="Times New Roman"/>
          <w:sz w:val="24"/>
          <w:szCs w:val="24"/>
        </w:rPr>
        <w:t xml:space="preserve"> mii lei</w:t>
      </w:r>
      <w:r w:rsidR="00C370A5">
        <w:rPr>
          <w:rFonts w:ascii="Times New Roman" w:hAnsi="Times New Roman" w:cs="Times New Roman"/>
          <w:sz w:val="24"/>
          <w:szCs w:val="24"/>
        </w:rPr>
        <w:t>,</w:t>
      </w:r>
      <w:r w:rsidRPr="004D2FF7">
        <w:rPr>
          <w:rFonts w:ascii="Times New Roman" w:hAnsi="Times New Roman" w:cs="Times New Roman"/>
          <w:sz w:val="24"/>
          <w:szCs w:val="24"/>
        </w:rPr>
        <w:t xml:space="preserve"> și în anul 2022</w:t>
      </w:r>
      <w:r w:rsidR="000F6D2A" w:rsidRPr="004D2FF7">
        <w:rPr>
          <w:rFonts w:ascii="Times New Roman" w:hAnsi="Times New Roman" w:cs="Times New Roman"/>
          <w:sz w:val="24"/>
          <w:szCs w:val="24"/>
        </w:rPr>
        <w:t xml:space="preserve"> </w:t>
      </w:r>
      <w:r w:rsidR="00B33F21" w:rsidRPr="004D2FF7">
        <w:rPr>
          <w:rFonts w:ascii="Times New Roman" w:hAnsi="Times New Roman" w:cs="Times New Roman"/>
          <w:sz w:val="24"/>
          <w:szCs w:val="24"/>
        </w:rPr>
        <w:t>–</w:t>
      </w:r>
      <w:r w:rsidRPr="004D2FF7">
        <w:rPr>
          <w:rFonts w:ascii="Times New Roman" w:hAnsi="Times New Roman" w:cs="Times New Roman"/>
          <w:sz w:val="24"/>
          <w:szCs w:val="24"/>
        </w:rPr>
        <w:t xml:space="preserve"> </w:t>
      </w:r>
      <w:r w:rsidR="00B33F21" w:rsidRPr="004D2FF7">
        <w:rPr>
          <w:rFonts w:ascii="Times New Roman" w:hAnsi="Times New Roman" w:cs="Times New Roman"/>
          <w:sz w:val="24"/>
          <w:szCs w:val="24"/>
        </w:rPr>
        <w:t xml:space="preserve">de </w:t>
      </w:r>
      <w:r w:rsidRPr="004D2FF7">
        <w:rPr>
          <w:rFonts w:ascii="Times New Roman" w:hAnsi="Times New Roman" w:cs="Times New Roman"/>
          <w:sz w:val="24"/>
          <w:szCs w:val="24"/>
        </w:rPr>
        <w:t>3</w:t>
      </w:r>
      <w:r w:rsidR="00EE1243" w:rsidRPr="004D2FF7">
        <w:rPr>
          <w:rFonts w:ascii="Times New Roman" w:hAnsi="Times New Roman" w:cs="Times New Roman"/>
          <w:sz w:val="24"/>
          <w:szCs w:val="24"/>
        </w:rPr>
        <w:t>08,3</w:t>
      </w:r>
      <w:r w:rsidRPr="004D2FF7">
        <w:rPr>
          <w:rFonts w:ascii="Times New Roman" w:hAnsi="Times New Roman" w:cs="Times New Roman"/>
          <w:sz w:val="24"/>
          <w:szCs w:val="24"/>
        </w:rPr>
        <w:t xml:space="preserve"> mii lei.</w:t>
      </w:r>
      <w:r w:rsidR="00507243" w:rsidRPr="004D2FF7">
        <w:rPr>
          <w:rFonts w:ascii="Times New Roman" w:hAnsi="Times New Roman" w:cs="Times New Roman"/>
          <w:sz w:val="24"/>
          <w:szCs w:val="24"/>
          <w:lang w:val="ro-RO"/>
        </w:rPr>
        <w:t xml:space="preserve"> Toate ordinele</w:t>
      </w:r>
      <w:r w:rsidR="000013BA" w:rsidRPr="004D2FF7">
        <w:rPr>
          <w:rFonts w:ascii="Times New Roman" w:hAnsi="Times New Roman" w:cs="Times New Roman"/>
          <w:sz w:val="24"/>
          <w:szCs w:val="24"/>
          <w:lang w:val="ro-RO"/>
        </w:rPr>
        <w:t xml:space="preserve"> emise</w:t>
      </w:r>
      <w:r w:rsidR="00507243" w:rsidRPr="004D2FF7">
        <w:rPr>
          <w:rFonts w:ascii="Times New Roman" w:hAnsi="Times New Roman" w:cs="Times New Roman"/>
          <w:sz w:val="24"/>
          <w:szCs w:val="24"/>
          <w:lang w:val="ro-RO"/>
        </w:rPr>
        <w:t xml:space="preserve"> cu privire la premiere</w:t>
      </w:r>
      <w:r w:rsidR="00BD55E4" w:rsidRPr="004D2FF7">
        <w:rPr>
          <w:rFonts w:ascii="Times New Roman" w:hAnsi="Times New Roman" w:cs="Times New Roman"/>
          <w:sz w:val="24"/>
          <w:szCs w:val="24"/>
          <w:lang w:val="ro-RO"/>
        </w:rPr>
        <w:t xml:space="preserve"> </w:t>
      </w:r>
      <w:r w:rsidR="00507243" w:rsidRPr="004D2FF7">
        <w:rPr>
          <w:rFonts w:ascii="Times New Roman" w:hAnsi="Times New Roman" w:cs="Times New Roman"/>
          <w:sz w:val="24"/>
          <w:szCs w:val="24"/>
          <w:lang w:val="ro-RO"/>
        </w:rPr>
        <w:t>conțin sintagma „pentru rezultate deosebite obținute în activitate, devotament și implicare în promovarea domeniului protecției datelor cu caracter personal</w:t>
      </w:r>
      <w:r w:rsidR="00194278" w:rsidRPr="004D2FF7">
        <w:rPr>
          <w:rFonts w:ascii="Times New Roman" w:hAnsi="Times New Roman" w:cs="Times New Roman"/>
          <w:sz w:val="24"/>
          <w:szCs w:val="24"/>
          <w:lang w:val="ro-RO"/>
        </w:rPr>
        <w:t xml:space="preserve"> și cu prilejul sărbătorilor</w:t>
      </w:r>
      <w:r w:rsidR="00851386" w:rsidRPr="004D2FF7">
        <w:rPr>
          <w:rFonts w:ascii="Times New Roman" w:hAnsi="Times New Roman" w:cs="Times New Roman"/>
          <w:sz w:val="24"/>
          <w:szCs w:val="24"/>
          <w:lang w:val="ro-RO"/>
        </w:rPr>
        <w:t>”</w:t>
      </w:r>
      <w:r w:rsidR="00507243" w:rsidRPr="004D2FF7">
        <w:rPr>
          <w:rFonts w:ascii="Times New Roman" w:hAnsi="Times New Roman" w:cs="Times New Roman"/>
          <w:sz w:val="24"/>
          <w:szCs w:val="24"/>
          <w:lang w:val="ro-RO"/>
        </w:rPr>
        <w:t>.</w:t>
      </w:r>
    </w:p>
    <w:p w14:paraId="76A8B02C" w14:textId="11928D76" w:rsidR="001B6116" w:rsidRPr="004D2FF7" w:rsidRDefault="00A02509" w:rsidP="00A02509">
      <w:pPr>
        <w:spacing w:after="80"/>
        <w:jc w:val="both"/>
        <w:rPr>
          <w:rFonts w:ascii="Times New Roman" w:hAnsi="Times New Roman" w:cs="Times New Roman"/>
          <w:sz w:val="24"/>
          <w:szCs w:val="24"/>
          <w:lang w:val="ro-RO"/>
        </w:rPr>
      </w:pPr>
      <w:r w:rsidRPr="004D2FF7">
        <w:rPr>
          <w:rFonts w:ascii="Times New Roman" w:hAnsi="Times New Roman" w:cs="Times New Roman"/>
          <w:sz w:val="24"/>
          <w:szCs w:val="24"/>
          <w:lang w:val="ro-RO"/>
        </w:rPr>
        <w:t>Deși m</w:t>
      </w:r>
      <w:r w:rsidR="001B6116" w:rsidRPr="004D2FF7">
        <w:rPr>
          <w:rFonts w:ascii="Times New Roman" w:hAnsi="Times New Roman" w:cs="Times New Roman"/>
          <w:sz w:val="24"/>
          <w:szCs w:val="24"/>
          <w:lang w:val="ro-RO"/>
        </w:rPr>
        <w:t>ărimea premiilor unice achitate angajaților per ansamblu nu a depășit limita legală</w:t>
      </w:r>
      <w:r w:rsidR="001B6116" w:rsidRPr="004D2FF7">
        <w:rPr>
          <w:rStyle w:val="FootnoteReference"/>
          <w:rFonts w:ascii="Times New Roman" w:hAnsi="Times New Roman" w:cs="Times New Roman"/>
          <w:lang w:val="ro-RO"/>
        </w:rPr>
        <w:footnoteReference w:id="103"/>
      </w:r>
      <w:r w:rsidR="001B6116" w:rsidRPr="004D2FF7">
        <w:rPr>
          <w:rFonts w:ascii="Times New Roman" w:hAnsi="Times New Roman" w:cs="Times New Roman"/>
          <w:sz w:val="24"/>
          <w:szCs w:val="24"/>
          <w:lang w:val="ro-RO"/>
        </w:rPr>
        <w:t>,  acordarea premiilor s-a efectuat la decizia conducerii C</w:t>
      </w:r>
      <w:r w:rsidR="00F351C8" w:rsidRPr="004D2FF7">
        <w:rPr>
          <w:rFonts w:ascii="Times New Roman" w:hAnsi="Times New Roman" w:cs="Times New Roman"/>
          <w:sz w:val="24"/>
          <w:szCs w:val="24"/>
          <w:lang w:val="ro-RO"/>
        </w:rPr>
        <w:t>NPDCP</w:t>
      </w:r>
      <w:r w:rsidR="001B6116" w:rsidRPr="004D2FF7">
        <w:rPr>
          <w:rFonts w:ascii="Times New Roman" w:hAnsi="Times New Roman" w:cs="Times New Roman"/>
          <w:sz w:val="24"/>
          <w:szCs w:val="24"/>
          <w:lang w:val="ro-RO"/>
        </w:rPr>
        <w:t xml:space="preserve">, </w:t>
      </w:r>
      <w:r w:rsidR="00E205F2" w:rsidRPr="004D2FF7">
        <w:rPr>
          <w:rFonts w:ascii="Times New Roman" w:hAnsi="Times New Roman" w:cs="Times New Roman"/>
          <w:sz w:val="24"/>
          <w:szCs w:val="24"/>
          <w:lang w:val="ro-RO"/>
        </w:rPr>
        <w:t>contrar</w:t>
      </w:r>
      <w:r w:rsidR="00E205F2" w:rsidRPr="004D2FF7">
        <w:rPr>
          <w:rStyle w:val="FootnoteReference"/>
          <w:rFonts w:ascii="Times New Roman" w:hAnsi="Times New Roman" w:cs="Times New Roman"/>
          <w:lang w:val="ro-RO"/>
        </w:rPr>
        <w:footnoteReference w:id="104"/>
      </w:r>
      <w:r w:rsidRPr="004D2FF7">
        <w:rPr>
          <w:rFonts w:ascii="Times New Roman" w:hAnsi="Times New Roman" w:cs="Times New Roman"/>
          <w:sz w:val="24"/>
          <w:szCs w:val="24"/>
          <w:lang w:val="ro-RO"/>
        </w:rPr>
        <w:t xml:space="preserve"> </w:t>
      </w:r>
      <w:r w:rsidR="001B6116" w:rsidRPr="004D2FF7">
        <w:rPr>
          <w:rFonts w:ascii="Times New Roman" w:hAnsi="Times New Roman" w:cs="Times New Roman"/>
          <w:sz w:val="24"/>
          <w:szCs w:val="24"/>
          <w:lang w:val="ro-RO"/>
        </w:rPr>
        <w:t>principiul</w:t>
      </w:r>
      <w:r w:rsidR="00E205F2" w:rsidRPr="004D2FF7">
        <w:rPr>
          <w:rFonts w:ascii="Times New Roman" w:hAnsi="Times New Roman" w:cs="Times New Roman"/>
          <w:sz w:val="24"/>
          <w:szCs w:val="24"/>
          <w:lang w:val="ro-RO"/>
        </w:rPr>
        <w:t>ui</w:t>
      </w:r>
      <w:r w:rsidR="001B6116" w:rsidRPr="004D2FF7">
        <w:rPr>
          <w:rFonts w:ascii="Times New Roman" w:hAnsi="Times New Roman" w:cs="Times New Roman"/>
          <w:sz w:val="24"/>
          <w:szCs w:val="24"/>
          <w:lang w:val="ro-RO"/>
        </w:rPr>
        <w:t xml:space="preserve"> nediscriminării, echității în sensul asigurării tratamentului egal al angajaților,</w:t>
      </w:r>
      <w:r w:rsidR="001B6116" w:rsidRPr="004D2FF7">
        <w:rPr>
          <w:rFonts w:ascii="Times New Roman" w:hAnsi="Times New Roman" w:cs="Times New Roman"/>
          <w:b/>
          <w:sz w:val="24"/>
          <w:szCs w:val="24"/>
          <w:lang w:val="ro-RO"/>
        </w:rPr>
        <w:t xml:space="preserve"> </w:t>
      </w:r>
      <w:r w:rsidRPr="004D2FF7">
        <w:rPr>
          <w:rFonts w:ascii="Times New Roman" w:hAnsi="Times New Roman" w:cs="Times New Roman"/>
          <w:sz w:val="24"/>
          <w:szCs w:val="24"/>
        </w:rPr>
        <w:t>premii</w:t>
      </w:r>
      <w:r w:rsidR="00B3429E" w:rsidRPr="004D2FF7">
        <w:rPr>
          <w:rFonts w:ascii="Times New Roman" w:hAnsi="Times New Roman" w:cs="Times New Roman"/>
          <w:sz w:val="24"/>
          <w:szCs w:val="24"/>
        </w:rPr>
        <w:t>le</w:t>
      </w:r>
      <w:r w:rsidRPr="004D2FF7">
        <w:rPr>
          <w:rFonts w:ascii="Times New Roman" w:hAnsi="Times New Roman" w:cs="Times New Roman"/>
          <w:sz w:val="24"/>
          <w:szCs w:val="24"/>
        </w:rPr>
        <w:t xml:space="preserve"> unice</w:t>
      </w:r>
      <w:r w:rsidR="000F6D2A" w:rsidRPr="004D2FF7">
        <w:rPr>
          <w:rFonts w:ascii="Times New Roman" w:hAnsi="Times New Roman" w:cs="Times New Roman"/>
          <w:sz w:val="24"/>
          <w:szCs w:val="24"/>
        </w:rPr>
        <w:t xml:space="preserve"> în sumă de </w:t>
      </w:r>
      <w:r w:rsidR="00795652" w:rsidRPr="004D2FF7">
        <w:rPr>
          <w:rFonts w:ascii="Times New Roman" w:hAnsi="Times New Roman" w:cs="Times New Roman"/>
          <w:sz w:val="24"/>
          <w:szCs w:val="24"/>
        </w:rPr>
        <w:t>1</w:t>
      </w:r>
      <w:r w:rsidR="00C370A5">
        <w:rPr>
          <w:rFonts w:ascii="Times New Roman" w:hAnsi="Times New Roman" w:cs="Times New Roman"/>
          <w:sz w:val="24"/>
          <w:szCs w:val="24"/>
        </w:rPr>
        <w:t>.</w:t>
      </w:r>
      <w:r w:rsidR="00795652" w:rsidRPr="004D2FF7">
        <w:rPr>
          <w:rFonts w:ascii="Times New Roman" w:hAnsi="Times New Roman" w:cs="Times New Roman"/>
          <w:sz w:val="24"/>
          <w:szCs w:val="24"/>
        </w:rPr>
        <w:t>760,0</w:t>
      </w:r>
      <w:r w:rsidR="000F6D2A" w:rsidRPr="004D2FF7">
        <w:rPr>
          <w:rFonts w:ascii="Times New Roman" w:hAnsi="Times New Roman" w:cs="Times New Roman"/>
          <w:sz w:val="24"/>
          <w:szCs w:val="24"/>
        </w:rPr>
        <w:t xml:space="preserve"> mii lei</w:t>
      </w:r>
      <w:r w:rsidR="00795652" w:rsidRPr="004D2FF7">
        <w:rPr>
          <w:rStyle w:val="FootnoteReference"/>
          <w:rFonts w:ascii="Times New Roman" w:hAnsi="Times New Roman" w:cs="Times New Roman"/>
          <w:sz w:val="24"/>
          <w:szCs w:val="24"/>
        </w:rPr>
        <w:footnoteReference w:id="105"/>
      </w:r>
      <w:r w:rsidRPr="004D2FF7">
        <w:rPr>
          <w:rFonts w:ascii="Times New Roman" w:hAnsi="Times New Roman" w:cs="Times New Roman"/>
          <w:sz w:val="24"/>
          <w:szCs w:val="24"/>
        </w:rPr>
        <w:t xml:space="preserve"> </w:t>
      </w:r>
      <w:r w:rsidR="001B6116" w:rsidRPr="004D2FF7">
        <w:rPr>
          <w:rFonts w:ascii="Times New Roman" w:hAnsi="Times New Roman" w:cs="Times New Roman"/>
          <w:sz w:val="24"/>
          <w:szCs w:val="24"/>
          <w:lang w:val="ro-RO"/>
        </w:rPr>
        <w:t>fiind distribuite neuniform între angajații</w:t>
      </w:r>
      <w:r w:rsidR="00B3429E" w:rsidRPr="004D2FF7">
        <w:rPr>
          <w:rFonts w:ascii="Times New Roman" w:hAnsi="Times New Roman" w:cs="Times New Roman"/>
          <w:sz w:val="24"/>
          <w:szCs w:val="24"/>
          <w:lang w:val="ro-RO"/>
        </w:rPr>
        <w:t xml:space="preserve"> CNPDCP</w:t>
      </w:r>
      <w:r w:rsidR="00883390" w:rsidRPr="004D2FF7">
        <w:rPr>
          <w:rFonts w:ascii="Times New Roman" w:hAnsi="Times New Roman" w:cs="Times New Roman"/>
          <w:sz w:val="24"/>
          <w:szCs w:val="24"/>
          <w:lang w:val="ro-RO"/>
        </w:rPr>
        <w:t>. Astfel, p</w:t>
      </w:r>
      <w:r w:rsidR="001B6116" w:rsidRPr="004D2FF7">
        <w:rPr>
          <w:rFonts w:ascii="Times New Roman" w:hAnsi="Times New Roman" w:cs="Times New Roman"/>
          <w:sz w:val="24"/>
          <w:szCs w:val="24"/>
          <w:lang w:val="ro-RO"/>
        </w:rPr>
        <w:t>entru personal</w:t>
      </w:r>
      <w:r w:rsidR="006637EA" w:rsidRPr="004D2FF7">
        <w:rPr>
          <w:rFonts w:ascii="Times New Roman" w:hAnsi="Times New Roman" w:cs="Times New Roman"/>
          <w:sz w:val="24"/>
          <w:szCs w:val="24"/>
          <w:lang w:val="ro-RO"/>
        </w:rPr>
        <w:t>ul</w:t>
      </w:r>
      <w:r w:rsidR="001B6116" w:rsidRPr="004D2FF7">
        <w:rPr>
          <w:rFonts w:ascii="Times New Roman" w:hAnsi="Times New Roman" w:cs="Times New Roman"/>
          <w:sz w:val="24"/>
          <w:szCs w:val="24"/>
          <w:lang w:val="ro-RO"/>
        </w:rPr>
        <w:t xml:space="preserve"> de execuție</w:t>
      </w:r>
      <w:r w:rsidR="006637EA" w:rsidRPr="004D2FF7">
        <w:rPr>
          <w:rFonts w:ascii="Times New Roman" w:hAnsi="Times New Roman" w:cs="Times New Roman"/>
          <w:sz w:val="24"/>
          <w:szCs w:val="24"/>
          <w:lang w:val="ro-RO"/>
        </w:rPr>
        <w:t xml:space="preserve"> acestea</w:t>
      </w:r>
      <w:r w:rsidR="00883390" w:rsidRPr="004D2FF7">
        <w:rPr>
          <w:rFonts w:ascii="Times New Roman" w:hAnsi="Times New Roman" w:cs="Times New Roman"/>
          <w:sz w:val="24"/>
          <w:szCs w:val="24"/>
          <w:lang w:val="ro-RO"/>
        </w:rPr>
        <w:t xml:space="preserve"> au</w:t>
      </w:r>
      <w:r w:rsidR="001B6116" w:rsidRPr="004D2FF7">
        <w:rPr>
          <w:rFonts w:ascii="Times New Roman" w:hAnsi="Times New Roman" w:cs="Times New Roman"/>
          <w:sz w:val="24"/>
          <w:szCs w:val="24"/>
          <w:lang w:val="ro-RO"/>
        </w:rPr>
        <w:t xml:space="preserve"> vari</w:t>
      </w:r>
      <w:r w:rsidR="00883390" w:rsidRPr="004D2FF7">
        <w:rPr>
          <w:rFonts w:ascii="Times New Roman" w:hAnsi="Times New Roman" w:cs="Times New Roman"/>
          <w:sz w:val="24"/>
          <w:szCs w:val="24"/>
          <w:lang w:val="ro-RO"/>
        </w:rPr>
        <w:t>at</w:t>
      </w:r>
      <w:r w:rsidR="001B6116" w:rsidRPr="004D2FF7">
        <w:rPr>
          <w:rFonts w:ascii="Times New Roman" w:hAnsi="Times New Roman" w:cs="Times New Roman"/>
          <w:sz w:val="24"/>
          <w:szCs w:val="24"/>
          <w:lang w:val="ro-RO"/>
        </w:rPr>
        <w:t xml:space="preserve"> </w:t>
      </w:r>
      <w:r w:rsidR="00B3429E" w:rsidRPr="004D2FF7">
        <w:rPr>
          <w:rFonts w:ascii="Times New Roman" w:hAnsi="Times New Roman" w:cs="Times New Roman"/>
          <w:sz w:val="24"/>
          <w:szCs w:val="24"/>
          <w:lang w:val="ro-RO"/>
        </w:rPr>
        <w:t>de</w:t>
      </w:r>
      <w:r w:rsidR="001B6116" w:rsidRPr="004D2FF7">
        <w:rPr>
          <w:rFonts w:ascii="Times New Roman" w:hAnsi="Times New Roman" w:cs="Times New Roman"/>
          <w:sz w:val="24"/>
          <w:szCs w:val="24"/>
          <w:lang w:val="ro-RO"/>
        </w:rPr>
        <w:t xml:space="preserve"> </w:t>
      </w:r>
      <w:r w:rsidR="00E205F2" w:rsidRPr="004D2FF7">
        <w:rPr>
          <w:rFonts w:ascii="Times New Roman" w:hAnsi="Times New Roman" w:cs="Times New Roman"/>
          <w:sz w:val="24"/>
          <w:szCs w:val="24"/>
          <w:lang w:val="ro-RO"/>
        </w:rPr>
        <w:t>la</w:t>
      </w:r>
      <w:r w:rsidR="00B207F6" w:rsidRPr="004D2FF7">
        <w:rPr>
          <w:rFonts w:ascii="Times New Roman" w:hAnsi="Times New Roman" w:cs="Times New Roman"/>
          <w:sz w:val="24"/>
          <w:szCs w:val="24"/>
          <w:lang w:val="ro-RO"/>
        </w:rPr>
        <w:t xml:space="preserve"> </w:t>
      </w:r>
      <w:r w:rsidR="001B6116" w:rsidRPr="004D2FF7">
        <w:rPr>
          <w:rFonts w:ascii="Times New Roman" w:hAnsi="Times New Roman" w:cs="Times New Roman"/>
          <w:sz w:val="24"/>
          <w:szCs w:val="24"/>
          <w:lang w:val="ro-RO"/>
        </w:rPr>
        <w:t>500 lei</w:t>
      </w:r>
      <w:r w:rsidR="00E205F2" w:rsidRPr="004D2FF7">
        <w:rPr>
          <w:rFonts w:ascii="Times New Roman" w:hAnsi="Times New Roman" w:cs="Times New Roman"/>
          <w:sz w:val="24"/>
          <w:szCs w:val="24"/>
          <w:lang w:val="ro-RO"/>
        </w:rPr>
        <w:t xml:space="preserve"> până la </w:t>
      </w:r>
      <w:r w:rsidR="001B6116" w:rsidRPr="004D2FF7">
        <w:rPr>
          <w:rFonts w:ascii="Times New Roman" w:hAnsi="Times New Roman" w:cs="Times New Roman"/>
          <w:sz w:val="24"/>
          <w:szCs w:val="24"/>
          <w:lang w:val="ro-RO"/>
        </w:rPr>
        <w:t>3</w:t>
      </w:r>
      <w:r w:rsidR="00C370A5">
        <w:rPr>
          <w:rFonts w:ascii="Times New Roman" w:hAnsi="Times New Roman" w:cs="Times New Roman"/>
          <w:sz w:val="24"/>
          <w:szCs w:val="24"/>
          <w:lang w:val="ro-RO"/>
        </w:rPr>
        <w:t>.</w:t>
      </w:r>
      <w:r w:rsidR="001B6116" w:rsidRPr="004D2FF7">
        <w:rPr>
          <w:rFonts w:ascii="Times New Roman" w:hAnsi="Times New Roman" w:cs="Times New Roman"/>
          <w:sz w:val="24"/>
          <w:szCs w:val="24"/>
          <w:lang w:val="ro-RO"/>
        </w:rPr>
        <w:t>000 lei</w:t>
      </w:r>
      <w:r w:rsidR="00B23284" w:rsidRPr="004D2FF7">
        <w:rPr>
          <w:rFonts w:ascii="Times New Roman" w:hAnsi="Times New Roman" w:cs="Times New Roman"/>
          <w:sz w:val="24"/>
          <w:szCs w:val="24"/>
          <w:lang w:val="ro-RO"/>
        </w:rPr>
        <w:t xml:space="preserve">, iar </w:t>
      </w:r>
      <w:r w:rsidR="001B6116" w:rsidRPr="004D2FF7">
        <w:rPr>
          <w:rFonts w:ascii="Times New Roman" w:hAnsi="Times New Roman" w:cs="Times New Roman"/>
          <w:sz w:val="24"/>
          <w:szCs w:val="24"/>
          <w:lang w:val="ro-RO"/>
        </w:rPr>
        <w:t>pentru conducere</w:t>
      </w:r>
      <w:r w:rsidR="00E205F2" w:rsidRPr="004D2FF7">
        <w:rPr>
          <w:rFonts w:ascii="Times New Roman" w:hAnsi="Times New Roman" w:cs="Times New Roman"/>
          <w:sz w:val="24"/>
          <w:szCs w:val="24"/>
          <w:lang w:val="ro-RO"/>
        </w:rPr>
        <w:t>a entității</w:t>
      </w:r>
      <w:r w:rsidR="006637EA" w:rsidRPr="004D2FF7">
        <w:rPr>
          <w:rFonts w:ascii="Times New Roman" w:hAnsi="Times New Roman" w:cs="Times New Roman"/>
          <w:sz w:val="24"/>
          <w:szCs w:val="24"/>
          <w:lang w:val="ro-RO"/>
        </w:rPr>
        <w:t xml:space="preserve"> </w:t>
      </w:r>
      <w:r w:rsidR="00C370A5">
        <w:rPr>
          <w:rFonts w:ascii="Times New Roman" w:hAnsi="Times New Roman" w:cs="Times New Roman"/>
          <w:sz w:val="24"/>
          <w:szCs w:val="24"/>
          <w:lang w:val="ro-RO"/>
        </w:rPr>
        <w:t>–</w:t>
      </w:r>
      <w:r w:rsidR="00851386" w:rsidRPr="004D2FF7">
        <w:rPr>
          <w:rFonts w:ascii="Times New Roman" w:hAnsi="Times New Roman" w:cs="Times New Roman"/>
          <w:sz w:val="24"/>
          <w:szCs w:val="24"/>
          <w:lang w:val="ro-RO"/>
        </w:rPr>
        <w:t xml:space="preserve"> </w:t>
      </w:r>
      <w:r w:rsidR="00E205F2" w:rsidRPr="004D2FF7">
        <w:rPr>
          <w:rFonts w:ascii="Times New Roman" w:hAnsi="Times New Roman" w:cs="Times New Roman"/>
          <w:sz w:val="24"/>
          <w:szCs w:val="24"/>
          <w:lang w:val="ro-RO"/>
        </w:rPr>
        <w:t>de la</w:t>
      </w:r>
      <w:r w:rsidR="001B6116" w:rsidRPr="004D2FF7">
        <w:rPr>
          <w:rFonts w:ascii="Times New Roman" w:hAnsi="Times New Roman" w:cs="Times New Roman"/>
          <w:sz w:val="24"/>
          <w:szCs w:val="24"/>
          <w:lang w:val="ro-RO"/>
        </w:rPr>
        <w:t xml:space="preserve"> 6</w:t>
      </w:r>
      <w:r w:rsidR="00C370A5">
        <w:rPr>
          <w:rFonts w:ascii="Times New Roman" w:hAnsi="Times New Roman" w:cs="Times New Roman"/>
          <w:sz w:val="24"/>
          <w:szCs w:val="24"/>
          <w:lang w:val="ro-RO"/>
        </w:rPr>
        <w:t>.</w:t>
      </w:r>
      <w:r w:rsidR="001B6116" w:rsidRPr="004D2FF7">
        <w:rPr>
          <w:rFonts w:ascii="Times New Roman" w:hAnsi="Times New Roman" w:cs="Times New Roman"/>
          <w:sz w:val="24"/>
          <w:szCs w:val="24"/>
          <w:lang w:val="ro-RO"/>
        </w:rPr>
        <w:t>000 lei</w:t>
      </w:r>
      <w:r w:rsidR="00E205F2" w:rsidRPr="004D2FF7">
        <w:rPr>
          <w:rFonts w:ascii="Times New Roman" w:hAnsi="Times New Roman" w:cs="Times New Roman"/>
          <w:sz w:val="24"/>
          <w:szCs w:val="24"/>
          <w:lang w:val="ro-RO"/>
        </w:rPr>
        <w:t xml:space="preserve"> </w:t>
      </w:r>
      <w:r w:rsidR="000F6D2A" w:rsidRPr="004D2FF7">
        <w:rPr>
          <w:rFonts w:ascii="Times New Roman" w:hAnsi="Times New Roman" w:cs="Times New Roman"/>
          <w:sz w:val="24"/>
          <w:szCs w:val="24"/>
          <w:lang w:val="ro-RO"/>
        </w:rPr>
        <w:t>până</w:t>
      </w:r>
      <w:r w:rsidR="00E205F2" w:rsidRPr="004D2FF7">
        <w:rPr>
          <w:rFonts w:ascii="Times New Roman" w:hAnsi="Times New Roman" w:cs="Times New Roman"/>
          <w:sz w:val="24"/>
          <w:szCs w:val="24"/>
          <w:lang w:val="ro-RO"/>
        </w:rPr>
        <w:t xml:space="preserve"> la </w:t>
      </w:r>
      <w:r w:rsidR="001B6116" w:rsidRPr="004D2FF7">
        <w:rPr>
          <w:rFonts w:ascii="Times New Roman" w:hAnsi="Times New Roman" w:cs="Times New Roman"/>
          <w:sz w:val="24"/>
          <w:szCs w:val="24"/>
          <w:lang w:val="ro-RO"/>
        </w:rPr>
        <w:t>1</w:t>
      </w:r>
      <w:r w:rsidR="00B23284" w:rsidRPr="004D2FF7">
        <w:rPr>
          <w:rFonts w:ascii="Times New Roman" w:hAnsi="Times New Roman" w:cs="Times New Roman"/>
          <w:sz w:val="24"/>
          <w:szCs w:val="24"/>
          <w:lang w:val="ro-RO"/>
        </w:rPr>
        <w:t>2</w:t>
      </w:r>
      <w:r w:rsidR="00C370A5">
        <w:rPr>
          <w:rFonts w:ascii="Times New Roman" w:hAnsi="Times New Roman" w:cs="Times New Roman"/>
          <w:sz w:val="24"/>
          <w:szCs w:val="24"/>
          <w:lang w:val="ro-RO"/>
        </w:rPr>
        <w:t>.</w:t>
      </w:r>
      <w:r w:rsidR="00B23284" w:rsidRPr="004D2FF7">
        <w:rPr>
          <w:rFonts w:ascii="Times New Roman" w:hAnsi="Times New Roman" w:cs="Times New Roman"/>
          <w:sz w:val="24"/>
          <w:szCs w:val="24"/>
          <w:lang w:val="ro-RO"/>
        </w:rPr>
        <w:t>8</w:t>
      </w:r>
      <w:r w:rsidR="001B6116" w:rsidRPr="004D2FF7">
        <w:rPr>
          <w:rFonts w:ascii="Times New Roman" w:hAnsi="Times New Roman" w:cs="Times New Roman"/>
          <w:sz w:val="24"/>
          <w:szCs w:val="24"/>
          <w:lang w:val="ro-RO"/>
        </w:rPr>
        <w:t>00 lei</w:t>
      </w:r>
      <w:r w:rsidR="00B23284" w:rsidRPr="004D2FF7">
        <w:rPr>
          <w:rFonts w:ascii="Times New Roman" w:hAnsi="Times New Roman" w:cs="Times New Roman"/>
          <w:sz w:val="24"/>
          <w:szCs w:val="24"/>
          <w:lang w:val="ro-RO"/>
        </w:rPr>
        <w:t>,</w:t>
      </w:r>
      <w:r w:rsidR="00B3429E" w:rsidRPr="004D2FF7">
        <w:rPr>
          <w:rFonts w:ascii="Times New Roman" w:hAnsi="Times New Roman" w:cs="Times New Roman"/>
          <w:sz w:val="24"/>
          <w:szCs w:val="24"/>
          <w:lang w:val="ro-RO"/>
        </w:rPr>
        <w:t xml:space="preserve"> sau</w:t>
      </w:r>
      <w:r w:rsidR="00E205F2" w:rsidRPr="004D2FF7">
        <w:rPr>
          <w:rFonts w:ascii="Times New Roman" w:hAnsi="Times New Roman" w:cs="Times New Roman"/>
          <w:sz w:val="24"/>
          <w:szCs w:val="24"/>
          <w:lang w:val="ro-RO"/>
        </w:rPr>
        <w:t xml:space="preserve"> de </w:t>
      </w:r>
      <w:r w:rsidR="00B23284" w:rsidRPr="004D2FF7">
        <w:rPr>
          <w:rFonts w:ascii="Times New Roman" w:hAnsi="Times New Roman" w:cs="Times New Roman"/>
          <w:sz w:val="24"/>
          <w:szCs w:val="24"/>
          <w:lang w:val="ro-RO"/>
        </w:rPr>
        <w:t>4</w:t>
      </w:r>
      <w:r w:rsidR="00E205F2" w:rsidRPr="004D2FF7">
        <w:rPr>
          <w:rFonts w:ascii="Times New Roman" w:hAnsi="Times New Roman" w:cs="Times New Roman"/>
          <w:sz w:val="24"/>
          <w:szCs w:val="24"/>
          <w:lang w:val="ro-RO"/>
        </w:rPr>
        <w:t xml:space="preserve"> – </w:t>
      </w:r>
      <w:r w:rsidR="00B23284" w:rsidRPr="004D2FF7">
        <w:rPr>
          <w:rFonts w:ascii="Times New Roman" w:hAnsi="Times New Roman" w:cs="Times New Roman"/>
          <w:sz w:val="24"/>
          <w:szCs w:val="24"/>
          <w:lang w:val="ro-RO"/>
        </w:rPr>
        <w:t>2</w:t>
      </w:r>
      <w:r w:rsidR="000972C4" w:rsidRPr="004D2FF7">
        <w:rPr>
          <w:rFonts w:ascii="Times New Roman" w:hAnsi="Times New Roman" w:cs="Times New Roman"/>
          <w:sz w:val="24"/>
          <w:szCs w:val="24"/>
          <w:lang w:val="ro-RO"/>
        </w:rPr>
        <w:t>6</w:t>
      </w:r>
      <w:r w:rsidR="00E205F2" w:rsidRPr="004D2FF7">
        <w:rPr>
          <w:rFonts w:ascii="Times New Roman" w:hAnsi="Times New Roman" w:cs="Times New Roman"/>
          <w:sz w:val="24"/>
          <w:szCs w:val="24"/>
          <w:lang w:val="ro-RO"/>
        </w:rPr>
        <w:t xml:space="preserve"> ori mai mult</w:t>
      </w:r>
      <w:r w:rsidR="00B23284" w:rsidRPr="004D2FF7">
        <w:rPr>
          <w:rFonts w:ascii="Times New Roman" w:hAnsi="Times New Roman" w:cs="Times New Roman"/>
          <w:i/>
          <w:sz w:val="24"/>
          <w:szCs w:val="24"/>
          <w:lang w:val="ro-RO"/>
        </w:rPr>
        <w:t xml:space="preserve"> </w:t>
      </w:r>
      <w:r w:rsidR="00B23284" w:rsidRPr="004D2FF7">
        <w:rPr>
          <w:rFonts w:ascii="Times New Roman" w:hAnsi="Times New Roman" w:cs="Times New Roman"/>
          <w:sz w:val="24"/>
          <w:szCs w:val="24"/>
          <w:lang w:val="ro-RO"/>
        </w:rPr>
        <w:t>comparativ cu</w:t>
      </w:r>
      <w:r w:rsidR="00B23284" w:rsidRPr="004D2FF7">
        <w:rPr>
          <w:rFonts w:ascii="Times New Roman" w:hAnsi="Times New Roman" w:cs="Times New Roman"/>
          <w:sz w:val="24"/>
          <w:szCs w:val="24"/>
        </w:rPr>
        <w:t xml:space="preserve"> premiile unice acordate</w:t>
      </w:r>
      <w:r w:rsidR="00B23284" w:rsidRPr="004D2FF7">
        <w:rPr>
          <w:rFonts w:ascii="Times New Roman" w:hAnsi="Times New Roman" w:cs="Times New Roman"/>
          <w:sz w:val="24"/>
          <w:szCs w:val="24"/>
          <w:lang w:val="ro-RO"/>
        </w:rPr>
        <w:t xml:space="preserve"> personalului de execuție</w:t>
      </w:r>
      <w:r w:rsidR="001B6116" w:rsidRPr="004D2FF7">
        <w:rPr>
          <w:rFonts w:ascii="Times New Roman" w:hAnsi="Times New Roman" w:cs="Times New Roman"/>
          <w:sz w:val="24"/>
          <w:szCs w:val="24"/>
          <w:lang w:val="ro-RO"/>
        </w:rPr>
        <w:t xml:space="preserve">. </w:t>
      </w:r>
    </w:p>
    <w:p w14:paraId="407B8D48" w14:textId="3E49A6E2" w:rsidR="00851386" w:rsidRPr="004D2FF7" w:rsidRDefault="00851386" w:rsidP="00851386">
      <w:pPr>
        <w:jc w:val="both"/>
        <w:rPr>
          <w:rFonts w:ascii="Times New Roman" w:hAnsi="Times New Roman" w:cs="Times New Roman"/>
          <w:sz w:val="24"/>
          <w:szCs w:val="24"/>
          <w:lang w:val="ro-RO"/>
        </w:rPr>
      </w:pPr>
      <w:r w:rsidRPr="004D2FF7">
        <w:rPr>
          <w:rFonts w:ascii="Times New Roman" w:hAnsi="Times New Roman" w:cs="Times New Roman"/>
          <w:sz w:val="24"/>
          <w:szCs w:val="24"/>
          <w:lang w:val="ro-RO"/>
        </w:rPr>
        <w:t xml:space="preserve">Probele de audit denotă că în anul 2018, </w:t>
      </w:r>
      <w:r w:rsidR="00C370A5">
        <w:rPr>
          <w:rFonts w:ascii="Times New Roman" w:hAnsi="Times New Roman" w:cs="Times New Roman"/>
          <w:sz w:val="24"/>
          <w:szCs w:val="24"/>
          <w:lang w:val="ro-RO"/>
        </w:rPr>
        <w:t>din cauza</w:t>
      </w:r>
      <w:r w:rsidR="00C370A5" w:rsidRPr="004D2FF7">
        <w:rPr>
          <w:rFonts w:ascii="Times New Roman" w:hAnsi="Times New Roman" w:cs="Times New Roman"/>
          <w:sz w:val="24"/>
          <w:szCs w:val="24"/>
          <w:lang w:val="ro-RO"/>
        </w:rPr>
        <w:t xml:space="preserve"> </w:t>
      </w:r>
      <w:r w:rsidRPr="004D2FF7">
        <w:rPr>
          <w:rFonts w:ascii="Times New Roman" w:hAnsi="Times New Roman" w:cs="Times New Roman"/>
          <w:sz w:val="24"/>
          <w:szCs w:val="24"/>
          <w:lang w:val="ro-RO"/>
        </w:rPr>
        <w:t>unui grad scăzut de ocupare a funcțiilor vacante (71%), fondul de salarizare a fost supraestimat, generând economii de circa 28% din total</w:t>
      </w:r>
      <w:r w:rsidR="00C370A5">
        <w:rPr>
          <w:rFonts w:ascii="Times New Roman" w:hAnsi="Times New Roman" w:cs="Times New Roman"/>
          <w:sz w:val="24"/>
          <w:szCs w:val="24"/>
          <w:lang w:val="ro-RO"/>
        </w:rPr>
        <w:t>ul</w:t>
      </w:r>
      <w:r w:rsidRPr="004D2FF7">
        <w:rPr>
          <w:rFonts w:ascii="Times New Roman" w:hAnsi="Times New Roman" w:cs="Times New Roman"/>
          <w:sz w:val="24"/>
          <w:szCs w:val="24"/>
          <w:lang w:val="ro-RO"/>
        </w:rPr>
        <w:t xml:space="preserve"> mijloace</w:t>
      </w:r>
      <w:r w:rsidR="00C370A5">
        <w:rPr>
          <w:rFonts w:ascii="Times New Roman" w:hAnsi="Times New Roman" w:cs="Times New Roman"/>
          <w:sz w:val="24"/>
          <w:szCs w:val="24"/>
          <w:lang w:val="ro-RO"/>
        </w:rPr>
        <w:t>lor</w:t>
      </w:r>
      <w:r w:rsidRPr="004D2FF7">
        <w:rPr>
          <w:rFonts w:ascii="Times New Roman" w:hAnsi="Times New Roman" w:cs="Times New Roman"/>
          <w:sz w:val="24"/>
          <w:szCs w:val="24"/>
          <w:lang w:val="ro-RO"/>
        </w:rPr>
        <w:t xml:space="preserve"> calculate pentru retribuirea muncii în perioada de referință (3</w:t>
      </w:r>
      <w:r w:rsidR="00C370A5">
        <w:rPr>
          <w:rFonts w:ascii="Times New Roman" w:hAnsi="Times New Roman" w:cs="Times New Roman"/>
          <w:sz w:val="24"/>
          <w:szCs w:val="24"/>
          <w:lang w:val="ro-RO"/>
        </w:rPr>
        <w:t>.</w:t>
      </w:r>
      <w:r w:rsidRPr="004D2FF7">
        <w:rPr>
          <w:rFonts w:ascii="Times New Roman" w:hAnsi="Times New Roman" w:cs="Times New Roman"/>
          <w:sz w:val="24"/>
          <w:szCs w:val="24"/>
          <w:lang w:val="ro-RO"/>
        </w:rPr>
        <w:t xml:space="preserve">851,3 mii lei). </w:t>
      </w:r>
    </w:p>
    <w:p w14:paraId="5EE7E263" w14:textId="6E6E4BA0" w:rsidR="009E1D40" w:rsidRPr="009E1D40" w:rsidRDefault="00194278" w:rsidP="00F97555">
      <w:pPr>
        <w:jc w:val="both"/>
        <w:rPr>
          <w:rFonts w:ascii="Times New Roman" w:hAnsi="Times New Roman" w:cs="Times New Roman"/>
          <w:sz w:val="24"/>
          <w:szCs w:val="24"/>
          <w:lang w:val="ro-RO"/>
        </w:rPr>
      </w:pPr>
      <w:r w:rsidRPr="004D2FF7">
        <w:rPr>
          <w:rFonts w:ascii="Times New Roman" w:hAnsi="Times New Roman" w:cs="Times New Roman"/>
          <w:sz w:val="24"/>
          <w:szCs w:val="24"/>
          <w:lang w:val="ro-RO"/>
        </w:rPr>
        <w:t>Reieșind din economiile formate</w:t>
      </w:r>
      <w:r w:rsidR="00851386" w:rsidRPr="004D2FF7">
        <w:rPr>
          <w:rFonts w:ascii="Times New Roman" w:hAnsi="Times New Roman" w:cs="Times New Roman"/>
          <w:sz w:val="24"/>
          <w:szCs w:val="24"/>
          <w:lang w:val="ro-RO"/>
        </w:rPr>
        <w:t xml:space="preserve"> </w:t>
      </w:r>
      <w:r w:rsidRPr="004D2FF7">
        <w:rPr>
          <w:rFonts w:ascii="Times New Roman" w:hAnsi="Times New Roman" w:cs="Times New Roman"/>
          <w:sz w:val="24"/>
          <w:szCs w:val="24"/>
          <w:lang w:val="ro-RO"/>
        </w:rPr>
        <w:t xml:space="preserve">la fondul de retribuire a muncii </w:t>
      </w:r>
      <w:r w:rsidR="002E5AB7" w:rsidRPr="004D2FF7">
        <w:rPr>
          <w:rFonts w:ascii="Times New Roman" w:hAnsi="Times New Roman" w:cs="Times New Roman"/>
          <w:sz w:val="24"/>
          <w:szCs w:val="24"/>
          <w:lang w:val="ro-RO"/>
        </w:rPr>
        <w:t xml:space="preserve">în anul 2018, </w:t>
      </w:r>
      <w:r w:rsidR="009B7B8C" w:rsidRPr="004D2FF7">
        <w:rPr>
          <w:rFonts w:ascii="Times New Roman" w:hAnsi="Times New Roman" w:cs="Times New Roman"/>
          <w:sz w:val="24"/>
          <w:szCs w:val="24"/>
          <w:lang w:val="ro-RO"/>
        </w:rPr>
        <w:t xml:space="preserve">toți </w:t>
      </w:r>
      <w:r w:rsidRPr="004D2FF7">
        <w:rPr>
          <w:rFonts w:ascii="Times New Roman" w:hAnsi="Times New Roman" w:cs="Times New Roman"/>
          <w:sz w:val="24"/>
          <w:szCs w:val="24"/>
          <w:lang w:val="ro-RO"/>
        </w:rPr>
        <w:t xml:space="preserve">angajații au beneficiat de 12 premii unice lunare </w:t>
      </w:r>
      <w:r w:rsidR="001560F3" w:rsidRPr="004D2FF7">
        <w:rPr>
          <w:rFonts w:ascii="Times New Roman" w:hAnsi="Times New Roman" w:cs="Times New Roman"/>
          <w:sz w:val="24"/>
          <w:szCs w:val="24"/>
          <w:lang w:val="ro-RO"/>
        </w:rPr>
        <w:t>î</w:t>
      </w:r>
      <w:r w:rsidRPr="004D2FF7">
        <w:rPr>
          <w:rFonts w:ascii="Times New Roman" w:hAnsi="Times New Roman" w:cs="Times New Roman"/>
          <w:sz w:val="24"/>
          <w:szCs w:val="24"/>
          <w:lang w:val="ro-RO"/>
        </w:rPr>
        <w:t xml:space="preserve">n sumă de </w:t>
      </w:r>
      <w:r w:rsidRPr="004D2FF7">
        <w:rPr>
          <w:rFonts w:ascii="Times New Roman" w:hAnsi="Times New Roman" w:cs="Times New Roman"/>
          <w:sz w:val="24"/>
          <w:szCs w:val="24"/>
        </w:rPr>
        <w:t>1</w:t>
      </w:r>
      <w:r w:rsidR="00C370A5">
        <w:rPr>
          <w:rFonts w:ascii="Times New Roman" w:hAnsi="Times New Roman" w:cs="Times New Roman"/>
          <w:sz w:val="24"/>
          <w:szCs w:val="24"/>
        </w:rPr>
        <w:t>.</w:t>
      </w:r>
      <w:r w:rsidRPr="004D2FF7">
        <w:rPr>
          <w:rFonts w:ascii="Times New Roman" w:hAnsi="Times New Roman" w:cs="Times New Roman"/>
          <w:sz w:val="24"/>
          <w:szCs w:val="24"/>
        </w:rPr>
        <w:t xml:space="preserve">072,5 mii lei, </w:t>
      </w:r>
      <w:r w:rsidRPr="004D2FF7">
        <w:rPr>
          <w:rFonts w:ascii="Times New Roman" w:hAnsi="Times New Roman" w:cs="Times New Roman"/>
          <w:sz w:val="24"/>
          <w:szCs w:val="24"/>
          <w:lang w:val="ro-RO"/>
        </w:rPr>
        <w:t>inclusiv 8 premii unice de 788,2 mii lei pentru zile</w:t>
      </w:r>
      <w:r w:rsidR="00C370A5">
        <w:rPr>
          <w:rFonts w:ascii="Times New Roman" w:hAnsi="Times New Roman" w:cs="Times New Roman"/>
          <w:sz w:val="24"/>
          <w:szCs w:val="24"/>
          <w:lang w:val="ro-RO"/>
        </w:rPr>
        <w:t>le</w:t>
      </w:r>
      <w:r w:rsidRPr="004D2FF7">
        <w:rPr>
          <w:rFonts w:ascii="Times New Roman" w:hAnsi="Times New Roman" w:cs="Times New Roman"/>
          <w:sz w:val="24"/>
          <w:szCs w:val="24"/>
          <w:lang w:val="ro-RO"/>
        </w:rPr>
        <w:t xml:space="preserve"> de sărbătoare nelucrătoare și 4 premii</w:t>
      </w:r>
      <w:r w:rsidR="009B7B8C" w:rsidRPr="004D2FF7">
        <w:rPr>
          <w:rFonts w:ascii="Times New Roman" w:hAnsi="Times New Roman" w:cs="Times New Roman"/>
          <w:sz w:val="24"/>
          <w:szCs w:val="24"/>
          <w:lang w:val="ro-RO"/>
        </w:rPr>
        <w:t xml:space="preserve"> unice de </w:t>
      </w:r>
      <w:r w:rsidRPr="004D2FF7">
        <w:rPr>
          <w:rFonts w:ascii="Times New Roman" w:hAnsi="Times New Roman" w:cs="Times New Roman"/>
          <w:sz w:val="24"/>
          <w:szCs w:val="24"/>
          <w:lang w:val="ro-RO"/>
        </w:rPr>
        <w:t>284,3 mii lei pentru sărbătoarea profesională</w:t>
      </w:r>
      <w:r w:rsidR="009B7B8C" w:rsidRPr="004D2FF7">
        <w:rPr>
          <w:rStyle w:val="FootnoteReference"/>
          <w:rFonts w:ascii="Times New Roman" w:hAnsi="Times New Roman" w:cs="Times New Roman"/>
          <w:sz w:val="24"/>
          <w:szCs w:val="24"/>
          <w:lang w:val="ro-RO"/>
        </w:rPr>
        <w:footnoteReference w:id="106"/>
      </w:r>
      <w:r w:rsidR="00875D0E">
        <w:rPr>
          <w:rFonts w:ascii="Times New Roman" w:hAnsi="Times New Roman" w:cs="Times New Roman"/>
          <w:sz w:val="24"/>
          <w:szCs w:val="24"/>
          <w:lang w:val="ro-RO"/>
        </w:rPr>
        <w:t xml:space="preserve">. </w:t>
      </w:r>
      <w:r w:rsidR="009B7B8C" w:rsidRPr="004D2FF7">
        <w:rPr>
          <w:rFonts w:ascii="Times New Roman" w:hAnsi="Times New Roman" w:cs="Times New Roman"/>
          <w:sz w:val="24"/>
          <w:szCs w:val="24"/>
          <w:lang w:val="ro-RO"/>
        </w:rPr>
        <w:t>De menționat că ordinele cu privire la premiere pentru lun</w:t>
      </w:r>
      <w:r w:rsidR="00C370A5">
        <w:rPr>
          <w:rFonts w:ascii="Times New Roman" w:hAnsi="Times New Roman" w:cs="Times New Roman"/>
          <w:sz w:val="24"/>
          <w:szCs w:val="24"/>
          <w:lang w:val="ro-RO"/>
        </w:rPr>
        <w:t>ile</w:t>
      </w:r>
      <w:r w:rsidR="009B7B8C" w:rsidRPr="004D2FF7">
        <w:rPr>
          <w:rFonts w:ascii="Times New Roman" w:hAnsi="Times New Roman" w:cs="Times New Roman"/>
          <w:sz w:val="24"/>
          <w:szCs w:val="24"/>
          <w:lang w:val="ro-RO"/>
        </w:rPr>
        <w:t xml:space="preserve"> septembrie</w:t>
      </w:r>
      <w:r w:rsidR="009B7B8C" w:rsidRPr="004D2FF7">
        <w:rPr>
          <w:rStyle w:val="FootnoteReference"/>
          <w:rFonts w:ascii="Times New Roman" w:hAnsi="Times New Roman" w:cs="Times New Roman"/>
          <w:lang w:val="ro-RO"/>
        </w:rPr>
        <w:footnoteReference w:id="107"/>
      </w:r>
      <w:r w:rsidR="009B7B8C" w:rsidRPr="004D2FF7">
        <w:rPr>
          <w:rFonts w:ascii="Times New Roman" w:hAnsi="Times New Roman" w:cs="Times New Roman"/>
          <w:sz w:val="24"/>
          <w:szCs w:val="24"/>
          <w:lang w:val="ro-RO"/>
        </w:rPr>
        <w:t xml:space="preserve"> și august</w:t>
      </w:r>
      <w:r w:rsidR="009B7B8C" w:rsidRPr="004D2FF7">
        <w:rPr>
          <w:rStyle w:val="FootnoteReference"/>
          <w:rFonts w:ascii="Times New Roman" w:hAnsi="Times New Roman" w:cs="Times New Roman"/>
          <w:lang w:val="ro-RO"/>
        </w:rPr>
        <w:footnoteReference w:id="108"/>
      </w:r>
      <w:r w:rsidR="009B7B8C" w:rsidRPr="004D2FF7">
        <w:rPr>
          <w:rFonts w:ascii="Times New Roman" w:hAnsi="Times New Roman" w:cs="Times New Roman"/>
          <w:sz w:val="24"/>
          <w:szCs w:val="24"/>
          <w:lang w:val="ro-RO"/>
        </w:rPr>
        <w:t xml:space="preserve"> au fost emise</w:t>
      </w:r>
      <w:r w:rsidR="00097E90" w:rsidRPr="004D2FF7">
        <w:rPr>
          <w:rFonts w:ascii="Times New Roman" w:hAnsi="Times New Roman" w:cs="Times New Roman"/>
          <w:sz w:val="24"/>
          <w:szCs w:val="24"/>
          <w:lang w:val="ro-RO"/>
        </w:rPr>
        <w:t xml:space="preserve"> neregulamentar</w:t>
      </w:r>
      <w:r w:rsidR="00097E90" w:rsidRPr="004D2FF7">
        <w:rPr>
          <w:rStyle w:val="FootnoteReference"/>
          <w:rFonts w:ascii="Times New Roman" w:hAnsi="Times New Roman" w:cs="Times New Roman"/>
          <w:sz w:val="24"/>
          <w:szCs w:val="24"/>
          <w:lang w:val="ro-RO"/>
        </w:rPr>
        <w:footnoteReference w:id="109"/>
      </w:r>
      <w:r w:rsidR="009B7B8C" w:rsidRPr="004D2FF7">
        <w:rPr>
          <w:rFonts w:ascii="Times New Roman" w:hAnsi="Times New Roman" w:cs="Times New Roman"/>
          <w:sz w:val="24"/>
          <w:szCs w:val="24"/>
          <w:lang w:val="ro-RO"/>
        </w:rPr>
        <w:t>, în luna următoare, după efectuarea plăților propriu</w:t>
      </w:r>
      <w:r w:rsidR="00C370A5">
        <w:rPr>
          <w:rFonts w:ascii="Times New Roman" w:hAnsi="Times New Roman" w:cs="Times New Roman"/>
          <w:sz w:val="24"/>
          <w:szCs w:val="24"/>
          <w:lang w:val="ro-RO"/>
        </w:rPr>
        <w:t>-</w:t>
      </w:r>
      <w:r w:rsidR="009B7B8C" w:rsidRPr="004D2FF7">
        <w:rPr>
          <w:rFonts w:ascii="Times New Roman" w:hAnsi="Times New Roman" w:cs="Times New Roman"/>
          <w:sz w:val="24"/>
          <w:szCs w:val="24"/>
          <w:lang w:val="ro-RO"/>
        </w:rPr>
        <w:t>zise.</w:t>
      </w:r>
      <w:r w:rsidR="00F76444">
        <w:rPr>
          <w:rFonts w:ascii="Times New Roman" w:hAnsi="Times New Roman" w:cs="Times New Roman"/>
          <w:sz w:val="24"/>
          <w:szCs w:val="24"/>
          <w:lang w:val="ro-RO"/>
        </w:rPr>
        <w:t xml:space="preserve"> </w:t>
      </w:r>
      <w:r w:rsidR="009E1D40" w:rsidRPr="009E1D40">
        <w:rPr>
          <w:rFonts w:ascii="Times New Roman" w:hAnsi="Times New Roman" w:cs="Times New Roman"/>
          <w:sz w:val="24"/>
          <w:szCs w:val="24"/>
          <w:lang w:val="ro-RO"/>
        </w:rPr>
        <w:t>Totodată,  în anul 2018, în lipsa temeiului juridic, conducătorul a dispus acordarea nejustificată la 13 persoane din cadrul CNPDCP, inclusiv sie</w:t>
      </w:r>
      <w:r w:rsidR="001F7A1F">
        <w:rPr>
          <w:rFonts w:ascii="Times New Roman" w:hAnsi="Times New Roman" w:cs="Times New Roman"/>
          <w:sz w:val="24"/>
          <w:szCs w:val="24"/>
          <w:lang w:val="ro-RO"/>
        </w:rPr>
        <w:t>,</w:t>
      </w:r>
      <w:r w:rsidR="009E1D40" w:rsidRPr="009E1D40">
        <w:rPr>
          <w:rFonts w:ascii="Times New Roman" w:hAnsi="Times New Roman" w:cs="Times New Roman"/>
          <w:sz w:val="24"/>
          <w:szCs w:val="24"/>
          <w:lang w:val="ro-RO"/>
        </w:rPr>
        <w:t xml:space="preserve"> a premiilor unice în sumă de 19,5 mii lei</w:t>
      </w:r>
      <w:r w:rsidR="009E1D40">
        <w:rPr>
          <w:rStyle w:val="FootnoteReference"/>
          <w:rFonts w:ascii="Times New Roman" w:hAnsi="Times New Roman" w:cs="Times New Roman"/>
          <w:sz w:val="24"/>
          <w:szCs w:val="24"/>
          <w:lang w:val="ro-RO"/>
        </w:rPr>
        <w:footnoteReference w:id="110"/>
      </w:r>
      <w:r w:rsidR="009E1D40">
        <w:rPr>
          <w:rFonts w:ascii="Times New Roman" w:hAnsi="Times New Roman" w:cs="Times New Roman"/>
          <w:sz w:val="24"/>
          <w:szCs w:val="24"/>
          <w:lang w:val="ro-RO"/>
        </w:rPr>
        <w:t>.</w:t>
      </w:r>
    </w:p>
    <w:p w14:paraId="00E4EB00" w14:textId="5F111D05" w:rsidR="00174522" w:rsidRPr="004D2FF7" w:rsidRDefault="00174522" w:rsidP="00174522">
      <w:pPr>
        <w:jc w:val="both"/>
        <w:rPr>
          <w:rFonts w:ascii="Times New Roman" w:hAnsi="Times New Roman" w:cs="Times New Roman"/>
          <w:sz w:val="24"/>
          <w:szCs w:val="24"/>
          <w:lang w:val="ro-RO"/>
        </w:rPr>
      </w:pPr>
      <w:r w:rsidRPr="004D2FF7">
        <w:rPr>
          <w:rFonts w:ascii="Times New Roman" w:hAnsi="Times New Roman" w:cs="Times New Roman"/>
          <w:sz w:val="24"/>
          <w:szCs w:val="24"/>
          <w:lang w:val="ro-RO"/>
        </w:rPr>
        <w:t>În anii 2019-2020</w:t>
      </w:r>
      <w:r w:rsidR="00D22D06" w:rsidRPr="004D2FF7">
        <w:rPr>
          <w:rFonts w:ascii="Times New Roman" w:hAnsi="Times New Roman" w:cs="Times New Roman"/>
          <w:sz w:val="24"/>
          <w:szCs w:val="24"/>
          <w:lang w:val="ro-RO"/>
        </w:rPr>
        <w:t>, CNPDCP</w:t>
      </w:r>
      <w:r w:rsidRPr="004D2FF7">
        <w:rPr>
          <w:rFonts w:ascii="Times New Roman" w:hAnsi="Times New Roman" w:cs="Times New Roman"/>
          <w:sz w:val="24"/>
          <w:szCs w:val="24"/>
          <w:lang w:val="ro-RO"/>
        </w:rPr>
        <w:t xml:space="preserve"> a achitat sporuri pentru cumularea funcțiilor vacante la 12 angajați</w:t>
      </w:r>
      <w:r w:rsidR="001F7A1F">
        <w:rPr>
          <w:rFonts w:ascii="Times New Roman" w:hAnsi="Times New Roman" w:cs="Times New Roman"/>
          <w:sz w:val="24"/>
          <w:szCs w:val="24"/>
          <w:lang w:val="ro-RO"/>
        </w:rPr>
        <w:t>,</w:t>
      </w:r>
      <w:r w:rsidRPr="004D2FF7">
        <w:rPr>
          <w:rFonts w:ascii="Times New Roman" w:hAnsi="Times New Roman" w:cs="Times New Roman"/>
          <w:sz w:val="24"/>
          <w:szCs w:val="24"/>
          <w:lang w:val="ro-RO"/>
        </w:rPr>
        <w:t xml:space="preserve"> în sumă de 289,1 mii lei, însă ordinele conducerii privind cumularea funcțiilor vacante de către angajații </w:t>
      </w:r>
      <w:r w:rsidR="00D22D06" w:rsidRPr="004D2FF7">
        <w:rPr>
          <w:rFonts w:ascii="Times New Roman" w:hAnsi="Times New Roman" w:cs="Times New Roman"/>
          <w:sz w:val="24"/>
          <w:szCs w:val="24"/>
          <w:lang w:val="ro-RO"/>
        </w:rPr>
        <w:lastRenderedPageBreak/>
        <w:t xml:space="preserve">entității </w:t>
      </w:r>
      <w:r w:rsidRPr="004D2FF7">
        <w:rPr>
          <w:rFonts w:ascii="Times New Roman" w:hAnsi="Times New Roman" w:cs="Times New Roman"/>
          <w:sz w:val="24"/>
          <w:szCs w:val="24"/>
          <w:lang w:val="ro-RO"/>
        </w:rPr>
        <w:t>a</w:t>
      </w:r>
      <w:r w:rsidR="00D22D06" w:rsidRPr="004D2FF7">
        <w:rPr>
          <w:rFonts w:ascii="Times New Roman" w:hAnsi="Times New Roman" w:cs="Times New Roman"/>
          <w:sz w:val="24"/>
          <w:szCs w:val="24"/>
          <w:lang w:val="ro-RO"/>
        </w:rPr>
        <w:t>u</w:t>
      </w:r>
      <w:r w:rsidRPr="004D2FF7">
        <w:rPr>
          <w:rFonts w:ascii="Times New Roman" w:hAnsi="Times New Roman" w:cs="Times New Roman"/>
          <w:sz w:val="24"/>
          <w:szCs w:val="24"/>
          <w:lang w:val="ro-RO"/>
        </w:rPr>
        <w:t xml:space="preserve"> fost emise</w:t>
      </w:r>
      <w:r w:rsidR="00097E90" w:rsidRPr="004D2FF7">
        <w:rPr>
          <w:rFonts w:ascii="Times New Roman" w:hAnsi="Times New Roman" w:cs="Times New Roman"/>
          <w:sz w:val="24"/>
          <w:szCs w:val="24"/>
          <w:lang w:val="ro-RO"/>
        </w:rPr>
        <w:t xml:space="preserve"> neregulamentar</w:t>
      </w:r>
      <w:r w:rsidR="00097E90" w:rsidRPr="004D2FF7">
        <w:rPr>
          <w:rStyle w:val="FootnoteReference"/>
          <w:rFonts w:ascii="Times New Roman" w:hAnsi="Times New Roman" w:cs="Times New Roman"/>
          <w:sz w:val="24"/>
          <w:szCs w:val="24"/>
          <w:lang w:val="ro-RO"/>
        </w:rPr>
        <w:footnoteReference w:id="111"/>
      </w:r>
      <w:r w:rsidR="001F7A1F">
        <w:rPr>
          <w:rFonts w:ascii="Times New Roman" w:hAnsi="Times New Roman" w:cs="Times New Roman"/>
          <w:sz w:val="24"/>
          <w:szCs w:val="24"/>
          <w:lang w:val="ro-RO"/>
        </w:rPr>
        <w:t>,</w:t>
      </w:r>
      <w:r w:rsidR="00097E90" w:rsidRPr="004D2FF7">
        <w:rPr>
          <w:rFonts w:ascii="Times New Roman" w:hAnsi="Times New Roman" w:cs="Times New Roman"/>
          <w:sz w:val="24"/>
          <w:szCs w:val="24"/>
          <w:lang w:val="ro-RO"/>
        </w:rPr>
        <w:t xml:space="preserve"> </w:t>
      </w:r>
      <w:r w:rsidRPr="004D2FF7">
        <w:rPr>
          <w:rFonts w:ascii="Times New Roman" w:hAnsi="Times New Roman" w:cs="Times New Roman"/>
          <w:sz w:val="24"/>
          <w:szCs w:val="24"/>
          <w:lang w:val="ro-RO"/>
        </w:rPr>
        <w:t xml:space="preserve">la finele lunii, ulterior desfășurării activităților de cumulare sau post-factum. </w:t>
      </w:r>
    </w:p>
    <w:p w14:paraId="69181C37" w14:textId="185819C9" w:rsidR="00D86C28" w:rsidRPr="004D2FF7" w:rsidRDefault="00D86C28" w:rsidP="00D86C28">
      <w:pPr>
        <w:pStyle w:val="NormalWeb"/>
        <w:spacing w:after="120"/>
        <w:jc w:val="both"/>
        <w:rPr>
          <w:color w:val="000000"/>
          <w:lang w:val="ro-RO"/>
        </w:rPr>
      </w:pPr>
      <w:r w:rsidRPr="004D2FF7">
        <w:rPr>
          <w:color w:val="000000"/>
          <w:lang w:val="ro-RO"/>
        </w:rPr>
        <w:t>Potrivit normelor legale</w:t>
      </w:r>
      <w:r w:rsidRPr="004D2FF7">
        <w:rPr>
          <w:rStyle w:val="FootnoteReference"/>
          <w:color w:val="000000"/>
          <w:lang w:val="ro-RO"/>
        </w:rPr>
        <w:footnoteReference w:id="112"/>
      </w:r>
      <w:r w:rsidR="001F7A1F">
        <w:rPr>
          <w:color w:val="000000"/>
          <w:lang w:val="ro-RO"/>
        </w:rPr>
        <w:t>,</w:t>
      </w:r>
      <w:r w:rsidR="00A74C24" w:rsidRPr="004D2FF7">
        <w:rPr>
          <w:color w:val="000000"/>
          <w:lang w:val="ro-RO"/>
        </w:rPr>
        <w:t xml:space="preserve"> </w:t>
      </w:r>
      <w:r w:rsidRPr="004D2FF7">
        <w:rPr>
          <w:color w:val="000000"/>
          <w:lang w:val="ro-RO"/>
        </w:rPr>
        <w:t xml:space="preserve">pentru cumularea funcției deținute cu atribuțiile unei funcții vacante, angajații pot beneficia de un supliment la salariu, care nu va depăși 100% din salariul de bază corespunzător treptei I de salarizare. Pentru reflectarea suplimentului </w:t>
      </w:r>
      <w:r w:rsidR="00F87274" w:rsidRPr="004D2FF7">
        <w:rPr>
          <w:color w:val="000000"/>
          <w:lang w:val="ro-RO"/>
        </w:rPr>
        <w:t xml:space="preserve">privind cumularea atribuțiilor funcțiilor vacante </w:t>
      </w:r>
      <w:r w:rsidRPr="004D2FF7">
        <w:rPr>
          <w:color w:val="000000"/>
          <w:lang w:val="ro-RO"/>
        </w:rPr>
        <w:t xml:space="preserve">în sumă de </w:t>
      </w:r>
      <w:r w:rsidRPr="004D2FF7">
        <w:rPr>
          <w:lang w:val="ro-RO"/>
        </w:rPr>
        <w:t>289,1 mii lei</w:t>
      </w:r>
      <w:r w:rsidR="001F7A1F">
        <w:rPr>
          <w:lang w:val="ro-RO"/>
        </w:rPr>
        <w:t>,</w:t>
      </w:r>
      <w:r w:rsidRPr="004D2FF7">
        <w:rPr>
          <w:color w:val="000000"/>
          <w:lang w:val="ro-RO"/>
        </w:rPr>
        <w:t xml:space="preserve"> în sistemul informațional de evidența contabilă nu este atribuit cod separat, fiind raportat la salariul de bază a angajaților, ceea ce denaturează raportarea componentelor salariului lunar</w:t>
      </w:r>
      <w:r w:rsidRPr="004D2FF7">
        <w:rPr>
          <w:rStyle w:val="FootnoteReference"/>
          <w:color w:val="000000"/>
          <w:lang w:val="ro-RO"/>
        </w:rPr>
        <w:footnoteReference w:id="113"/>
      </w:r>
      <w:r w:rsidRPr="004D2FF7">
        <w:rPr>
          <w:color w:val="000000"/>
          <w:lang w:val="ro-RO"/>
        </w:rPr>
        <w:t xml:space="preserve"> cu suma</w:t>
      </w:r>
      <w:r w:rsidR="00106B70" w:rsidRPr="004D2FF7">
        <w:rPr>
          <w:color w:val="000000"/>
          <w:lang w:val="ro-RO"/>
        </w:rPr>
        <w:t xml:space="preserve"> de</w:t>
      </w:r>
      <w:r w:rsidRPr="004D2FF7">
        <w:rPr>
          <w:color w:val="000000"/>
          <w:lang w:val="ro-RO"/>
        </w:rPr>
        <w:t xml:space="preserve"> </w:t>
      </w:r>
      <w:r w:rsidR="00106B70" w:rsidRPr="004D2FF7">
        <w:rPr>
          <w:lang w:val="ro-RO"/>
        </w:rPr>
        <w:t>289,1 mii lei</w:t>
      </w:r>
      <w:r w:rsidRPr="004D2FF7">
        <w:rPr>
          <w:color w:val="000000"/>
          <w:lang w:val="ro-RO"/>
        </w:rPr>
        <w:t>.</w:t>
      </w:r>
    </w:p>
    <w:p w14:paraId="5CFF532E" w14:textId="25522F9A" w:rsidR="00174522" w:rsidRPr="004D2FF7" w:rsidRDefault="00174522" w:rsidP="00D86C28">
      <w:pPr>
        <w:spacing w:after="120"/>
        <w:jc w:val="both"/>
        <w:rPr>
          <w:rFonts w:ascii="Times New Roman" w:hAnsi="Times New Roman" w:cs="Times New Roman"/>
          <w:sz w:val="24"/>
          <w:szCs w:val="24"/>
          <w:lang w:val="ro-RO"/>
        </w:rPr>
      </w:pPr>
      <w:r w:rsidRPr="004D2FF7">
        <w:rPr>
          <w:rFonts w:ascii="Times New Roman" w:hAnsi="Times New Roman" w:cs="Times New Roman"/>
          <w:sz w:val="24"/>
          <w:szCs w:val="24"/>
          <w:lang w:val="ro-RO"/>
        </w:rPr>
        <w:t>Cumularea funcției de audit intern</w:t>
      </w:r>
      <w:r w:rsidRPr="004D2FF7">
        <w:rPr>
          <w:rStyle w:val="FootnoteReference"/>
          <w:rFonts w:ascii="Times New Roman" w:hAnsi="Times New Roman" w:cs="Times New Roman"/>
          <w:lang w:val="ro-RO"/>
        </w:rPr>
        <w:footnoteReference w:id="114"/>
      </w:r>
      <w:r w:rsidR="00984302" w:rsidRPr="004D2FF7">
        <w:rPr>
          <w:rFonts w:ascii="Times New Roman" w:hAnsi="Times New Roman" w:cs="Times New Roman"/>
          <w:sz w:val="24"/>
          <w:szCs w:val="24"/>
          <w:lang w:val="ro-RO"/>
        </w:rPr>
        <w:t xml:space="preserve"> </w:t>
      </w:r>
      <w:r w:rsidRPr="004D2FF7">
        <w:rPr>
          <w:rFonts w:ascii="Times New Roman" w:hAnsi="Times New Roman" w:cs="Times New Roman"/>
          <w:sz w:val="24"/>
          <w:szCs w:val="24"/>
          <w:lang w:val="ro-RO"/>
        </w:rPr>
        <w:t xml:space="preserve">de către un angajat al </w:t>
      </w:r>
      <w:r w:rsidR="001F7A1F">
        <w:rPr>
          <w:rFonts w:ascii="Times New Roman" w:hAnsi="Times New Roman" w:cs="Times New Roman"/>
          <w:sz w:val="24"/>
          <w:szCs w:val="24"/>
          <w:lang w:val="ro-RO"/>
        </w:rPr>
        <w:t>S</w:t>
      </w:r>
      <w:r w:rsidRPr="004D2FF7">
        <w:rPr>
          <w:rFonts w:ascii="Times New Roman" w:hAnsi="Times New Roman" w:cs="Times New Roman"/>
          <w:sz w:val="24"/>
          <w:szCs w:val="24"/>
          <w:lang w:val="ro-RO"/>
        </w:rPr>
        <w:t>ecției juridice</w:t>
      </w:r>
      <w:r w:rsidR="005062FD">
        <w:rPr>
          <w:rFonts w:ascii="Times New Roman" w:hAnsi="Times New Roman" w:cs="Times New Roman"/>
          <w:sz w:val="24"/>
          <w:szCs w:val="24"/>
          <w:lang w:val="ro-RO"/>
        </w:rPr>
        <w:t xml:space="preserve"> în perioada 2019-2020</w:t>
      </w:r>
      <w:r w:rsidRPr="004D2FF7">
        <w:rPr>
          <w:rFonts w:ascii="Times New Roman" w:hAnsi="Times New Roman" w:cs="Times New Roman"/>
          <w:sz w:val="24"/>
          <w:szCs w:val="24"/>
          <w:lang w:val="ro-RO"/>
        </w:rPr>
        <w:t>, care la</w:t>
      </w:r>
      <w:r w:rsidR="0044398E">
        <w:rPr>
          <w:rFonts w:ascii="Times New Roman" w:hAnsi="Times New Roman" w:cs="Times New Roman"/>
          <w:sz w:val="24"/>
          <w:szCs w:val="24"/>
          <w:lang w:val="ro-RO"/>
        </w:rPr>
        <w:t xml:space="preserve"> acel </w:t>
      </w:r>
      <w:r w:rsidRPr="004D2FF7">
        <w:rPr>
          <w:rFonts w:ascii="Times New Roman" w:hAnsi="Times New Roman" w:cs="Times New Roman"/>
          <w:sz w:val="24"/>
          <w:szCs w:val="24"/>
          <w:lang w:val="ro-RO"/>
        </w:rPr>
        <w:t xml:space="preserve"> moment deținea fu</w:t>
      </w:r>
      <w:r w:rsidR="00D22D06" w:rsidRPr="004D2FF7">
        <w:rPr>
          <w:rFonts w:ascii="Times New Roman" w:hAnsi="Times New Roman" w:cs="Times New Roman"/>
          <w:sz w:val="24"/>
          <w:szCs w:val="24"/>
          <w:lang w:val="ro-RO"/>
        </w:rPr>
        <w:t>ncția de șef adjunct de direcție</w:t>
      </w:r>
      <w:r w:rsidR="001F7A1F">
        <w:rPr>
          <w:rFonts w:ascii="Times New Roman" w:hAnsi="Times New Roman" w:cs="Times New Roman"/>
          <w:sz w:val="24"/>
          <w:szCs w:val="24"/>
          <w:lang w:val="ro-RO"/>
        </w:rPr>
        <w:t>,</w:t>
      </w:r>
      <w:r w:rsidR="00D22D06" w:rsidRPr="004D2FF7">
        <w:rPr>
          <w:rFonts w:ascii="Times New Roman" w:hAnsi="Times New Roman" w:cs="Times New Roman"/>
          <w:sz w:val="24"/>
          <w:szCs w:val="24"/>
          <w:lang w:val="ro-RO"/>
        </w:rPr>
        <w:t xml:space="preserve"> căruia i s-a achitat 19,3 mii lei</w:t>
      </w:r>
      <w:r w:rsidR="001F7A1F">
        <w:rPr>
          <w:rFonts w:ascii="Times New Roman" w:hAnsi="Times New Roman" w:cs="Times New Roman"/>
          <w:sz w:val="24"/>
          <w:szCs w:val="24"/>
          <w:lang w:val="ro-RO"/>
        </w:rPr>
        <w:t>,</w:t>
      </w:r>
      <w:r w:rsidRPr="004D2FF7">
        <w:rPr>
          <w:rFonts w:ascii="Times New Roman" w:hAnsi="Times New Roman" w:cs="Times New Roman"/>
          <w:sz w:val="24"/>
          <w:szCs w:val="24"/>
          <w:lang w:val="ro-RO"/>
        </w:rPr>
        <w:t xml:space="preserve"> este incompatibilă cu funcția deținută și nu oferă independență organizațională și funcțională în realizarea activităților de audit</w:t>
      </w:r>
      <w:r w:rsidRPr="004D2FF7">
        <w:rPr>
          <w:rStyle w:val="FootnoteReference"/>
          <w:rFonts w:ascii="Times New Roman" w:hAnsi="Times New Roman" w:cs="Times New Roman"/>
          <w:lang w:val="ro-RO"/>
        </w:rPr>
        <w:footnoteReference w:id="115"/>
      </w:r>
      <w:r w:rsidR="000A387C" w:rsidRPr="004D2FF7">
        <w:rPr>
          <w:rFonts w:ascii="Times New Roman" w:hAnsi="Times New Roman" w:cs="Times New Roman"/>
          <w:sz w:val="24"/>
          <w:szCs w:val="24"/>
          <w:lang w:val="ro-RO"/>
        </w:rPr>
        <w:t>.</w:t>
      </w:r>
    </w:p>
    <w:p w14:paraId="4A26F1EA" w14:textId="0D5D354C" w:rsidR="00D22D06" w:rsidRPr="004D2FF7" w:rsidRDefault="00D22D06" w:rsidP="00D22D06">
      <w:pPr>
        <w:jc w:val="both"/>
        <w:rPr>
          <w:rFonts w:ascii="Times New Roman" w:hAnsi="Times New Roman" w:cs="Times New Roman"/>
          <w:sz w:val="24"/>
          <w:szCs w:val="24"/>
          <w:lang w:val="ro-RO"/>
        </w:rPr>
      </w:pPr>
      <w:r w:rsidRPr="004D2FF7">
        <w:rPr>
          <w:rFonts w:ascii="Times New Roman" w:hAnsi="Times New Roman" w:cs="Times New Roman"/>
          <w:sz w:val="24"/>
          <w:szCs w:val="24"/>
          <w:lang w:val="ro-RO"/>
        </w:rPr>
        <w:t>De asemenea</w:t>
      </w:r>
      <w:r w:rsidR="0044398E">
        <w:rPr>
          <w:rFonts w:ascii="Times New Roman" w:hAnsi="Times New Roman" w:cs="Times New Roman"/>
          <w:sz w:val="24"/>
          <w:szCs w:val="24"/>
          <w:lang w:val="ro-RO"/>
        </w:rPr>
        <w:t>,</w:t>
      </w:r>
      <w:r w:rsidRPr="004D2FF7">
        <w:rPr>
          <w:rFonts w:ascii="Times New Roman" w:hAnsi="Times New Roman" w:cs="Times New Roman"/>
          <w:sz w:val="24"/>
          <w:szCs w:val="24"/>
          <w:lang w:val="ro-RO"/>
        </w:rPr>
        <w:t xml:space="preserve"> a fost achitat sporul la salariu</w:t>
      </w:r>
      <w:r w:rsidR="002E5AB7" w:rsidRPr="004D2FF7">
        <w:rPr>
          <w:rFonts w:ascii="Times New Roman" w:hAnsi="Times New Roman" w:cs="Times New Roman"/>
          <w:sz w:val="24"/>
          <w:szCs w:val="24"/>
          <w:lang w:val="ro-RO"/>
        </w:rPr>
        <w:t xml:space="preserve"> în sumă de 6,0 mii lei</w:t>
      </w:r>
      <w:r w:rsidRPr="004D2FF7">
        <w:rPr>
          <w:rFonts w:ascii="Times New Roman" w:hAnsi="Times New Roman" w:cs="Times New Roman"/>
          <w:sz w:val="24"/>
          <w:szCs w:val="24"/>
          <w:lang w:val="ro-RO"/>
        </w:rPr>
        <w:t xml:space="preserve"> pentru traducerea raportului de activitate a</w:t>
      </w:r>
      <w:r w:rsidR="0044398E">
        <w:rPr>
          <w:rFonts w:ascii="Times New Roman" w:hAnsi="Times New Roman" w:cs="Times New Roman"/>
          <w:sz w:val="24"/>
          <w:szCs w:val="24"/>
          <w:lang w:val="ro-RO"/>
        </w:rPr>
        <w:t>l</w:t>
      </w:r>
      <w:r w:rsidRPr="004D2FF7">
        <w:rPr>
          <w:rFonts w:ascii="Times New Roman" w:hAnsi="Times New Roman" w:cs="Times New Roman"/>
          <w:sz w:val="24"/>
          <w:szCs w:val="24"/>
          <w:lang w:val="ro-RO"/>
        </w:rPr>
        <w:t xml:space="preserve"> C</w:t>
      </w:r>
      <w:r w:rsidR="002E5AB7" w:rsidRPr="004D2FF7">
        <w:rPr>
          <w:rFonts w:ascii="Times New Roman" w:hAnsi="Times New Roman" w:cs="Times New Roman"/>
          <w:sz w:val="24"/>
          <w:szCs w:val="24"/>
          <w:lang w:val="ro-RO"/>
        </w:rPr>
        <w:t>NPDCP</w:t>
      </w:r>
      <w:r w:rsidRPr="004D2FF7">
        <w:rPr>
          <w:rFonts w:ascii="Times New Roman" w:hAnsi="Times New Roman" w:cs="Times New Roman"/>
          <w:sz w:val="24"/>
          <w:szCs w:val="24"/>
          <w:lang w:val="ro-RO"/>
        </w:rPr>
        <w:t xml:space="preserve"> în limba engleză, la trei angajați din cadrul Direcției relații externe și integrarea europeană, care nu se regăsește/nu se încadrează în componentele salariului lunar</w:t>
      </w:r>
      <w:r w:rsidRPr="004D2FF7">
        <w:rPr>
          <w:rStyle w:val="FootnoteReference"/>
          <w:rFonts w:ascii="Times New Roman" w:hAnsi="Times New Roman" w:cs="Times New Roman"/>
          <w:lang w:val="ro-RO"/>
        </w:rPr>
        <w:footnoteReference w:id="116"/>
      </w:r>
      <w:r w:rsidRPr="004D2FF7">
        <w:rPr>
          <w:rFonts w:ascii="Times New Roman" w:hAnsi="Times New Roman" w:cs="Times New Roman"/>
          <w:sz w:val="24"/>
          <w:szCs w:val="24"/>
          <w:lang w:val="ro-RO"/>
        </w:rPr>
        <w:t xml:space="preserve"> și reprezintă </w:t>
      </w:r>
      <w:r w:rsidR="002E5AB7" w:rsidRPr="004D2FF7">
        <w:rPr>
          <w:rFonts w:ascii="Times New Roman" w:hAnsi="Times New Roman" w:cs="Times New Roman"/>
          <w:sz w:val="24"/>
          <w:szCs w:val="24"/>
          <w:lang w:val="ro-RO"/>
        </w:rPr>
        <w:t xml:space="preserve"> nemijlocit </w:t>
      </w:r>
      <w:r w:rsidRPr="004D2FF7">
        <w:rPr>
          <w:rFonts w:ascii="Times New Roman" w:hAnsi="Times New Roman" w:cs="Times New Roman"/>
          <w:sz w:val="24"/>
          <w:szCs w:val="24"/>
          <w:lang w:val="ro-RO"/>
        </w:rPr>
        <w:t>atribuțiile de serviciu ale angajaților Direcției.</w:t>
      </w:r>
    </w:p>
    <w:p w14:paraId="531B6E8E" w14:textId="4D78E2F4" w:rsidR="00CC0B68" w:rsidRPr="004D2FF7" w:rsidRDefault="00CC0B68" w:rsidP="001F08F6">
      <w:pPr>
        <w:spacing w:after="120"/>
        <w:jc w:val="both"/>
        <w:outlineLvl w:val="2"/>
        <w:rPr>
          <w:rFonts w:ascii="Times New Roman" w:hAnsi="Times New Roman" w:cs="Times New Roman"/>
          <w:b/>
          <w:i/>
          <w:color w:val="2E74B5" w:themeColor="accent1" w:themeShade="BF"/>
          <w:sz w:val="24"/>
          <w:szCs w:val="24"/>
          <w:lang w:val="ro-RO"/>
        </w:rPr>
      </w:pPr>
      <w:bookmarkStart w:id="34" w:name="_Toc157776096"/>
      <w:r w:rsidRPr="004D2FF7">
        <w:rPr>
          <w:rFonts w:ascii="Times New Roman" w:hAnsi="Times New Roman" w:cs="Times New Roman"/>
          <w:b/>
          <w:i/>
          <w:color w:val="2E74B5" w:themeColor="accent1" w:themeShade="BF"/>
          <w:sz w:val="24"/>
          <w:szCs w:val="24"/>
        </w:rPr>
        <w:t>4.2.</w:t>
      </w:r>
      <w:r w:rsidR="00F1069B" w:rsidRPr="004D2FF7">
        <w:rPr>
          <w:rFonts w:ascii="Times New Roman" w:hAnsi="Times New Roman" w:cs="Times New Roman"/>
          <w:b/>
          <w:i/>
          <w:color w:val="2E74B5" w:themeColor="accent1" w:themeShade="BF"/>
          <w:sz w:val="24"/>
          <w:szCs w:val="24"/>
        </w:rPr>
        <w:t>3</w:t>
      </w:r>
      <w:r w:rsidRPr="004D2FF7">
        <w:rPr>
          <w:rFonts w:ascii="Times New Roman" w:hAnsi="Times New Roman" w:cs="Times New Roman"/>
          <w:b/>
          <w:i/>
          <w:color w:val="2E74B5" w:themeColor="accent1" w:themeShade="BF"/>
          <w:sz w:val="24"/>
          <w:szCs w:val="24"/>
        </w:rPr>
        <w:t xml:space="preserve"> </w:t>
      </w:r>
      <w:r w:rsidRPr="004D2FF7">
        <w:rPr>
          <w:rFonts w:ascii="Times New Roman" w:hAnsi="Times New Roman" w:cs="Times New Roman"/>
          <w:b/>
          <w:i/>
          <w:color w:val="2E74B5" w:themeColor="accent1" w:themeShade="BF"/>
          <w:sz w:val="24"/>
          <w:szCs w:val="24"/>
          <w:lang w:val="ro-RO"/>
        </w:rPr>
        <w:t xml:space="preserve">Se atestă </w:t>
      </w:r>
      <w:r w:rsidR="005A6BAD" w:rsidRPr="004D2FF7">
        <w:rPr>
          <w:rFonts w:ascii="Times New Roman" w:hAnsi="Times New Roman" w:cs="Times New Roman"/>
          <w:b/>
          <w:i/>
          <w:color w:val="2E74B5" w:themeColor="accent1" w:themeShade="BF"/>
          <w:sz w:val="24"/>
          <w:szCs w:val="24"/>
          <w:lang w:val="ro-RO"/>
        </w:rPr>
        <w:t xml:space="preserve">nerespectarea </w:t>
      </w:r>
      <w:r w:rsidR="006045F8" w:rsidRPr="004D2FF7">
        <w:rPr>
          <w:rFonts w:ascii="Times New Roman" w:hAnsi="Times New Roman" w:cs="Times New Roman"/>
          <w:b/>
          <w:i/>
          <w:color w:val="2E74B5" w:themeColor="accent1" w:themeShade="BF"/>
          <w:sz w:val="24"/>
          <w:szCs w:val="24"/>
          <w:lang w:val="ro-RO"/>
        </w:rPr>
        <w:t>cadrului legal</w:t>
      </w:r>
      <w:r w:rsidR="005A6BAD" w:rsidRPr="004D2FF7">
        <w:rPr>
          <w:rFonts w:ascii="Times New Roman" w:hAnsi="Times New Roman" w:cs="Times New Roman"/>
          <w:b/>
          <w:i/>
          <w:color w:val="2E74B5" w:themeColor="accent1" w:themeShade="BF"/>
          <w:sz w:val="24"/>
          <w:szCs w:val="24"/>
          <w:lang w:val="ro-RO"/>
        </w:rPr>
        <w:t xml:space="preserve"> </w:t>
      </w:r>
      <w:r w:rsidR="0044398E">
        <w:rPr>
          <w:rFonts w:ascii="Times New Roman" w:hAnsi="Times New Roman" w:cs="Times New Roman"/>
          <w:b/>
          <w:i/>
          <w:color w:val="2E74B5" w:themeColor="accent1" w:themeShade="BF"/>
          <w:sz w:val="24"/>
          <w:szCs w:val="24"/>
          <w:lang w:val="ro-RO"/>
        </w:rPr>
        <w:t>la</w:t>
      </w:r>
      <w:r w:rsidR="007A6F5F" w:rsidRPr="004D2FF7">
        <w:rPr>
          <w:rFonts w:ascii="Times New Roman" w:hAnsi="Times New Roman" w:cs="Times New Roman"/>
          <w:b/>
          <w:i/>
          <w:color w:val="2E74B5" w:themeColor="accent1" w:themeShade="BF"/>
          <w:sz w:val="24"/>
          <w:szCs w:val="24"/>
          <w:lang w:val="ro-RO"/>
        </w:rPr>
        <w:t xml:space="preserve"> planific</w:t>
      </w:r>
      <w:r w:rsidR="0044398E">
        <w:rPr>
          <w:rFonts w:ascii="Times New Roman" w:hAnsi="Times New Roman" w:cs="Times New Roman"/>
          <w:b/>
          <w:i/>
          <w:color w:val="2E74B5" w:themeColor="accent1" w:themeShade="BF"/>
          <w:sz w:val="24"/>
          <w:szCs w:val="24"/>
          <w:lang w:val="ro-RO"/>
        </w:rPr>
        <w:t>area</w:t>
      </w:r>
      <w:r w:rsidR="007A6F5F" w:rsidRPr="004D2FF7">
        <w:rPr>
          <w:rFonts w:ascii="Times New Roman" w:hAnsi="Times New Roman" w:cs="Times New Roman"/>
          <w:b/>
          <w:i/>
          <w:color w:val="2E74B5" w:themeColor="accent1" w:themeShade="BF"/>
          <w:sz w:val="24"/>
          <w:szCs w:val="24"/>
          <w:lang w:val="ro-RO"/>
        </w:rPr>
        <w:t>,</w:t>
      </w:r>
      <w:r w:rsidR="005A6BAD" w:rsidRPr="004D2FF7">
        <w:rPr>
          <w:rFonts w:ascii="Times New Roman" w:hAnsi="Times New Roman" w:cs="Times New Roman"/>
          <w:b/>
          <w:i/>
          <w:color w:val="2E74B5" w:themeColor="accent1" w:themeShade="BF"/>
          <w:sz w:val="24"/>
          <w:szCs w:val="24"/>
          <w:lang w:val="ro-RO"/>
        </w:rPr>
        <w:t xml:space="preserve"> </w:t>
      </w:r>
      <w:r w:rsidRPr="004D2FF7">
        <w:rPr>
          <w:rFonts w:ascii="Times New Roman" w:eastAsia="Calibri" w:hAnsi="Times New Roman" w:cs="Times New Roman"/>
          <w:b/>
          <w:bCs/>
          <w:i/>
          <w:iCs/>
          <w:color w:val="2E74B5" w:themeColor="accent1" w:themeShade="BF"/>
          <w:sz w:val="24"/>
          <w:szCs w:val="24"/>
          <w:lang w:val="ro-RO"/>
        </w:rPr>
        <w:t>achit</w:t>
      </w:r>
      <w:r w:rsidR="0044398E">
        <w:rPr>
          <w:rFonts w:ascii="Times New Roman" w:eastAsia="Calibri" w:hAnsi="Times New Roman" w:cs="Times New Roman"/>
          <w:b/>
          <w:bCs/>
          <w:i/>
          <w:iCs/>
          <w:color w:val="2E74B5" w:themeColor="accent1" w:themeShade="BF"/>
          <w:sz w:val="24"/>
          <w:szCs w:val="24"/>
          <w:lang w:val="ro-RO"/>
        </w:rPr>
        <w:t>area</w:t>
      </w:r>
      <w:r w:rsidR="00236FAE" w:rsidRPr="004D2FF7">
        <w:rPr>
          <w:rFonts w:ascii="Times New Roman" w:eastAsia="Calibri" w:hAnsi="Times New Roman" w:cs="Times New Roman"/>
          <w:b/>
          <w:bCs/>
          <w:i/>
          <w:iCs/>
          <w:color w:val="2E74B5" w:themeColor="accent1" w:themeShade="BF"/>
          <w:sz w:val="24"/>
          <w:szCs w:val="24"/>
          <w:lang w:val="ro-RO"/>
        </w:rPr>
        <w:t>, decont</w:t>
      </w:r>
      <w:r w:rsidR="0044398E">
        <w:rPr>
          <w:rFonts w:ascii="Times New Roman" w:eastAsia="Calibri" w:hAnsi="Times New Roman" w:cs="Times New Roman"/>
          <w:b/>
          <w:bCs/>
          <w:i/>
          <w:iCs/>
          <w:color w:val="2E74B5" w:themeColor="accent1" w:themeShade="BF"/>
          <w:sz w:val="24"/>
          <w:szCs w:val="24"/>
          <w:lang w:val="ro-RO"/>
        </w:rPr>
        <w:t>area</w:t>
      </w:r>
      <w:r w:rsidR="00236FAE" w:rsidRPr="004D2FF7">
        <w:rPr>
          <w:rFonts w:ascii="Times New Roman" w:eastAsia="Calibri" w:hAnsi="Times New Roman" w:cs="Times New Roman"/>
          <w:b/>
          <w:bCs/>
          <w:i/>
          <w:iCs/>
          <w:color w:val="2E74B5" w:themeColor="accent1" w:themeShade="BF"/>
          <w:sz w:val="24"/>
          <w:szCs w:val="24"/>
          <w:lang w:val="ro-RO"/>
        </w:rPr>
        <w:t xml:space="preserve"> și raport</w:t>
      </w:r>
      <w:r w:rsidR="0044398E">
        <w:rPr>
          <w:rFonts w:ascii="Times New Roman" w:eastAsia="Calibri" w:hAnsi="Times New Roman" w:cs="Times New Roman"/>
          <w:b/>
          <w:bCs/>
          <w:i/>
          <w:iCs/>
          <w:color w:val="2E74B5" w:themeColor="accent1" w:themeShade="BF"/>
          <w:sz w:val="24"/>
          <w:szCs w:val="24"/>
          <w:lang w:val="ro-RO"/>
        </w:rPr>
        <w:t>area</w:t>
      </w:r>
      <w:r w:rsidR="005A6BAD" w:rsidRPr="004D2FF7">
        <w:rPr>
          <w:rFonts w:ascii="Times New Roman" w:eastAsia="Calibri" w:hAnsi="Times New Roman" w:cs="Times New Roman"/>
          <w:b/>
          <w:bCs/>
          <w:i/>
          <w:iCs/>
          <w:color w:val="2E74B5" w:themeColor="accent1" w:themeShade="BF"/>
          <w:sz w:val="24"/>
          <w:szCs w:val="24"/>
          <w:lang w:val="ro-RO"/>
        </w:rPr>
        <w:t xml:space="preserve"> </w:t>
      </w:r>
      <w:r w:rsidRPr="004D2FF7">
        <w:rPr>
          <w:rFonts w:ascii="Times New Roman" w:eastAsia="Calibri" w:hAnsi="Times New Roman" w:cs="Times New Roman"/>
          <w:b/>
          <w:bCs/>
          <w:i/>
          <w:iCs/>
          <w:color w:val="2E74B5" w:themeColor="accent1" w:themeShade="BF"/>
          <w:sz w:val="24"/>
          <w:szCs w:val="24"/>
          <w:lang w:val="ro-RO"/>
        </w:rPr>
        <w:t xml:space="preserve">unor </w:t>
      </w:r>
      <w:r w:rsidR="005E2CF9" w:rsidRPr="004D2FF7">
        <w:rPr>
          <w:rFonts w:ascii="Times New Roman" w:eastAsia="Calibri" w:hAnsi="Times New Roman" w:cs="Times New Roman"/>
          <w:b/>
          <w:i/>
          <w:color w:val="2E74B5" w:themeColor="accent1" w:themeShade="BF"/>
          <w:sz w:val="24"/>
          <w:szCs w:val="24"/>
          <w:lang w:val="ro-RO"/>
        </w:rPr>
        <w:t>cheltuieli</w:t>
      </w:r>
      <w:r w:rsidRPr="004D2FF7">
        <w:rPr>
          <w:rFonts w:ascii="Times New Roman" w:eastAsia="Calibri" w:hAnsi="Times New Roman" w:cs="Times New Roman"/>
          <w:b/>
          <w:i/>
          <w:color w:val="2E74B5" w:themeColor="accent1" w:themeShade="BF"/>
          <w:sz w:val="24"/>
          <w:szCs w:val="24"/>
          <w:lang w:val="ro-RO"/>
        </w:rPr>
        <w:t xml:space="preserve"> aferente deplasări</w:t>
      </w:r>
      <w:r w:rsidR="0044398E">
        <w:rPr>
          <w:rFonts w:ascii="Times New Roman" w:eastAsia="Calibri" w:hAnsi="Times New Roman" w:cs="Times New Roman"/>
          <w:b/>
          <w:i/>
          <w:color w:val="2E74B5" w:themeColor="accent1" w:themeShade="BF"/>
          <w:sz w:val="24"/>
          <w:szCs w:val="24"/>
          <w:lang w:val="ro-RO"/>
        </w:rPr>
        <w:t>lor</w:t>
      </w:r>
      <w:r w:rsidRPr="004D2FF7">
        <w:rPr>
          <w:rFonts w:ascii="Times New Roman" w:eastAsia="Calibri" w:hAnsi="Times New Roman" w:cs="Times New Roman"/>
          <w:b/>
          <w:i/>
          <w:color w:val="2E74B5" w:themeColor="accent1" w:themeShade="BF"/>
          <w:sz w:val="24"/>
          <w:szCs w:val="24"/>
          <w:lang w:val="ro-RO"/>
        </w:rPr>
        <w:t xml:space="preserve"> de serviciu</w:t>
      </w:r>
      <w:r w:rsidR="0044398E">
        <w:rPr>
          <w:rFonts w:ascii="Times New Roman" w:eastAsia="Calibri" w:hAnsi="Times New Roman" w:cs="Times New Roman"/>
          <w:b/>
          <w:i/>
          <w:color w:val="2E74B5" w:themeColor="accent1" w:themeShade="BF"/>
          <w:sz w:val="24"/>
          <w:szCs w:val="24"/>
          <w:lang w:val="ro-RO"/>
        </w:rPr>
        <w:t>.</w:t>
      </w:r>
      <w:bookmarkEnd w:id="34"/>
      <w:r w:rsidRPr="004D2FF7">
        <w:rPr>
          <w:rFonts w:ascii="Times New Roman" w:eastAsia="Calibri" w:hAnsi="Times New Roman" w:cs="Times New Roman"/>
          <w:b/>
          <w:i/>
          <w:color w:val="2E74B5" w:themeColor="accent1" w:themeShade="BF"/>
          <w:sz w:val="24"/>
          <w:szCs w:val="24"/>
          <w:lang w:val="ro-RO"/>
        </w:rPr>
        <w:t xml:space="preserve"> </w:t>
      </w:r>
    </w:p>
    <w:p w14:paraId="5E6D218A" w14:textId="25FF1F8B" w:rsidR="000C6640" w:rsidRPr="004D2FF7" w:rsidRDefault="000C6640" w:rsidP="000C6640">
      <w:pPr>
        <w:shd w:val="clear" w:color="auto" w:fill="FFFFFF"/>
        <w:tabs>
          <w:tab w:val="left" w:pos="0"/>
          <w:tab w:val="left" w:pos="450"/>
          <w:tab w:val="left" w:pos="720"/>
        </w:tabs>
        <w:spacing w:after="120" w:line="276" w:lineRule="auto"/>
        <w:jc w:val="both"/>
        <w:rPr>
          <w:rFonts w:ascii="Times New Roman" w:eastAsia="Calibri" w:hAnsi="Times New Roman" w:cs="Times New Roman"/>
          <w:color w:val="000000"/>
          <w:sz w:val="24"/>
          <w:szCs w:val="24"/>
          <w:lang w:val="ro-RO"/>
        </w:rPr>
      </w:pPr>
      <w:r w:rsidRPr="004D2FF7">
        <w:rPr>
          <w:rFonts w:ascii="Times New Roman" w:hAnsi="Times New Roman" w:cs="Times New Roman"/>
          <w:sz w:val="24"/>
          <w:szCs w:val="24"/>
          <w:lang w:val="ro-RO"/>
        </w:rPr>
        <w:t xml:space="preserve">Modul de delegare în hotarele Republicii Moldova </w:t>
      </w:r>
      <w:r w:rsidR="00683D5C" w:rsidRPr="004D2FF7">
        <w:rPr>
          <w:rFonts w:ascii="Times New Roman" w:hAnsi="Times New Roman" w:cs="Times New Roman"/>
          <w:sz w:val="24"/>
          <w:szCs w:val="24"/>
          <w:lang w:val="ro-RO"/>
        </w:rPr>
        <w:t>și</w:t>
      </w:r>
      <w:r w:rsidRPr="004D2FF7">
        <w:rPr>
          <w:rFonts w:ascii="Times New Roman" w:hAnsi="Times New Roman" w:cs="Times New Roman"/>
          <w:sz w:val="24"/>
          <w:szCs w:val="24"/>
          <w:lang w:val="ro-RO"/>
        </w:rPr>
        <w:t xml:space="preserve"> în străinătate a salariaților entităților din Republica Moldova </w:t>
      </w:r>
      <w:r w:rsidR="00683D5C" w:rsidRPr="004D2FF7">
        <w:rPr>
          <w:rFonts w:ascii="Times New Roman" w:hAnsi="Times New Roman" w:cs="Times New Roman"/>
          <w:sz w:val="24"/>
          <w:szCs w:val="24"/>
          <w:lang w:val="ro-RO"/>
        </w:rPr>
        <w:t>și</w:t>
      </w:r>
      <w:r w:rsidRPr="004D2FF7">
        <w:rPr>
          <w:rFonts w:ascii="Times New Roman" w:hAnsi="Times New Roman" w:cs="Times New Roman"/>
          <w:sz w:val="24"/>
          <w:szCs w:val="24"/>
          <w:lang w:val="ro-RO"/>
        </w:rPr>
        <w:t xml:space="preserve"> de compensare a cheltuielilor ce </w:t>
      </w:r>
      <w:r w:rsidR="00683D5C" w:rsidRPr="004D2FF7">
        <w:rPr>
          <w:rFonts w:ascii="Times New Roman" w:hAnsi="Times New Roman" w:cs="Times New Roman"/>
          <w:sz w:val="24"/>
          <w:szCs w:val="24"/>
          <w:lang w:val="ro-RO"/>
        </w:rPr>
        <w:t>țin</w:t>
      </w:r>
      <w:r w:rsidRPr="004D2FF7">
        <w:rPr>
          <w:rFonts w:ascii="Times New Roman" w:hAnsi="Times New Roman" w:cs="Times New Roman"/>
          <w:sz w:val="24"/>
          <w:szCs w:val="24"/>
          <w:lang w:val="ro-RO"/>
        </w:rPr>
        <w:t xml:space="preserve"> de majorarea pre</w:t>
      </w:r>
      <w:r w:rsidR="0044398E">
        <w:rPr>
          <w:rFonts w:ascii="Times New Roman" w:hAnsi="Times New Roman" w:cs="Times New Roman"/>
          <w:sz w:val="24"/>
          <w:szCs w:val="24"/>
          <w:lang w:val="ro-RO"/>
        </w:rPr>
        <w:t>ț</w:t>
      </w:r>
      <w:r w:rsidRPr="004D2FF7">
        <w:rPr>
          <w:rFonts w:ascii="Times New Roman" w:hAnsi="Times New Roman" w:cs="Times New Roman"/>
          <w:sz w:val="24"/>
          <w:szCs w:val="24"/>
          <w:lang w:val="ro-RO"/>
        </w:rPr>
        <w:t xml:space="preserve">urilor la produsele alimentare </w:t>
      </w:r>
      <w:r w:rsidR="00683D5C" w:rsidRPr="004D2FF7">
        <w:rPr>
          <w:rFonts w:ascii="Times New Roman" w:hAnsi="Times New Roman" w:cs="Times New Roman"/>
          <w:sz w:val="24"/>
          <w:szCs w:val="24"/>
          <w:lang w:val="ro-RO"/>
        </w:rPr>
        <w:t>și</w:t>
      </w:r>
      <w:r w:rsidRPr="004D2FF7">
        <w:rPr>
          <w:rFonts w:ascii="Times New Roman" w:hAnsi="Times New Roman" w:cs="Times New Roman"/>
          <w:sz w:val="24"/>
          <w:szCs w:val="24"/>
          <w:lang w:val="ro-RO"/>
        </w:rPr>
        <w:t xml:space="preserve"> a tarifelor la serviciile prestate de hoteluri este reglementat prin </w:t>
      </w:r>
      <w:r w:rsidRPr="004D2FF7">
        <w:rPr>
          <w:rFonts w:ascii="Times New Roman" w:eastAsia="Times New Roman" w:hAnsi="Times New Roman" w:cs="Times New Roman"/>
          <w:bCs/>
          <w:sz w:val="24"/>
          <w:szCs w:val="24"/>
          <w:lang w:val="ro-RO"/>
        </w:rPr>
        <w:t xml:space="preserve">Hotărârea Guvernului  </w:t>
      </w:r>
      <w:r w:rsidRPr="004D2FF7">
        <w:rPr>
          <w:rFonts w:ascii="Times New Roman" w:hAnsi="Times New Roman" w:cs="Times New Roman"/>
          <w:sz w:val="24"/>
          <w:szCs w:val="24"/>
          <w:lang w:val="ro-RO"/>
        </w:rPr>
        <w:t>nr.10 din 05.01.2012 „P</w:t>
      </w:r>
      <w:r w:rsidRPr="004D2FF7">
        <w:rPr>
          <w:rFonts w:ascii="Times New Roman" w:eastAsia="Times New Roman" w:hAnsi="Times New Roman" w:cs="Times New Roman"/>
          <w:bCs/>
          <w:sz w:val="24"/>
          <w:szCs w:val="24"/>
          <w:lang w:val="ro-RO"/>
        </w:rPr>
        <w:t xml:space="preserve">entru aprobarea Regulamentului cu privire la delegarea </w:t>
      </w:r>
      <w:r w:rsidRPr="004D2FF7">
        <w:rPr>
          <w:rFonts w:ascii="Times New Roman" w:eastAsia="Times New Roman" w:hAnsi="Times New Roman" w:cs="Times New Roman"/>
          <w:sz w:val="24"/>
          <w:szCs w:val="24"/>
          <w:lang w:val="ro-RO"/>
        </w:rPr>
        <w:t>salariaților entităților din Republica Moldova”</w:t>
      </w:r>
      <w:r w:rsidRPr="004D2FF7">
        <w:rPr>
          <w:rStyle w:val="FootnoteReference"/>
          <w:rFonts w:ascii="Times New Roman" w:eastAsia="Times New Roman" w:hAnsi="Times New Roman" w:cs="Times New Roman"/>
          <w:sz w:val="24"/>
          <w:szCs w:val="24"/>
          <w:lang w:val="ro-RO"/>
        </w:rPr>
        <w:footnoteReference w:id="117"/>
      </w:r>
      <w:r w:rsidRPr="004D2FF7">
        <w:rPr>
          <w:rFonts w:ascii="Times New Roman" w:eastAsia="Times New Roman" w:hAnsi="Times New Roman" w:cs="Times New Roman"/>
          <w:sz w:val="24"/>
          <w:szCs w:val="24"/>
          <w:lang w:val="ro-RO"/>
        </w:rPr>
        <w:t>.</w:t>
      </w:r>
    </w:p>
    <w:p w14:paraId="1BAC90D0" w14:textId="42EF895C" w:rsidR="004F60C1" w:rsidRPr="004D2FF7" w:rsidRDefault="0023405C" w:rsidP="00C02AAA">
      <w:pPr>
        <w:shd w:val="clear" w:color="auto" w:fill="FFFFFF"/>
        <w:tabs>
          <w:tab w:val="left" w:pos="0"/>
          <w:tab w:val="left" w:pos="450"/>
          <w:tab w:val="left" w:pos="720"/>
        </w:tabs>
        <w:spacing w:after="120" w:line="276" w:lineRule="auto"/>
        <w:jc w:val="both"/>
        <w:rPr>
          <w:rFonts w:ascii="Times New Roman" w:eastAsia="Calibri" w:hAnsi="Times New Roman" w:cs="Times New Roman"/>
          <w:color w:val="000000"/>
          <w:sz w:val="24"/>
          <w:szCs w:val="24"/>
        </w:rPr>
      </w:pPr>
      <w:r w:rsidRPr="004D2FF7">
        <w:rPr>
          <w:rFonts w:ascii="Times New Roman" w:eastAsia="Calibri" w:hAnsi="Times New Roman" w:cs="Times New Roman"/>
          <w:color w:val="000000"/>
          <w:sz w:val="24"/>
          <w:szCs w:val="24"/>
        </w:rPr>
        <w:t>În anii 2018-2022</w:t>
      </w:r>
      <w:r w:rsidR="0044398E">
        <w:rPr>
          <w:rFonts w:ascii="Times New Roman" w:eastAsia="Calibri" w:hAnsi="Times New Roman" w:cs="Times New Roman"/>
          <w:color w:val="000000"/>
          <w:sz w:val="24"/>
          <w:szCs w:val="24"/>
        </w:rPr>
        <w:t>,</w:t>
      </w:r>
      <w:r w:rsidRPr="004D2FF7">
        <w:rPr>
          <w:rFonts w:ascii="Times New Roman" w:eastAsia="Calibri" w:hAnsi="Times New Roman" w:cs="Times New Roman"/>
          <w:color w:val="000000"/>
          <w:sz w:val="24"/>
          <w:szCs w:val="24"/>
        </w:rPr>
        <w:t xml:space="preserve"> p</w:t>
      </w:r>
      <w:r w:rsidR="004F60C1" w:rsidRPr="004D2FF7">
        <w:rPr>
          <w:rFonts w:ascii="Times New Roman" w:eastAsia="Calibri" w:hAnsi="Times New Roman" w:cs="Times New Roman"/>
          <w:color w:val="000000"/>
          <w:sz w:val="24"/>
          <w:szCs w:val="24"/>
        </w:rPr>
        <w:t>entru delegarea salariaților CNPDCP în deplasări de serviciu</w:t>
      </w:r>
      <w:r w:rsidR="0044398E">
        <w:rPr>
          <w:rFonts w:ascii="Times New Roman" w:eastAsia="Calibri" w:hAnsi="Times New Roman" w:cs="Times New Roman"/>
          <w:color w:val="000000"/>
          <w:sz w:val="24"/>
          <w:szCs w:val="24"/>
        </w:rPr>
        <w:t>,</w:t>
      </w:r>
      <w:r w:rsidR="00835CED" w:rsidRPr="004D2FF7">
        <w:rPr>
          <w:rFonts w:ascii="Times New Roman" w:eastAsia="Calibri" w:hAnsi="Times New Roman" w:cs="Times New Roman"/>
          <w:color w:val="000000"/>
          <w:sz w:val="24"/>
          <w:szCs w:val="24"/>
        </w:rPr>
        <w:t xml:space="preserve"> din bugetul de stat </w:t>
      </w:r>
      <w:r w:rsidR="00585EC6" w:rsidRPr="004D2FF7">
        <w:rPr>
          <w:rFonts w:ascii="Times New Roman" w:eastAsia="Calibri" w:hAnsi="Times New Roman" w:cs="Times New Roman"/>
          <w:color w:val="000000"/>
          <w:sz w:val="24"/>
          <w:szCs w:val="24"/>
        </w:rPr>
        <w:t xml:space="preserve"> inițial</w:t>
      </w:r>
      <w:r w:rsidR="004F60C1" w:rsidRPr="004D2FF7">
        <w:rPr>
          <w:rFonts w:ascii="Times New Roman" w:eastAsia="Calibri" w:hAnsi="Times New Roman" w:cs="Times New Roman"/>
          <w:color w:val="000000"/>
          <w:sz w:val="24"/>
          <w:szCs w:val="24"/>
        </w:rPr>
        <w:t xml:space="preserve"> </w:t>
      </w:r>
      <w:r w:rsidR="00835CED" w:rsidRPr="004D2FF7">
        <w:rPr>
          <w:rFonts w:ascii="Times New Roman" w:eastAsia="Calibri" w:hAnsi="Times New Roman" w:cs="Times New Roman"/>
          <w:color w:val="000000"/>
          <w:sz w:val="24"/>
          <w:szCs w:val="24"/>
        </w:rPr>
        <w:t xml:space="preserve">au fost </w:t>
      </w:r>
      <w:r w:rsidR="004F60C1" w:rsidRPr="004D2FF7">
        <w:rPr>
          <w:rFonts w:ascii="Times New Roman" w:eastAsia="Calibri" w:hAnsi="Times New Roman" w:cs="Times New Roman"/>
          <w:color w:val="000000"/>
          <w:sz w:val="24"/>
          <w:szCs w:val="24"/>
        </w:rPr>
        <w:t>alocat</w:t>
      </w:r>
      <w:r w:rsidR="00835CED" w:rsidRPr="004D2FF7">
        <w:rPr>
          <w:rFonts w:ascii="Times New Roman" w:eastAsia="Calibri" w:hAnsi="Times New Roman" w:cs="Times New Roman"/>
          <w:color w:val="000000"/>
          <w:sz w:val="24"/>
          <w:szCs w:val="24"/>
        </w:rPr>
        <w:t>e</w:t>
      </w:r>
      <w:r w:rsidR="00585EC6" w:rsidRPr="004D2FF7">
        <w:rPr>
          <w:rFonts w:ascii="Times New Roman" w:eastAsia="Calibri" w:hAnsi="Times New Roman" w:cs="Times New Roman"/>
          <w:color w:val="000000"/>
          <w:sz w:val="24"/>
          <w:szCs w:val="24"/>
        </w:rPr>
        <w:t xml:space="preserve"> mijloace bugetare în sumă de</w:t>
      </w:r>
      <w:r w:rsidR="004F60C1" w:rsidRPr="004D2FF7">
        <w:rPr>
          <w:rFonts w:ascii="Times New Roman" w:eastAsia="Calibri" w:hAnsi="Times New Roman" w:cs="Times New Roman"/>
          <w:color w:val="000000"/>
          <w:sz w:val="24"/>
          <w:szCs w:val="24"/>
        </w:rPr>
        <w:t xml:space="preserve"> 2</w:t>
      </w:r>
      <w:r w:rsidR="0044398E">
        <w:rPr>
          <w:rFonts w:ascii="Times New Roman" w:eastAsia="Calibri" w:hAnsi="Times New Roman" w:cs="Times New Roman"/>
          <w:color w:val="000000"/>
          <w:sz w:val="24"/>
          <w:szCs w:val="24"/>
        </w:rPr>
        <w:t>.</w:t>
      </w:r>
      <w:r w:rsidR="004F60C1" w:rsidRPr="004D2FF7">
        <w:rPr>
          <w:rFonts w:ascii="Times New Roman" w:eastAsia="Calibri" w:hAnsi="Times New Roman" w:cs="Times New Roman"/>
          <w:color w:val="000000"/>
          <w:sz w:val="24"/>
          <w:szCs w:val="24"/>
        </w:rPr>
        <w:t>243,7 mii lei</w:t>
      </w:r>
      <w:r w:rsidR="00585EC6" w:rsidRPr="004D2FF7">
        <w:rPr>
          <w:rFonts w:ascii="Times New Roman" w:eastAsia="Calibri" w:hAnsi="Times New Roman" w:cs="Times New Roman"/>
          <w:color w:val="000000"/>
          <w:sz w:val="24"/>
          <w:szCs w:val="24"/>
        </w:rPr>
        <w:t xml:space="preserve">, </w:t>
      </w:r>
      <w:r w:rsidR="004F60C1" w:rsidRPr="004D2FF7">
        <w:rPr>
          <w:rFonts w:ascii="Times New Roman" w:eastAsia="Calibri" w:hAnsi="Times New Roman" w:cs="Times New Roman"/>
          <w:color w:val="000000"/>
          <w:sz w:val="24"/>
          <w:szCs w:val="24"/>
        </w:rPr>
        <w:t xml:space="preserve">fiind precizate </w:t>
      </w:r>
      <w:r w:rsidR="00585EC6" w:rsidRPr="004D2FF7">
        <w:rPr>
          <w:rFonts w:ascii="Times New Roman" w:eastAsia="Calibri" w:hAnsi="Times New Roman" w:cs="Times New Roman"/>
          <w:color w:val="000000"/>
          <w:sz w:val="24"/>
          <w:szCs w:val="24"/>
        </w:rPr>
        <w:t xml:space="preserve">cheltuieli în </w:t>
      </w:r>
      <w:r w:rsidR="004F60C1" w:rsidRPr="004D2FF7">
        <w:rPr>
          <w:rFonts w:ascii="Times New Roman" w:eastAsia="Calibri" w:hAnsi="Times New Roman" w:cs="Times New Roman"/>
          <w:color w:val="000000"/>
          <w:sz w:val="24"/>
          <w:szCs w:val="24"/>
        </w:rPr>
        <w:t>sumă de 1</w:t>
      </w:r>
      <w:r w:rsidR="0044398E">
        <w:rPr>
          <w:rFonts w:ascii="Times New Roman" w:eastAsia="Calibri" w:hAnsi="Times New Roman" w:cs="Times New Roman"/>
          <w:color w:val="000000"/>
          <w:sz w:val="24"/>
          <w:szCs w:val="24"/>
        </w:rPr>
        <w:t>.</w:t>
      </w:r>
      <w:r w:rsidR="004F60C1" w:rsidRPr="004D2FF7">
        <w:rPr>
          <w:rFonts w:ascii="Times New Roman" w:eastAsia="Calibri" w:hAnsi="Times New Roman" w:cs="Times New Roman"/>
          <w:color w:val="000000"/>
          <w:sz w:val="24"/>
          <w:szCs w:val="24"/>
        </w:rPr>
        <w:t>398,6 mii lei</w:t>
      </w:r>
      <w:r w:rsidR="00F23136" w:rsidRPr="004D2FF7">
        <w:rPr>
          <w:rFonts w:ascii="Times New Roman" w:eastAsia="Calibri" w:hAnsi="Times New Roman" w:cs="Times New Roman"/>
          <w:color w:val="000000"/>
          <w:sz w:val="24"/>
          <w:szCs w:val="24"/>
        </w:rPr>
        <w:t>,</w:t>
      </w:r>
      <w:r w:rsidR="00585EC6" w:rsidRPr="004D2FF7">
        <w:rPr>
          <w:rFonts w:ascii="Times New Roman" w:eastAsia="Calibri" w:hAnsi="Times New Roman" w:cs="Times New Roman"/>
          <w:color w:val="000000"/>
          <w:sz w:val="24"/>
          <w:szCs w:val="24"/>
        </w:rPr>
        <w:t xml:space="preserve"> cheltuielile</w:t>
      </w:r>
      <w:r w:rsidR="004F60C1" w:rsidRPr="004D2FF7">
        <w:rPr>
          <w:rFonts w:ascii="Times New Roman" w:eastAsia="Calibri" w:hAnsi="Times New Roman" w:cs="Times New Roman"/>
          <w:color w:val="000000"/>
          <w:sz w:val="24"/>
          <w:szCs w:val="24"/>
        </w:rPr>
        <w:t xml:space="preserve"> executate</w:t>
      </w:r>
      <w:r w:rsidR="00585EC6" w:rsidRPr="004D2FF7">
        <w:rPr>
          <w:rFonts w:ascii="Times New Roman" w:eastAsia="Calibri" w:hAnsi="Times New Roman" w:cs="Times New Roman"/>
          <w:color w:val="000000"/>
          <w:sz w:val="24"/>
          <w:szCs w:val="24"/>
        </w:rPr>
        <w:t xml:space="preserve"> au însumat</w:t>
      </w:r>
      <w:r w:rsidR="004F60C1" w:rsidRPr="004D2FF7">
        <w:rPr>
          <w:rFonts w:ascii="Times New Roman" w:eastAsia="Calibri" w:hAnsi="Times New Roman" w:cs="Times New Roman"/>
          <w:color w:val="000000"/>
          <w:sz w:val="24"/>
          <w:szCs w:val="24"/>
        </w:rPr>
        <w:t xml:space="preserve"> 1</w:t>
      </w:r>
      <w:r w:rsidR="0044398E">
        <w:rPr>
          <w:rFonts w:ascii="Times New Roman" w:eastAsia="Calibri" w:hAnsi="Times New Roman" w:cs="Times New Roman"/>
          <w:color w:val="000000"/>
          <w:sz w:val="24"/>
          <w:szCs w:val="24"/>
        </w:rPr>
        <w:t>.</w:t>
      </w:r>
      <w:r w:rsidR="004F60C1" w:rsidRPr="004D2FF7">
        <w:rPr>
          <w:rFonts w:ascii="Times New Roman" w:eastAsia="Calibri" w:hAnsi="Times New Roman" w:cs="Times New Roman"/>
          <w:color w:val="000000"/>
          <w:sz w:val="24"/>
          <w:szCs w:val="24"/>
        </w:rPr>
        <w:t>034,9 mii lei.</w:t>
      </w:r>
      <w:r w:rsidR="004F60C1" w:rsidRPr="004D2FF7">
        <w:rPr>
          <w:rFonts w:ascii="Times New Roman" w:eastAsia="Times New Roman" w:hAnsi="Times New Roman" w:cs="Times New Roman"/>
          <w:sz w:val="24"/>
          <w:szCs w:val="24"/>
        </w:rPr>
        <w:t xml:space="preserve"> </w:t>
      </w:r>
      <w:r w:rsidR="004F60C1" w:rsidRPr="004D2FF7">
        <w:rPr>
          <w:rFonts w:ascii="Times New Roman" w:eastAsia="Times New Roman" w:hAnsi="Times New Roman" w:cs="Times New Roman"/>
          <w:color w:val="000000" w:themeColor="text1"/>
          <w:sz w:val="24"/>
          <w:szCs w:val="24"/>
        </w:rPr>
        <w:t>Potrivit datelor raportate la 31.12.2022, cheltuielile pentru deplasări în interes de serviciu au fost executate la nivel de 73,9%, sau cu 363,7 mii lei mai puțin fa</w:t>
      </w:r>
      <w:r w:rsidR="0044398E">
        <w:rPr>
          <w:rFonts w:ascii="Times New Roman" w:eastAsia="Times New Roman" w:hAnsi="Times New Roman" w:cs="Times New Roman"/>
          <w:color w:val="000000" w:themeColor="text1"/>
          <w:sz w:val="24"/>
          <w:szCs w:val="24"/>
        </w:rPr>
        <w:t>ț</w:t>
      </w:r>
      <w:r w:rsidR="004F60C1" w:rsidRPr="004D2FF7">
        <w:rPr>
          <w:rFonts w:ascii="Times New Roman" w:eastAsia="Times New Roman" w:hAnsi="Times New Roman" w:cs="Times New Roman"/>
          <w:color w:val="000000" w:themeColor="text1"/>
          <w:sz w:val="24"/>
          <w:szCs w:val="24"/>
        </w:rPr>
        <w:t xml:space="preserve">ă de indicii precizați pentru perioada </w:t>
      </w:r>
      <w:r w:rsidR="00CD6275" w:rsidRPr="004D2FF7">
        <w:rPr>
          <w:rFonts w:ascii="Times New Roman" w:eastAsia="Calibri" w:hAnsi="Times New Roman" w:cs="Times New Roman"/>
          <w:color w:val="000000"/>
          <w:sz w:val="24"/>
          <w:szCs w:val="24"/>
        </w:rPr>
        <w:t>2018-2022</w:t>
      </w:r>
      <w:r w:rsidR="005D68E4" w:rsidRPr="004D2FF7">
        <w:rPr>
          <w:rFonts w:ascii="Times New Roman" w:eastAsia="Times New Roman" w:hAnsi="Times New Roman" w:cs="Times New Roman"/>
          <w:color w:val="000000" w:themeColor="text1"/>
          <w:sz w:val="24"/>
          <w:szCs w:val="24"/>
        </w:rPr>
        <w:t xml:space="preserve">, fapt ce indică planificarea </w:t>
      </w:r>
      <w:r w:rsidR="0016455F">
        <w:rPr>
          <w:rFonts w:ascii="Times New Roman" w:eastAsia="Times New Roman" w:hAnsi="Times New Roman" w:cs="Times New Roman"/>
          <w:color w:val="000000" w:themeColor="text1"/>
          <w:sz w:val="24"/>
          <w:szCs w:val="24"/>
        </w:rPr>
        <w:t xml:space="preserve">inexactă </w:t>
      </w:r>
      <w:r w:rsidR="005D68E4" w:rsidRPr="004D2FF7">
        <w:rPr>
          <w:rFonts w:ascii="Times New Roman" w:eastAsia="Times New Roman" w:hAnsi="Times New Roman" w:cs="Times New Roman"/>
          <w:color w:val="000000" w:themeColor="text1"/>
          <w:sz w:val="24"/>
          <w:szCs w:val="24"/>
        </w:rPr>
        <w:t>a cheltuielilor</w:t>
      </w:r>
      <w:r w:rsidR="004F60C1" w:rsidRPr="004D2FF7">
        <w:rPr>
          <w:rFonts w:ascii="Times New Roman" w:eastAsia="Times New Roman" w:hAnsi="Times New Roman" w:cs="Times New Roman"/>
          <w:color w:val="000000" w:themeColor="text1"/>
          <w:sz w:val="24"/>
          <w:szCs w:val="24"/>
        </w:rPr>
        <w:t>.</w:t>
      </w:r>
      <w:r w:rsidR="004F60C1" w:rsidRPr="004D2FF7">
        <w:rPr>
          <w:rFonts w:ascii="Times New Roman" w:eastAsia="Calibri" w:hAnsi="Times New Roman" w:cs="Times New Roman"/>
          <w:color w:val="000000" w:themeColor="text1"/>
          <w:sz w:val="24"/>
          <w:szCs w:val="24"/>
        </w:rPr>
        <w:t xml:space="preserve"> </w:t>
      </w:r>
    </w:p>
    <w:p w14:paraId="463C41B2" w14:textId="0E0B5872" w:rsidR="004F60C1" w:rsidRPr="004D2FF7" w:rsidRDefault="004F60C1" w:rsidP="00C02AAA">
      <w:pPr>
        <w:spacing w:after="120" w:line="276" w:lineRule="auto"/>
        <w:jc w:val="both"/>
        <w:rPr>
          <w:rFonts w:ascii="Times New Roman" w:hAnsi="Times New Roman" w:cs="Times New Roman"/>
          <w:sz w:val="24"/>
          <w:szCs w:val="24"/>
        </w:rPr>
      </w:pPr>
      <w:r w:rsidRPr="004D2FF7">
        <w:rPr>
          <w:rFonts w:ascii="Times New Roman" w:hAnsi="Times New Roman" w:cs="Times New Roman"/>
          <w:sz w:val="24"/>
          <w:szCs w:val="24"/>
        </w:rPr>
        <w:t>Contrar prevederilor Regulamentul</w:t>
      </w:r>
      <w:r w:rsidR="001A05EC" w:rsidRPr="004D2FF7">
        <w:rPr>
          <w:rFonts w:ascii="Times New Roman" w:hAnsi="Times New Roman" w:cs="Times New Roman"/>
          <w:sz w:val="24"/>
          <w:szCs w:val="24"/>
        </w:rPr>
        <w:t>ui</w:t>
      </w:r>
      <w:r w:rsidRPr="004D2FF7">
        <w:rPr>
          <w:rFonts w:ascii="Times New Roman" w:hAnsi="Times New Roman" w:cs="Times New Roman"/>
          <w:sz w:val="24"/>
          <w:szCs w:val="24"/>
        </w:rPr>
        <w:t xml:space="preserve"> </w:t>
      </w:r>
      <w:r w:rsidRPr="004D2FF7">
        <w:rPr>
          <w:rFonts w:ascii="Times New Roman" w:eastAsia="Times New Roman" w:hAnsi="Times New Roman" w:cs="Times New Roman"/>
          <w:sz w:val="24"/>
          <w:szCs w:val="24"/>
        </w:rPr>
        <w:t>cu privire la delegarea salariaților entităților</w:t>
      </w:r>
      <w:r w:rsidR="00AE2557" w:rsidRPr="004D2FF7">
        <w:rPr>
          <w:rFonts w:ascii="Times New Roman" w:eastAsia="Times New Roman" w:hAnsi="Times New Roman" w:cs="Times New Roman"/>
          <w:sz w:val="24"/>
          <w:szCs w:val="24"/>
        </w:rPr>
        <w:t xml:space="preserve"> </w:t>
      </w:r>
      <w:r w:rsidRPr="004D2FF7">
        <w:rPr>
          <w:rFonts w:ascii="Times New Roman" w:eastAsia="Times New Roman" w:hAnsi="Times New Roman" w:cs="Times New Roman"/>
          <w:sz w:val="24"/>
          <w:szCs w:val="24"/>
        </w:rPr>
        <w:t>din Republica Moldova</w:t>
      </w:r>
      <w:r w:rsidR="007449E0" w:rsidRPr="004D2FF7">
        <w:rPr>
          <w:rStyle w:val="FootnoteReference"/>
          <w:rFonts w:ascii="Times New Roman" w:hAnsi="Times New Roman" w:cs="Times New Roman"/>
          <w:sz w:val="24"/>
          <w:szCs w:val="24"/>
        </w:rPr>
        <w:footnoteReference w:id="118"/>
      </w:r>
      <w:r w:rsidR="00466C90" w:rsidRPr="004D2FF7">
        <w:rPr>
          <w:rFonts w:ascii="Times New Roman" w:eastAsia="Times New Roman" w:hAnsi="Times New Roman" w:cs="Times New Roman"/>
          <w:sz w:val="24"/>
          <w:szCs w:val="24"/>
        </w:rPr>
        <w:t xml:space="preserve">, </w:t>
      </w:r>
      <w:r w:rsidR="00262854" w:rsidRPr="004D2FF7">
        <w:rPr>
          <w:rFonts w:ascii="Times New Roman" w:hAnsi="Times New Roman" w:cs="Times New Roman"/>
          <w:sz w:val="24"/>
          <w:szCs w:val="24"/>
        </w:rPr>
        <w:t>î</w:t>
      </w:r>
      <w:r w:rsidR="00262854" w:rsidRPr="004D2FF7">
        <w:rPr>
          <w:rFonts w:ascii="Times New Roman" w:eastAsia="Calibri" w:hAnsi="Times New Roman" w:cs="Times New Roman"/>
          <w:color w:val="000000"/>
          <w:sz w:val="24"/>
          <w:szCs w:val="24"/>
        </w:rPr>
        <w:t xml:space="preserve">n perioada 2018-2022 </w:t>
      </w:r>
      <w:r w:rsidRPr="004D2FF7">
        <w:rPr>
          <w:rFonts w:ascii="Times New Roman" w:hAnsi="Times New Roman" w:cs="Times New Roman"/>
          <w:sz w:val="24"/>
          <w:szCs w:val="24"/>
        </w:rPr>
        <w:t>CNPDCP</w:t>
      </w:r>
      <w:r w:rsidR="007449E0" w:rsidRPr="004D2FF7">
        <w:rPr>
          <w:rFonts w:ascii="Times New Roman" w:hAnsi="Times New Roman" w:cs="Times New Roman"/>
          <w:sz w:val="24"/>
          <w:szCs w:val="24"/>
        </w:rPr>
        <w:t xml:space="preserve"> </w:t>
      </w:r>
      <w:r w:rsidRPr="004D2FF7">
        <w:rPr>
          <w:rFonts w:ascii="Times New Roman" w:hAnsi="Times New Roman" w:cs="Times New Roman"/>
          <w:sz w:val="24"/>
          <w:szCs w:val="24"/>
        </w:rPr>
        <w:t>nu a publicat trimestrial și anual pe pagina web oficială, informați</w:t>
      </w:r>
      <w:r w:rsidR="000A0915">
        <w:rPr>
          <w:rFonts w:ascii="Times New Roman" w:hAnsi="Times New Roman" w:cs="Times New Roman"/>
          <w:sz w:val="24"/>
          <w:szCs w:val="24"/>
        </w:rPr>
        <w:t>ile</w:t>
      </w:r>
      <w:r w:rsidRPr="004D2FF7">
        <w:rPr>
          <w:rFonts w:ascii="Times New Roman" w:hAnsi="Times New Roman" w:cs="Times New Roman"/>
          <w:sz w:val="24"/>
          <w:szCs w:val="24"/>
        </w:rPr>
        <w:t xml:space="preserve"> privind </w:t>
      </w:r>
      <w:r w:rsidR="003B11C7" w:rsidRPr="004D2FF7">
        <w:rPr>
          <w:rFonts w:ascii="Times New Roman" w:hAnsi="Times New Roman" w:cs="Times New Roman"/>
          <w:sz w:val="24"/>
          <w:szCs w:val="24"/>
        </w:rPr>
        <w:t>4</w:t>
      </w:r>
      <w:r w:rsidR="00D9492C" w:rsidRPr="004D2FF7">
        <w:rPr>
          <w:rFonts w:ascii="Times New Roman" w:hAnsi="Times New Roman" w:cs="Times New Roman"/>
          <w:sz w:val="24"/>
          <w:szCs w:val="24"/>
        </w:rPr>
        <w:t>0</w:t>
      </w:r>
      <w:r w:rsidR="002152AC" w:rsidRPr="004D2FF7">
        <w:rPr>
          <w:rFonts w:ascii="Times New Roman" w:hAnsi="Times New Roman" w:cs="Times New Roman"/>
          <w:sz w:val="24"/>
          <w:szCs w:val="24"/>
        </w:rPr>
        <w:t xml:space="preserve"> de </w:t>
      </w:r>
      <w:r w:rsidRPr="004D2FF7">
        <w:rPr>
          <w:rFonts w:ascii="Times New Roman" w:hAnsi="Times New Roman" w:cs="Times New Roman"/>
          <w:sz w:val="24"/>
          <w:szCs w:val="24"/>
        </w:rPr>
        <w:t>deplasări</w:t>
      </w:r>
      <w:r w:rsidR="009876BE" w:rsidRPr="004D2FF7">
        <w:rPr>
          <w:rFonts w:ascii="Times New Roman" w:hAnsi="Times New Roman" w:cs="Times New Roman"/>
          <w:sz w:val="24"/>
          <w:szCs w:val="24"/>
        </w:rPr>
        <w:t xml:space="preserve"> de serviciu în străinătate</w:t>
      </w:r>
      <w:r w:rsidR="00466C90" w:rsidRPr="004D2FF7">
        <w:rPr>
          <w:rFonts w:ascii="Times New Roman" w:hAnsi="Times New Roman" w:cs="Times New Roman"/>
          <w:sz w:val="24"/>
          <w:szCs w:val="24"/>
        </w:rPr>
        <w:t>, inclusiv devizul și sursa de finanțare a cheltuielilor,</w:t>
      </w:r>
      <w:r w:rsidR="002152AC" w:rsidRPr="004D2FF7">
        <w:rPr>
          <w:rFonts w:ascii="Times New Roman" w:hAnsi="Times New Roman" w:cs="Times New Roman"/>
          <w:sz w:val="24"/>
          <w:szCs w:val="24"/>
        </w:rPr>
        <w:t xml:space="preserve"> </w:t>
      </w:r>
      <w:r w:rsidR="00262854" w:rsidRPr="004D2FF7">
        <w:rPr>
          <w:rFonts w:ascii="Times New Roman" w:hAnsi="Times New Roman" w:cs="Times New Roman"/>
          <w:sz w:val="24"/>
          <w:szCs w:val="24"/>
        </w:rPr>
        <w:t xml:space="preserve">pentru care din </w:t>
      </w:r>
      <w:r w:rsidR="00466C90" w:rsidRPr="004D2FF7">
        <w:rPr>
          <w:rFonts w:ascii="Times New Roman" w:hAnsi="Times New Roman" w:cs="Times New Roman"/>
          <w:sz w:val="24"/>
          <w:szCs w:val="24"/>
        </w:rPr>
        <w:t>buget</w:t>
      </w:r>
      <w:r w:rsidR="00262854" w:rsidRPr="004D2FF7">
        <w:rPr>
          <w:rFonts w:ascii="Times New Roman" w:hAnsi="Times New Roman" w:cs="Times New Roman"/>
          <w:sz w:val="24"/>
          <w:szCs w:val="24"/>
        </w:rPr>
        <w:t>ul de stat s</w:t>
      </w:r>
      <w:r w:rsidR="000A0915">
        <w:rPr>
          <w:rFonts w:ascii="Times New Roman" w:hAnsi="Times New Roman" w:cs="Times New Roman"/>
          <w:sz w:val="24"/>
          <w:szCs w:val="24"/>
        </w:rPr>
        <w:t>-</w:t>
      </w:r>
      <w:r w:rsidR="00262854" w:rsidRPr="004D2FF7">
        <w:rPr>
          <w:rFonts w:ascii="Times New Roman" w:hAnsi="Times New Roman" w:cs="Times New Roman"/>
          <w:sz w:val="24"/>
          <w:szCs w:val="24"/>
        </w:rPr>
        <w:t>au cheltuit</w:t>
      </w:r>
      <w:r w:rsidR="002152AC" w:rsidRPr="004D2FF7">
        <w:rPr>
          <w:rFonts w:ascii="Times New Roman" w:hAnsi="Times New Roman" w:cs="Times New Roman"/>
          <w:sz w:val="24"/>
          <w:szCs w:val="24"/>
        </w:rPr>
        <w:t xml:space="preserve"> </w:t>
      </w:r>
      <w:r w:rsidR="002152AC" w:rsidRPr="004D2FF7">
        <w:rPr>
          <w:rFonts w:ascii="Times New Roman" w:eastAsia="Calibri" w:hAnsi="Times New Roman" w:cs="Times New Roman"/>
          <w:color w:val="000000"/>
          <w:sz w:val="24"/>
          <w:szCs w:val="24"/>
        </w:rPr>
        <w:t>1</w:t>
      </w:r>
      <w:r w:rsidR="000A0915">
        <w:rPr>
          <w:rFonts w:ascii="Times New Roman" w:eastAsia="Calibri" w:hAnsi="Times New Roman" w:cs="Times New Roman"/>
          <w:color w:val="000000"/>
          <w:sz w:val="24"/>
          <w:szCs w:val="24"/>
        </w:rPr>
        <w:t>.</w:t>
      </w:r>
      <w:r w:rsidR="002152AC" w:rsidRPr="004D2FF7">
        <w:rPr>
          <w:rFonts w:ascii="Times New Roman" w:eastAsia="Calibri" w:hAnsi="Times New Roman" w:cs="Times New Roman"/>
          <w:color w:val="000000"/>
          <w:sz w:val="24"/>
          <w:szCs w:val="24"/>
        </w:rPr>
        <w:t>034,9 mii lei</w:t>
      </w:r>
      <w:r w:rsidRPr="004D2FF7">
        <w:rPr>
          <w:rFonts w:ascii="Times New Roman" w:hAnsi="Times New Roman" w:cs="Times New Roman"/>
          <w:sz w:val="24"/>
          <w:szCs w:val="24"/>
        </w:rPr>
        <w:t>.</w:t>
      </w:r>
    </w:p>
    <w:p w14:paraId="10B1241B" w14:textId="08DDE1A7" w:rsidR="004F60C1" w:rsidRPr="004D2FF7" w:rsidRDefault="002152AC" w:rsidP="00466142">
      <w:pPr>
        <w:pStyle w:val="tt"/>
        <w:spacing w:after="120" w:line="276" w:lineRule="auto"/>
        <w:jc w:val="both"/>
        <w:rPr>
          <w:b w:val="0"/>
          <w:lang w:val="ro-MD"/>
        </w:rPr>
      </w:pPr>
      <w:r w:rsidRPr="004D2FF7">
        <w:rPr>
          <w:b w:val="0"/>
          <w:lang w:val="ro-MD"/>
        </w:rPr>
        <w:lastRenderedPageBreak/>
        <w:t>Conform reglementărilor</w:t>
      </w:r>
      <w:r w:rsidRPr="004D2FF7">
        <w:rPr>
          <w:rStyle w:val="FootnoteReference"/>
          <w:b w:val="0"/>
          <w:lang w:val="ro-MD"/>
        </w:rPr>
        <w:footnoteReference w:id="119"/>
      </w:r>
      <w:r w:rsidR="000A0915">
        <w:rPr>
          <w:b w:val="0"/>
          <w:lang w:val="ro-MD"/>
        </w:rPr>
        <w:t>,</w:t>
      </w:r>
      <w:r w:rsidRPr="004D2FF7">
        <w:rPr>
          <w:b w:val="0"/>
          <w:lang w:val="ro-MD"/>
        </w:rPr>
        <w:t xml:space="preserve"> s</w:t>
      </w:r>
      <w:r w:rsidR="005F10F2" w:rsidRPr="004D2FF7">
        <w:rPr>
          <w:b w:val="0"/>
          <w:lang w:val="ro-MD"/>
        </w:rPr>
        <w:t>alariatului delegat i se achită cheltuielile pentru călătoria tur-retur cu transportul public (cu excepția taximetrelor) pe distanța dintre gară, aerogară, debarcader şi locul de cazare/domiciliu ori cu taximetrul</w:t>
      </w:r>
      <w:r w:rsidR="000A0915">
        <w:rPr>
          <w:b w:val="0"/>
          <w:lang w:val="ro-MD"/>
        </w:rPr>
        <w:t>,</w:t>
      </w:r>
      <w:r w:rsidR="005F10F2" w:rsidRPr="004D2FF7">
        <w:rPr>
          <w:b w:val="0"/>
          <w:lang w:val="ro-MD"/>
        </w:rPr>
        <w:t xml:space="preserve"> în cazul în care ora sosirii sau plecării delegatului nu corespunde cu orarul transportului public, în baza actelor de călătorie prezentate.</w:t>
      </w:r>
      <w:r w:rsidR="00466142" w:rsidRPr="004D2FF7">
        <w:rPr>
          <w:b w:val="0"/>
          <w:lang w:val="ro-MD"/>
        </w:rPr>
        <w:t xml:space="preserve"> </w:t>
      </w:r>
      <w:r w:rsidRPr="004D2FF7">
        <w:rPr>
          <w:b w:val="0"/>
          <w:lang w:val="ro-MD"/>
        </w:rPr>
        <w:t>Auditul a stabilit că în cazul a 18 deplasări</w:t>
      </w:r>
      <w:r w:rsidR="0051231D" w:rsidRPr="004D2FF7">
        <w:t xml:space="preserve"> </w:t>
      </w:r>
      <w:r w:rsidR="0051231D" w:rsidRPr="004D2FF7">
        <w:rPr>
          <w:b w:val="0"/>
          <w:lang w:val="ro-RO"/>
        </w:rPr>
        <w:t>de serviciu în străinătate</w:t>
      </w:r>
      <w:r w:rsidRPr="004D2FF7">
        <w:rPr>
          <w:b w:val="0"/>
          <w:lang w:val="ro-RO"/>
        </w:rPr>
        <w:t>,</w:t>
      </w:r>
      <w:r w:rsidRPr="004D2FF7">
        <w:rPr>
          <w:b w:val="0"/>
          <w:lang w:val="ro-MD"/>
        </w:rPr>
        <w:t xml:space="preserve"> CNPDCP le-a achitat neregulamentar la 3 angajați</w:t>
      </w:r>
      <w:r w:rsidR="0044225C" w:rsidRPr="004D2FF7">
        <w:rPr>
          <w:b w:val="0"/>
          <w:lang w:val="ro-MD"/>
        </w:rPr>
        <w:t xml:space="preserve"> </w:t>
      </w:r>
      <w:r w:rsidRPr="004D2FF7">
        <w:rPr>
          <w:b w:val="0"/>
          <w:lang w:val="ro-MD"/>
        </w:rPr>
        <w:t>cheltuielile de transport</w:t>
      </w:r>
      <w:r w:rsidR="00CD3449" w:rsidRPr="004D2FF7">
        <w:rPr>
          <w:b w:val="0"/>
          <w:lang w:val="ro-MD"/>
        </w:rPr>
        <w:t xml:space="preserve"> pentru utilizarea taximetrelor</w:t>
      </w:r>
      <w:r w:rsidRPr="004D2FF7">
        <w:rPr>
          <w:b w:val="0"/>
          <w:lang w:val="ro-MD"/>
        </w:rPr>
        <w:t xml:space="preserve"> în valoare de 1</w:t>
      </w:r>
      <w:r w:rsidR="00152A9E" w:rsidRPr="004D2FF7">
        <w:rPr>
          <w:b w:val="0"/>
          <w:lang w:val="ro-MD"/>
        </w:rPr>
        <w:t>8</w:t>
      </w:r>
      <w:r w:rsidRPr="004D2FF7">
        <w:rPr>
          <w:b w:val="0"/>
          <w:lang w:val="ro-MD"/>
        </w:rPr>
        <w:t>,</w:t>
      </w:r>
      <w:r w:rsidR="00144BF0" w:rsidRPr="004D2FF7">
        <w:rPr>
          <w:b w:val="0"/>
          <w:lang w:val="ro-MD"/>
        </w:rPr>
        <w:t>8</w:t>
      </w:r>
      <w:r w:rsidRPr="004D2FF7">
        <w:rPr>
          <w:b w:val="0"/>
          <w:lang w:val="ro-MD"/>
        </w:rPr>
        <w:t xml:space="preserve"> mii lei, </w:t>
      </w:r>
      <w:r w:rsidR="008920A0" w:rsidRPr="004D2FF7">
        <w:rPr>
          <w:b w:val="0"/>
          <w:lang w:val="ro-MD"/>
        </w:rPr>
        <w:t>fără a anexa documentele justificative privind necesitatea utilizării acestor servicii de transport</w:t>
      </w:r>
      <w:r w:rsidR="000A0915">
        <w:rPr>
          <w:b w:val="0"/>
          <w:lang w:val="ro-MD"/>
        </w:rPr>
        <w:t>,</w:t>
      </w:r>
      <w:r w:rsidR="0044225C" w:rsidRPr="004D2FF7">
        <w:rPr>
          <w:b w:val="0"/>
          <w:lang w:val="ro-MD"/>
        </w:rPr>
        <w:t xml:space="preserve"> deși</w:t>
      </w:r>
      <w:r w:rsidR="008920A0" w:rsidRPr="004D2FF7">
        <w:rPr>
          <w:b w:val="0"/>
          <w:lang w:val="ro-MD"/>
        </w:rPr>
        <w:t xml:space="preserve"> ora sosirii sau plecării delegatului </w:t>
      </w:r>
      <w:r w:rsidR="002C06AA" w:rsidRPr="004D2FF7">
        <w:rPr>
          <w:b w:val="0"/>
          <w:lang w:val="ro-MD"/>
        </w:rPr>
        <w:t>a</w:t>
      </w:r>
      <w:r w:rsidR="008920A0" w:rsidRPr="004D2FF7">
        <w:rPr>
          <w:b w:val="0"/>
          <w:lang w:val="ro-MD"/>
        </w:rPr>
        <w:t xml:space="preserve"> corespun</w:t>
      </w:r>
      <w:r w:rsidR="002C06AA" w:rsidRPr="004D2FF7">
        <w:rPr>
          <w:b w:val="0"/>
          <w:lang w:val="ro-MD"/>
        </w:rPr>
        <w:t>s</w:t>
      </w:r>
      <w:r w:rsidR="008920A0" w:rsidRPr="004D2FF7">
        <w:rPr>
          <w:b w:val="0"/>
          <w:lang w:val="ro-MD"/>
        </w:rPr>
        <w:t xml:space="preserve"> cu orarul transportului public</w:t>
      </w:r>
      <w:r w:rsidR="00CD6275">
        <w:rPr>
          <w:b w:val="0"/>
          <w:lang w:val="ro-MD"/>
        </w:rPr>
        <w:t xml:space="preserve"> în străinătate</w:t>
      </w:r>
      <w:r w:rsidR="008920A0" w:rsidRPr="004D2FF7">
        <w:rPr>
          <w:b w:val="0"/>
          <w:lang w:val="ro-MD"/>
        </w:rPr>
        <w:t xml:space="preserve">, </w:t>
      </w:r>
      <w:r w:rsidRPr="004D2FF7">
        <w:rPr>
          <w:b w:val="0"/>
          <w:lang w:val="ro-MD"/>
        </w:rPr>
        <w:t>înc</w:t>
      </w:r>
      <w:r w:rsidR="000A0915">
        <w:rPr>
          <w:b w:val="0"/>
          <w:lang w:val="ro-MD"/>
        </w:rPr>
        <w:t>ă</w:t>
      </w:r>
      <w:r w:rsidRPr="004D2FF7">
        <w:rPr>
          <w:b w:val="0"/>
          <w:lang w:val="ro-MD"/>
        </w:rPr>
        <w:t>lc</w:t>
      </w:r>
      <w:r w:rsidR="000A0915">
        <w:rPr>
          <w:b w:val="0"/>
          <w:lang w:val="ro-MD"/>
        </w:rPr>
        <w:t>â</w:t>
      </w:r>
      <w:r w:rsidRPr="004D2FF7">
        <w:rPr>
          <w:b w:val="0"/>
          <w:lang w:val="ro-MD"/>
        </w:rPr>
        <w:t>nd</w:t>
      </w:r>
      <w:r w:rsidR="0051231D" w:rsidRPr="004D2FF7">
        <w:rPr>
          <w:b w:val="0"/>
          <w:lang w:val="ro-MD"/>
        </w:rPr>
        <w:t xml:space="preserve"> astfel</w:t>
      </w:r>
      <w:r w:rsidRPr="004D2FF7">
        <w:rPr>
          <w:b w:val="0"/>
          <w:lang w:val="ro-MD"/>
        </w:rPr>
        <w:t xml:space="preserve"> Regulamentul cu privire la delegarea salariaților entităților din Republica Moldova</w:t>
      </w:r>
      <w:r w:rsidRPr="004D2FF7">
        <w:rPr>
          <w:rStyle w:val="FootnoteReference"/>
          <w:b w:val="0"/>
          <w:lang w:val="ro-MD"/>
        </w:rPr>
        <w:footnoteReference w:id="120"/>
      </w:r>
      <w:r w:rsidRPr="004D2FF7">
        <w:rPr>
          <w:b w:val="0"/>
          <w:lang w:val="ro-MD"/>
        </w:rPr>
        <w:t>.</w:t>
      </w:r>
    </w:p>
    <w:p w14:paraId="76C2DC7F" w14:textId="43267E43" w:rsidR="004F754A" w:rsidRPr="004D2FF7" w:rsidRDefault="003E5D95" w:rsidP="00276FF7">
      <w:pPr>
        <w:pStyle w:val="tt"/>
        <w:spacing w:after="120" w:line="276" w:lineRule="auto"/>
        <w:jc w:val="both"/>
        <w:rPr>
          <w:b w:val="0"/>
          <w:lang w:val="ro-RO"/>
        </w:rPr>
      </w:pPr>
      <w:r w:rsidRPr="004D2FF7">
        <w:rPr>
          <w:b w:val="0"/>
          <w:lang w:val="ro-RO"/>
        </w:rPr>
        <w:t>Auditul relevă despre faptul utilizării neeficiente a mijloacelor financiare cheltuite pentru deplasări de serviciu</w:t>
      </w:r>
      <w:r w:rsidR="000D3034" w:rsidRPr="004D2FF7">
        <w:rPr>
          <w:b w:val="0"/>
          <w:lang w:val="ro-RO"/>
        </w:rPr>
        <w:t>.</w:t>
      </w:r>
      <w:r w:rsidRPr="004D2FF7">
        <w:rPr>
          <w:b w:val="0"/>
          <w:lang w:val="ro-RO"/>
        </w:rPr>
        <w:t xml:space="preserve"> Astfel, d</w:t>
      </w:r>
      <w:r w:rsidR="000F743E" w:rsidRPr="004D2FF7">
        <w:rPr>
          <w:b w:val="0"/>
          <w:lang w:val="ro-RO"/>
        </w:rPr>
        <w:t xml:space="preserve">in numărul total de </w:t>
      </w:r>
      <w:r w:rsidR="003B11C7" w:rsidRPr="004D2FF7">
        <w:rPr>
          <w:b w:val="0"/>
          <w:lang w:val="ro-RO"/>
        </w:rPr>
        <w:t>4</w:t>
      </w:r>
      <w:r w:rsidR="00D9492C" w:rsidRPr="004D2FF7">
        <w:rPr>
          <w:b w:val="0"/>
          <w:lang w:val="ro-RO"/>
        </w:rPr>
        <w:t>0</w:t>
      </w:r>
      <w:r w:rsidR="000F743E" w:rsidRPr="004D2FF7">
        <w:rPr>
          <w:lang w:val="ro-RO"/>
        </w:rPr>
        <w:t xml:space="preserve"> </w:t>
      </w:r>
      <w:r w:rsidR="000F743E" w:rsidRPr="004D2FF7">
        <w:rPr>
          <w:b w:val="0"/>
          <w:lang w:val="ro-RO"/>
        </w:rPr>
        <w:t>de deplasări de serviciu în străinătate</w:t>
      </w:r>
      <w:r w:rsidR="00D1133F" w:rsidRPr="004D2FF7">
        <w:rPr>
          <w:b w:val="0"/>
          <w:lang w:val="ro-RO"/>
        </w:rPr>
        <w:t>,</w:t>
      </w:r>
      <w:r w:rsidR="00152A9E" w:rsidRPr="004D2FF7">
        <w:rPr>
          <w:b w:val="0"/>
          <w:lang w:val="ro-RO"/>
        </w:rPr>
        <w:t xml:space="preserve"> </w:t>
      </w:r>
      <w:r w:rsidR="003B11C7" w:rsidRPr="004D2FF7">
        <w:rPr>
          <w:b w:val="0"/>
          <w:lang w:val="ro-RO"/>
        </w:rPr>
        <w:t>3</w:t>
      </w:r>
      <w:r w:rsidR="00D9492C" w:rsidRPr="004D2FF7">
        <w:rPr>
          <w:b w:val="0"/>
          <w:lang w:val="ro-RO"/>
        </w:rPr>
        <w:t>2</w:t>
      </w:r>
      <w:r w:rsidR="00152A9E" w:rsidRPr="004D2FF7">
        <w:rPr>
          <w:b w:val="0"/>
          <w:lang w:val="ro-RO"/>
        </w:rPr>
        <w:t xml:space="preserve"> de deplasări</w:t>
      </w:r>
      <w:r w:rsidR="00D1133F" w:rsidRPr="004D2FF7">
        <w:rPr>
          <w:b w:val="0"/>
          <w:lang w:val="ro-RO"/>
        </w:rPr>
        <w:t xml:space="preserve"> de serviciu</w:t>
      </w:r>
      <w:r w:rsidR="000A0915">
        <w:rPr>
          <w:b w:val="0"/>
          <w:lang w:val="ro-RO"/>
        </w:rPr>
        <w:t>,</w:t>
      </w:r>
      <w:r w:rsidR="004E4295" w:rsidRPr="004D2FF7">
        <w:rPr>
          <w:b w:val="0"/>
          <w:lang w:val="ro-RO"/>
        </w:rPr>
        <w:t xml:space="preserve"> </w:t>
      </w:r>
      <w:r w:rsidR="00D1133F" w:rsidRPr="004D2FF7">
        <w:rPr>
          <w:b w:val="0"/>
          <w:lang w:val="ro-RO"/>
        </w:rPr>
        <w:t>pentru care s</w:t>
      </w:r>
      <w:r w:rsidR="000A0915">
        <w:rPr>
          <w:b w:val="0"/>
          <w:lang w:val="ro-RO"/>
        </w:rPr>
        <w:t>-</w:t>
      </w:r>
      <w:r w:rsidR="00D1133F" w:rsidRPr="004D2FF7">
        <w:rPr>
          <w:b w:val="0"/>
          <w:lang w:val="ro-RO"/>
        </w:rPr>
        <w:t xml:space="preserve">au cheltuit </w:t>
      </w:r>
      <w:r w:rsidR="00D1133F" w:rsidRPr="004D2FF7">
        <w:rPr>
          <w:b w:val="0"/>
          <w:lang w:val="ro-MD"/>
        </w:rPr>
        <w:t>7</w:t>
      </w:r>
      <w:r w:rsidR="00D9492C" w:rsidRPr="004D2FF7">
        <w:rPr>
          <w:b w:val="0"/>
          <w:lang w:val="ro-MD"/>
        </w:rPr>
        <w:t>69,5</w:t>
      </w:r>
      <w:r w:rsidR="00D1133F" w:rsidRPr="004D2FF7">
        <w:rPr>
          <w:b w:val="0"/>
          <w:lang w:val="ro-MD"/>
        </w:rPr>
        <w:t xml:space="preserve"> mii lei</w:t>
      </w:r>
      <w:r w:rsidR="000A0915">
        <w:rPr>
          <w:b w:val="0"/>
          <w:lang w:val="ro-MD"/>
        </w:rPr>
        <w:t>,</w:t>
      </w:r>
      <w:r w:rsidR="008B342E" w:rsidRPr="004D2FF7">
        <w:rPr>
          <w:b w:val="0"/>
          <w:lang w:val="ro-RO"/>
        </w:rPr>
        <w:t xml:space="preserve"> sau 7</w:t>
      </w:r>
      <w:r w:rsidR="00D9492C" w:rsidRPr="004D2FF7">
        <w:rPr>
          <w:b w:val="0"/>
          <w:lang w:val="ro-RO"/>
        </w:rPr>
        <w:t>4</w:t>
      </w:r>
      <w:r w:rsidR="008B342E" w:rsidRPr="004D2FF7">
        <w:rPr>
          <w:b w:val="0"/>
          <w:lang w:val="ro-RO"/>
        </w:rPr>
        <w:t>,</w:t>
      </w:r>
      <w:r w:rsidR="00D9492C" w:rsidRPr="004D2FF7">
        <w:rPr>
          <w:b w:val="0"/>
          <w:lang w:val="ro-RO"/>
        </w:rPr>
        <w:t>4</w:t>
      </w:r>
      <w:r w:rsidR="008B342E" w:rsidRPr="004D2FF7">
        <w:rPr>
          <w:b w:val="0"/>
          <w:lang w:val="ro-RO"/>
        </w:rPr>
        <w:t>% din totalul cheltuielilor suportate</w:t>
      </w:r>
      <w:r w:rsidR="000A0915">
        <w:rPr>
          <w:b w:val="0"/>
          <w:lang w:val="ro-RO"/>
        </w:rPr>
        <w:t>,</w:t>
      </w:r>
      <w:r w:rsidR="003B11C7" w:rsidRPr="004D2FF7">
        <w:rPr>
          <w:b w:val="0"/>
          <w:lang w:val="ro-RO"/>
        </w:rPr>
        <w:t xml:space="preserve"> revin conducerii CNPDCP</w:t>
      </w:r>
      <w:r w:rsidR="00231E98" w:rsidRPr="004D2FF7">
        <w:rPr>
          <w:b w:val="0"/>
          <w:lang w:val="ro-RO"/>
        </w:rPr>
        <w:t xml:space="preserve"> care</w:t>
      </w:r>
      <w:r w:rsidR="00AC3BC1" w:rsidRPr="004D2FF7">
        <w:rPr>
          <w:b w:val="0"/>
          <w:lang w:val="ro-RO"/>
        </w:rPr>
        <w:t xml:space="preserve"> </w:t>
      </w:r>
      <w:r w:rsidR="00231E98" w:rsidRPr="004D2FF7">
        <w:rPr>
          <w:b w:val="0"/>
          <w:lang w:val="ro-RO"/>
        </w:rPr>
        <w:t>a participat în calitate de observator,</w:t>
      </w:r>
      <w:r w:rsidR="003B11C7" w:rsidRPr="004D2FF7">
        <w:rPr>
          <w:b w:val="0"/>
          <w:lang w:val="ro-RO"/>
        </w:rPr>
        <w:t xml:space="preserve"> </w:t>
      </w:r>
      <w:r w:rsidR="000F743E" w:rsidRPr="004D2FF7">
        <w:rPr>
          <w:b w:val="0"/>
          <w:lang w:val="ro-RO"/>
        </w:rPr>
        <w:t xml:space="preserve">iar </w:t>
      </w:r>
      <w:r w:rsidR="00D9492C" w:rsidRPr="004D2FF7">
        <w:rPr>
          <w:b w:val="0"/>
          <w:lang w:val="ro-RO"/>
        </w:rPr>
        <w:t>8</w:t>
      </w:r>
      <w:r w:rsidR="000F743E" w:rsidRPr="004D2FF7">
        <w:rPr>
          <w:b w:val="0"/>
          <w:lang w:val="ro-RO"/>
        </w:rPr>
        <w:t xml:space="preserve"> deplasări de serviciu</w:t>
      </w:r>
      <w:r w:rsidR="000A0915">
        <w:rPr>
          <w:b w:val="0"/>
          <w:lang w:val="ro-RO"/>
        </w:rPr>
        <w:t>,</w:t>
      </w:r>
      <w:r w:rsidR="003210F9" w:rsidRPr="004D2FF7">
        <w:rPr>
          <w:b w:val="0"/>
          <w:lang w:val="ro-RO"/>
        </w:rPr>
        <w:t xml:space="preserve"> </w:t>
      </w:r>
      <w:r w:rsidR="00466142" w:rsidRPr="004D2FF7">
        <w:rPr>
          <w:b w:val="0"/>
          <w:lang w:val="ro-RO"/>
        </w:rPr>
        <w:t>pentru care s</w:t>
      </w:r>
      <w:r w:rsidR="005062FD">
        <w:rPr>
          <w:b w:val="0"/>
          <w:lang w:val="ro-RO"/>
        </w:rPr>
        <w:t>-</w:t>
      </w:r>
      <w:r w:rsidR="00466142" w:rsidRPr="004D2FF7">
        <w:rPr>
          <w:b w:val="0"/>
          <w:lang w:val="ro-RO"/>
        </w:rPr>
        <w:t>au cheltuit 2</w:t>
      </w:r>
      <w:r w:rsidR="00D9492C" w:rsidRPr="004D2FF7">
        <w:rPr>
          <w:b w:val="0"/>
          <w:lang w:val="ro-RO"/>
        </w:rPr>
        <w:t>65,4</w:t>
      </w:r>
      <w:r w:rsidR="00231E98" w:rsidRPr="004D2FF7">
        <w:rPr>
          <w:b w:val="0"/>
          <w:lang w:val="ro-MD"/>
        </w:rPr>
        <w:t xml:space="preserve"> mii lei</w:t>
      </w:r>
      <w:r w:rsidR="000A0915">
        <w:rPr>
          <w:b w:val="0"/>
          <w:lang w:val="ro-MD"/>
        </w:rPr>
        <w:t>,</w:t>
      </w:r>
      <w:r w:rsidR="00466142" w:rsidRPr="004D2FF7">
        <w:rPr>
          <w:b w:val="0"/>
          <w:lang w:val="ro-MD"/>
        </w:rPr>
        <w:t xml:space="preserve"> </w:t>
      </w:r>
      <w:r w:rsidR="00231E98" w:rsidRPr="004D2FF7">
        <w:rPr>
          <w:b w:val="0"/>
          <w:lang w:val="ro-MD"/>
        </w:rPr>
        <w:t xml:space="preserve">sau </w:t>
      </w:r>
      <w:r w:rsidR="00A82189" w:rsidRPr="004D2FF7">
        <w:rPr>
          <w:b w:val="0"/>
          <w:lang w:val="ro-MD"/>
        </w:rPr>
        <w:t>2</w:t>
      </w:r>
      <w:r w:rsidR="00D9492C" w:rsidRPr="004D2FF7">
        <w:rPr>
          <w:b w:val="0"/>
          <w:lang w:val="ro-MD"/>
        </w:rPr>
        <w:t>5</w:t>
      </w:r>
      <w:r w:rsidR="00A82189" w:rsidRPr="004D2FF7">
        <w:rPr>
          <w:b w:val="0"/>
          <w:lang w:val="ro-MD"/>
        </w:rPr>
        <w:t>,</w:t>
      </w:r>
      <w:r w:rsidR="00D9492C" w:rsidRPr="004D2FF7">
        <w:rPr>
          <w:b w:val="0"/>
          <w:lang w:val="ro-MD"/>
        </w:rPr>
        <w:t>6</w:t>
      </w:r>
      <w:r w:rsidR="00231E98" w:rsidRPr="004D2FF7">
        <w:rPr>
          <w:b w:val="0"/>
          <w:lang w:val="ro-RO"/>
        </w:rPr>
        <w:t>%</w:t>
      </w:r>
      <w:r w:rsidR="00FB1345" w:rsidRPr="004D2FF7">
        <w:rPr>
          <w:b w:val="0"/>
          <w:lang w:val="ro-RO"/>
        </w:rPr>
        <w:t xml:space="preserve"> din totalul cheltuielilor</w:t>
      </w:r>
      <w:r w:rsidR="000A0915">
        <w:rPr>
          <w:b w:val="0"/>
          <w:lang w:val="ro-RO"/>
        </w:rPr>
        <w:t>,</w:t>
      </w:r>
      <w:r w:rsidR="00FB1345" w:rsidRPr="004D2FF7">
        <w:rPr>
          <w:b w:val="0"/>
          <w:lang w:val="ro-RO"/>
        </w:rPr>
        <w:t xml:space="preserve"> </w:t>
      </w:r>
      <w:r w:rsidR="00FB160D" w:rsidRPr="004D2FF7">
        <w:rPr>
          <w:b w:val="0"/>
          <w:lang w:val="ro-MD"/>
        </w:rPr>
        <w:t>revin</w:t>
      </w:r>
      <w:r w:rsidR="00466142" w:rsidRPr="004D2FF7">
        <w:rPr>
          <w:b w:val="0"/>
          <w:lang w:val="ro-MD"/>
        </w:rPr>
        <w:t xml:space="preserve"> </w:t>
      </w:r>
      <w:r w:rsidR="00FB160D" w:rsidRPr="004D2FF7">
        <w:rPr>
          <w:b w:val="0"/>
          <w:lang w:val="ro-MD"/>
        </w:rPr>
        <w:t xml:space="preserve">șefului </w:t>
      </w:r>
      <w:r w:rsidR="000F743E" w:rsidRPr="004D2FF7">
        <w:rPr>
          <w:b w:val="0"/>
          <w:lang w:val="ro-RO"/>
        </w:rPr>
        <w:t>Direcției relații externe și integrare europeană și un</w:t>
      </w:r>
      <w:r w:rsidR="00FB160D" w:rsidRPr="004D2FF7">
        <w:rPr>
          <w:b w:val="0"/>
          <w:lang w:val="ro-RO"/>
        </w:rPr>
        <w:t>or</w:t>
      </w:r>
      <w:r w:rsidR="000F743E" w:rsidRPr="004D2FF7">
        <w:rPr>
          <w:b w:val="0"/>
          <w:lang w:val="ro-RO"/>
        </w:rPr>
        <w:t xml:space="preserve"> </w:t>
      </w:r>
      <w:r w:rsidR="00FB160D" w:rsidRPr="004D2FF7">
        <w:rPr>
          <w:b w:val="0"/>
          <w:lang w:val="ro-RO"/>
        </w:rPr>
        <w:t>angajați</w:t>
      </w:r>
      <w:r w:rsidR="000F743E" w:rsidRPr="004D2FF7">
        <w:rPr>
          <w:b w:val="0"/>
          <w:lang w:val="ro-RO"/>
        </w:rPr>
        <w:t xml:space="preserve"> din cadrul CNPDCP. </w:t>
      </w:r>
      <w:r w:rsidR="004F754A" w:rsidRPr="004D2FF7">
        <w:rPr>
          <w:b w:val="0"/>
          <w:lang w:val="ro-RO"/>
        </w:rPr>
        <w:t xml:space="preserve">Deși persoanele delegate </w:t>
      </w:r>
      <w:r w:rsidR="00276FF7" w:rsidRPr="004D2FF7">
        <w:rPr>
          <w:b w:val="0"/>
          <w:lang w:val="ro-RO"/>
        </w:rPr>
        <w:t>au prezentat</w:t>
      </w:r>
      <w:r w:rsidR="00EB24A2" w:rsidRPr="004D2FF7">
        <w:rPr>
          <w:b w:val="0"/>
          <w:lang w:val="ro-RO"/>
        </w:rPr>
        <w:t xml:space="preserve"> un șir de </w:t>
      </w:r>
      <w:r w:rsidR="00276FF7" w:rsidRPr="004D2FF7">
        <w:rPr>
          <w:b w:val="0"/>
          <w:lang w:val="ro-RO"/>
        </w:rPr>
        <w:t>informați</w:t>
      </w:r>
      <w:r w:rsidR="00EB24A2" w:rsidRPr="004D2FF7">
        <w:rPr>
          <w:b w:val="0"/>
          <w:lang w:val="ro-RO"/>
        </w:rPr>
        <w:t>i după încheierea deplasărilor</w:t>
      </w:r>
      <w:r w:rsidR="004F754A" w:rsidRPr="004D2FF7">
        <w:rPr>
          <w:b w:val="0"/>
          <w:lang w:val="ro-RO"/>
        </w:rPr>
        <w:t xml:space="preserve">, </w:t>
      </w:r>
      <w:r w:rsidR="00276FF7" w:rsidRPr="004D2FF7">
        <w:rPr>
          <w:b w:val="0"/>
          <w:lang w:val="ro-RO"/>
        </w:rPr>
        <w:t xml:space="preserve">acestea </w:t>
      </w:r>
      <w:r w:rsidR="004F754A" w:rsidRPr="004D2FF7">
        <w:rPr>
          <w:b w:val="0"/>
          <w:lang w:val="ro-RO"/>
        </w:rPr>
        <w:t>în majoritatea cazurilor</w:t>
      </w:r>
      <w:r w:rsidR="00793F04" w:rsidRPr="004D2FF7">
        <w:rPr>
          <w:b w:val="0"/>
          <w:lang w:val="ro-RO"/>
        </w:rPr>
        <w:t xml:space="preserve"> nu sunt întocmite după formatul reglementat</w:t>
      </w:r>
      <w:r w:rsidR="00937C4D" w:rsidRPr="004D2FF7">
        <w:rPr>
          <w:b w:val="0"/>
          <w:lang w:val="ro-RO"/>
        </w:rPr>
        <w:t>,</w:t>
      </w:r>
      <w:r w:rsidR="00793F04" w:rsidRPr="004D2FF7">
        <w:rPr>
          <w:b w:val="0"/>
          <w:lang w:val="ro-RO"/>
        </w:rPr>
        <w:t xml:space="preserve"> în deosebi</w:t>
      </w:r>
      <w:r w:rsidR="004F754A" w:rsidRPr="004D2FF7">
        <w:rPr>
          <w:b w:val="0"/>
          <w:lang w:val="ro-RO"/>
        </w:rPr>
        <w:t xml:space="preserve"> nu conțin concluzii și propuneri</w:t>
      </w:r>
      <w:r w:rsidR="00276FF7" w:rsidRPr="004D2FF7">
        <w:rPr>
          <w:b w:val="0"/>
          <w:lang w:val="ro-RO"/>
        </w:rPr>
        <w:t xml:space="preserve"> care ar aduce plusvaloare entității</w:t>
      </w:r>
      <w:r w:rsidR="00EB24A2" w:rsidRPr="004D2FF7">
        <w:rPr>
          <w:b w:val="0"/>
          <w:lang w:val="ro-RO"/>
        </w:rPr>
        <w:t>,</w:t>
      </w:r>
      <w:r w:rsidR="00276FF7" w:rsidRPr="004D2FF7">
        <w:rPr>
          <w:b w:val="0"/>
          <w:lang w:val="ro-RO"/>
        </w:rPr>
        <w:t xml:space="preserve"> nerespectându-se </w:t>
      </w:r>
      <w:r w:rsidR="00EB24A2" w:rsidRPr="004D2FF7">
        <w:rPr>
          <w:b w:val="0"/>
          <w:lang w:val="ro-RO"/>
        </w:rPr>
        <w:t xml:space="preserve">astfel </w:t>
      </w:r>
      <w:r w:rsidR="00276FF7" w:rsidRPr="004D2FF7">
        <w:rPr>
          <w:b w:val="0"/>
          <w:lang w:val="ro-RO"/>
        </w:rPr>
        <w:t>prevederile Regulamentului cu privire la delegarea salariaților entităților din Republica Moldova</w:t>
      </w:r>
      <w:r w:rsidR="00276FF7" w:rsidRPr="004D2FF7">
        <w:rPr>
          <w:rStyle w:val="FootnoteReference"/>
          <w:b w:val="0"/>
          <w:lang w:val="ro-RO"/>
        </w:rPr>
        <w:footnoteReference w:id="121"/>
      </w:r>
      <w:r w:rsidR="00276FF7" w:rsidRPr="004D2FF7">
        <w:rPr>
          <w:b w:val="0"/>
          <w:lang w:val="ro-RO"/>
        </w:rPr>
        <w:t>.</w:t>
      </w:r>
      <w:r w:rsidR="004F754A" w:rsidRPr="004D2FF7">
        <w:rPr>
          <w:b w:val="0"/>
          <w:lang w:val="ro-RO"/>
        </w:rPr>
        <w:t xml:space="preserve"> </w:t>
      </w:r>
    </w:p>
    <w:p w14:paraId="2C91F949" w14:textId="109B0170" w:rsidR="00F1069B" w:rsidRPr="004D2FF7" w:rsidRDefault="00F1069B" w:rsidP="00151111">
      <w:pPr>
        <w:pStyle w:val="Heading3"/>
        <w:numPr>
          <w:ilvl w:val="2"/>
          <w:numId w:val="29"/>
        </w:numPr>
        <w:tabs>
          <w:tab w:val="left" w:pos="142"/>
          <w:tab w:val="left" w:pos="567"/>
          <w:tab w:val="left" w:pos="851"/>
        </w:tabs>
        <w:spacing w:before="240" w:after="120" w:line="276" w:lineRule="auto"/>
        <w:ind w:left="0" w:firstLine="0"/>
        <w:jc w:val="both"/>
        <w:rPr>
          <w:rFonts w:ascii="Times New Roman" w:hAnsi="Times New Roman" w:cs="Times New Roman"/>
          <w:b/>
          <w:i/>
          <w:color w:val="2E74B5" w:themeColor="accent1" w:themeShade="BF"/>
        </w:rPr>
      </w:pPr>
      <w:bookmarkStart w:id="35" w:name="_Toc157776097"/>
      <w:r w:rsidRPr="004D2FF7">
        <w:rPr>
          <w:rFonts w:ascii="Times New Roman" w:hAnsi="Times New Roman" w:cs="Times New Roman"/>
          <w:b/>
          <w:i/>
          <w:color w:val="2E74B5" w:themeColor="accent1" w:themeShade="BF"/>
        </w:rPr>
        <w:t>Se atestă nerespectarea normelor prestabilite la efectuarea cheltuielilor privind utilizarea carburanților și lubrifianților, precum și a cheltuielilor pentru reparația curentă a mijloacelor de transport</w:t>
      </w:r>
      <w:r w:rsidR="000A0915">
        <w:rPr>
          <w:rFonts w:ascii="Times New Roman" w:hAnsi="Times New Roman" w:cs="Times New Roman"/>
          <w:b/>
          <w:i/>
          <w:color w:val="2E74B5" w:themeColor="accent1" w:themeShade="BF"/>
        </w:rPr>
        <w:t>.</w:t>
      </w:r>
      <w:bookmarkEnd w:id="35"/>
    </w:p>
    <w:p w14:paraId="771536D0" w14:textId="77777777" w:rsidR="00F1069B" w:rsidRPr="004D2FF7" w:rsidRDefault="00F1069B" w:rsidP="00F1069B">
      <w:pPr>
        <w:spacing w:after="120"/>
        <w:jc w:val="both"/>
        <w:rPr>
          <w:rFonts w:ascii="Times New Roman" w:hAnsi="Times New Roman" w:cs="Times New Roman"/>
          <w:sz w:val="24"/>
          <w:szCs w:val="24"/>
        </w:rPr>
      </w:pPr>
      <w:r w:rsidRPr="004D2FF7">
        <w:rPr>
          <w:rFonts w:ascii="Times New Roman" w:hAnsi="Times New Roman" w:cs="Times New Roman"/>
          <w:sz w:val="24"/>
          <w:szCs w:val="24"/>
        </w:rPr>
        <w:t>Potrivit datelor din evidența contabilă, la finele anului 2022 în gestiunea CNPDCP se aflau 4 autoturisme de serviciu</w:t>
      </w:r>
      <w:r w:rsidRPr="004D2FF7">
        <w:rPr>
          <w:rStyle w:val="FootnoteReference"/>
          <w:rFonts w:ascii="Times New Roman" w:hAnsi="Times New Roman" w:cs="Times New Roman"/>
        </w:rPr>
        <w:footnoteReference w:id="122"/>
      </w:r>
      <w:r w:rsidRPr="004D2FF7">
        <w:rPr>
          <w:rFonts w:ascii="Times New Roman" w:hAnsi="Times New Roman" w:cs="Times New Roman"/>
          <w:sz w:val="24"/>
          <w:szCs w:val="24"/>
        </w:rPr>
        <w:t xml:space="preserve"> în valoare totală de </w:t>
      </w:r>
      <w:r w:rsidRPr="004D2FF7">
        <w:rPr>
          <w:rFonts w:ascii="Times New Roman" w:eastAsia="Times New Roman" w:hAnsi="Times New Roman" w:cs="Times New Roman"/>
          <w:color w:val="000000"/>
          <w:sz w:val="24"/>
          <w:szCs w:val="24"/>
        </w:rPr>
        <w:t xml:space="preserve">1237,0 mii lei. De menționat că </w:t>
      </w:r>
      <w:r w:rsidRPr="004D2FF7">
        <w:rPr>
          <w:rFonts w:ascii="Times New Roman" w:hAnsi="Times New Roman" w:cs="Times New Roman"/>
          <w:sz w:val="24"/>
          <w:szCs w:val="24"/>
        </w:rPr>
        <w:t xml:space="preserve">3 autoturisme de serviciu procurate de entitate cu prețul de 999,0 mii lei sunt autoturisme SUV cu caroserie universal, costisitoare pentru buget și cu un consum exagerat de carburanți, care varia de la 11,2 litri până 18,9 litri la 100/km, nefiind asigurată eficiența utilizării mijloacelor publice. </w:t>
      </w:r>
    </w:p>
    <w:p w14:paraId="03E4CCD7" w14:textId="36C6ABD4" w:rsidR="00F1069B" w:rsidRPr="004D2FF7" w:rsidRDefault="00F1069B" w:rsidP="00F1069B">
      <w:pPr>
        <w:spacing w:after="120"/>
        <w:jc w:val="both"/>
        <w:rPr>
          <w:rFonts w:ascii="Times New Roman" w:hAnsi="Times New Roman" w:cs="Times New Roman"/>
          <w:sz w:val="24"/>
          <w:szCs w:val="24"/>
          <w:lang w:val="en-US"/>
        </w:rPr>
      </w:pPr>
      <w:r w:rsidRPr="004D2FF7">
        <w:rPr>
          <w:rFonts w:ascii="Times New Roman" w:hAnsi="Times New Roman" w:cs="Times New Roman"/>
          <w:sz w:val="24"/>
          <w:szCs w:val="24"/>
        </w:rPr>
        <w:t xml:space="preserve">S-a constatat că în anii 2018-2022 pentru întreținerea a 4 autoturisme de serviciu, CNPDCP a cheltuit mijloace bugetare în sumă de </w:t>
      </w:r>
      <w:r w:rsidR="00DF3132" w:rsidRPr="004D2FF7">
        <w:rPr>
          <w:rFonts w:ascii="Times New Roman" w:hAnsi="Times New Roman" w:cs="Times New Roman"/>
          <w:sz w:val="24"/>
          <w:szCs w:val="24"/>
        </w:rPr>
        <w:t>811,4</w:t>
      </w:r>
      <w:r w:rsidRPr="004D2FF7">
        <w:rPr>
          <w:rFonts w:ascii="Times New Roman" w:hAnsi="Times New Roman" w:cs="Times New Roman"/>
          <w:sz w:val="24"/>
          <w:szCs w:val="24"/>
        </w:rPr>
        <w:t xml:space="preserve"> mii lei. Astfel, angajații entității au parcurs cu autoturismele de serviciu 109,8 mii km, fiind casate 13,2 tone de carburanți pentru care s-au cheltuit din buget 239,9 mii lei</w:t>
      </w:r>
      <w:r w:rsidRPr="004D2FF7">
        <w:rPr>
          <w:rStyle w:val="FootnoteReference"/>
          <w:rFonts w:ascii="Times New Roman" w:hAnsi="Times New Roman" w:cs="Times New Roman"/>
          <w:sz w:val="24"/>
          <w:szCs w:val="24"/>
        </w:rPr>
        <w:footnoteReference w:id="123"/>
      </w:r>
      <w:r w:rsidRPr="004D2FF7">
        <w:rPr>
          <w:rFonts w:ascii="Times New Roman" w:hAnsi="Times New Roman" w:cs="Times New Roman"/>
          <w:sz w:val="24"/>
          <w:szCs w:val="24"/>
        </w:rPr>
        <w:t xml:space="preserve">. Totodată, CNPDCP a cheltuit 188,4 mii lei pentru serviciile de reparație a autoturismelor de serviciu; 47,2 mii lei </w:t>
      </w:r>
      <w:r w:rsidR="007600D5">
        <w:rPr>
          <w:rFonts w:ascii="Times New Roman" w:hAnsi="Times New Roman" w:cs="Times New Roman"/>
          <w:sz w:val="24"/>
          <w:szCs w:val="24"/>
        </w:rPr>
        <w:t xml:space="preserve">– </w:t>
      </w:r>
      <w:r w:rsidRPr="004D2FF7">
        <w:rPr>
          <w:rFonts w:ascii="Times New Roman" w:hAnsi="Times New Roman" w:cs="Times New Roman"/>
          <w:sz w:val="24"/>
          <w:szCs w:val="24"/>
        </w:rPr>
        <w:t xml:space="preserve">pentru spălarea lor; 28,7 mii lei </w:t>
      </w:r>
      <w:r w:rsidR="007600D5">
        <w:rPr>
          <w:rFonts w:ascii="Times New Roman" w:hAnsi="Times New Roman" w:cs="Times New Roman"/>
          <w:sz w:val="24"/>
          <w:szCs w:val="24"/>
        </w:rPr>
        <w:t>–</w:t>
      </w:r>
      <w:r w:rsidRPr="004D2FF7">
        <w:rPr>
          <w:rFonts w:ascii="Times New Roman" w:hAnsi="Times New Roman" w:cs="Times New Roman"/>
          <w:sz w:val="24"/>
          <w:szCs w:val="24"/>
        </w:rPr>
        <w:t xml:space="preserve"> taxa pentru drumuri și testare; 3</w:t>
      </w:r>
      <w:r w:rsidR="00DF3132" w:rsidRPr="004D2FF7">
        <w:rPr>
          <w:rFonts w:ascii="Times New Roman" w:hAnsi="Times New Roman" w:cs="Times New Roman"/>
          <w:sz w:val="24"/>
          <w:szCs w:val="24"/>
        </w:rPr>
        <w:t>8</w:t>
      </w:r>
      <w:r w:rsidRPr="004D2FF7">
        <w:rPr>
          <w:rFonts w:ascii="Times New Roman" w:hAnsi="Times New Roman" w:cs="Times New Roman"/>
          <w:sz w:val="24"/>
          <w:szCs w:val="24"/>
        </w:rPr>
        <w:t>,</w:t>
      </w:r>
      <w:r w:rsidR="00DF3132" w:rsidRPr="004D2FF7">
        <w:rPr>
          <w:rFonts w:ascii="Times New Roman" w:hAnsi="Times New Roman" w:cs="Times New Roman"/>
          <w:sz w:val="24"/>
          <w:szCs w:val="24"/>
        </w:rPr>
        <w:t>6</w:t>
      </w:r>
      <w:r w:rsidRPr="004D2FF7">
        <w:rPr>
          <w:rFonts w:ascii="Times New Roman" w:hAnsi="Times New Roman" w:cs="Times New Roman"/>
          <w:sz w:val="24"/>
          <w:szCs w:val="24"/>
        </w:rPr>
        <w:t xml:space="preserve"> mii lei</w:t>
      </w:r>
      <w:r w:rsidR="007600D5">
        <w:rPr>
          <w:rFonts w:ascii="Times New Roman" w:hAnsi="Times New Roman" w:cs="Times New Roman"/>
          <w:sz w:val="24"/>
          <w:szCs w:val="24"/>
        </w:rPr>
        <w:t xml:space="preserve"> –</w:t>
      </w:r>
      <w:r w:rsidRPr="004D2FF7">
        <w:rPr>
          <w:rFonts w:ascii="Times New Roman" w:hAnsi="Times New Roman" w:cs="Times New Roman"/>
          <w:sz w:val="24"/>
          <w:szCs w:val="24"/>
        </w:rPr>
        <w:t xml:space="preserve"> pentru asigurare de răspundere civilă obligatorie în caz de accidente</w:t>
      </w:r>
      <w:r w:rsidR="007600D5">
        <w:rPr>
          <w:rFonts w:ascii="Times New Roman" w:hAnsi="Times New Roman" w:cs="Times New Roman"/>
          <w:sz w:val="24"/>
          <w:szCs w:val="24"/>
        </w:rPr>
        <w:t>,</w:t>
      </w:r>
      <w:r w:rsidRPr="004D2FF7">
        <w:rPr>
          <w:rFonts w:ascii="Times New Roman" w:hAnsi="Times New Roman" w:cs="Times New Roman"/>
          <w:sz w:val="24"/>
          <w:szCs w:val="24"/>
        </w:rPr>
        <w:t xml:space="preserve"> și 2</w:t>
      </w:r>
      <w:r w:rsidR="00DF3132" w:rsidRPr="004D2FF7">
        <w:rPr>
          <w:rFonts w:ascii="Times New Roman" w:hAnsi="Times New Roman" w:cs="Times New Roman"/>
          <w:sz w:val="24"/>
          <w:szCs w:val="24"/>
        </w:rPr>
        <w:t>68,6</w:t>
      </w:r>
      <w:r w:rsidRPr="004D2FF7">
        <w:rPr>
          <w:rFonts w:ascii="Times New Roman" w:hAnsi="Times New Roman" w:cs="Times New Roman"/>
          <w:sz w:val="24"/>
          <w:szCs w:val="24"/>
        </w:rPr>
        <w:t xml:space="preserve"> mii lei </w:t>
      </w:r>
      <w:r w:rsidR="007600D5">
        <w:rPr>
          <w:rFonts w:ascii="Times New Roman" w:hAnsi="Times New Roman" w:cs="Times New Roman"/>
          <w:sz w:val="24"/>
          <w:szCs w:val="24"/>
        </w:rPr>
        <w:t xml:space="preserve">– </w:t>
      </w:r>
      <w:r w:rsidRPr="004D2FF7">
        <w:rPr>
          <w:rFonts w:ascii="Times New Roman" w:hAnsi="Times New Roman" w:cs="Times New Roman"/>
          <w:sz w:val="24"/>
          <w:szCs w:val="24"/>
        </w:rPr>
        <w:t xml:space="preserve">pentru servicii de asigurare facultativă Casco, fiind stabilite următoarele neconformități:  </w:t>
      </w:r>
    </w:p>
    <w:p w14:paraId="7B931092" w14:textId="5BD33A96" w:rsidR="00FB14E9" w:rsidRPr="004D2FF7" w:rsidRDefault="007600D5" w:rsidP="00357E9E">
      <w:pPr>
        <w:pStyle w:val="ListParagraph"/>
        <w:numPr>
          <w:ilvl w:val="0"/>
          <w:numId w:val="32"/>
        </w:numPr>
        <w:spacing w:line="276" w:lineRule="auto"/>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î</w:t>
      </w:r>
      <w:r w:rsidR="00AC02E5" w:rsidRPr="004D2FF7">
        <w:rPr>
          <w:rFonts w:ascii="Times New Roman" w:hAnsi="Times New Roman" w:cs="Times New Roman"/>
          <w:sz w:val="24"/>
          <w:szCs w:val="24"/>
          <w:lang w:val="ro-RO"/>
        </w:rPr>
        <w:t xml:space="preserve">n </w:t>
      </w:r>
      <w:r w:rsidR="00374888" w:rsidRPr="004D2FF7">
        <w:rPr>
          <w:rFonts w:ascii="Times New Roman" w:hAnsi="Times New Roman" w:cs="Times New Roman"/>
          <w:sz w:val="24"/>
          <w:szCs w:val="24"/>
          <w:lang w:val="ro-RO"/>
        </w:rPr>
        <w:t>anii 2018-2022</w:t>
      </w:r>
      <w:r w:rsidR="00F1069B" w:rsidRPr="004D2FF7">
        <w:rPr>
          <w:rFonts w:ascii="Times New Roman" w:hAnsi="Times New Roman" w:cs="Times New Roman"/>
          <w:sz w:val="24"/>
          <w:szCs w:val="24"/>
          <w:lang w:val="ro-RO"/>
        </w:rPr>
        <w:t>, mai mulți angajați ai CNPDCP au circulat cu autoturismele de serviciu</w:t>
      </w:r>
      <w:r w:rsidR="00F1069B" w:rsidRPr="004D2FF7">
        <w:rPr>
          <w:rStyle w:val="FootnoteReference"/>
          <w:rFonts w:ascii="Times New Roman" w:hAnsi="Times New Roman" w:cs="Times New Roman"/>
          <w:sz w:val="24"/>
          <w:szCs w:val="24"/>
          <w:lang w:val="ro-RO"/>
        </w:rPr>
        <w:footnoteReference w:id="124"/>
      </w:r>
      <w:r w:rsidR="00F1069B" w:rsidRPr="004D2FF7">
        <w:rPr>
          <w:rFonts w:ascii="Times New Roman" w:hAnsi="Times New Roman" w:cs="Times New Roman"/>
          <w:sz w:val="24"/>
          <w:szCs w:val="24"/>
          <w:lang w:val="ro-RO"/>
        </w:rPr>
        <w:t xml:space="preserve"> în lipsa unui contract de răspundere materială individuală deplină</w:t>
      </w:r>
      <w:r w:rsidR="00F1069B" w:rsidRPr="004D2FF7">
        <w:rPr>
          <w:rStyle w:val="FootnoteReference"/>
          <w:rFonts w:ascii="Times New Roman" w:hAnsi="Times New Roman" w:cs="Times New Roman"/>
          <w:sz w:val="24"/>
          <w:szCs w:val="24"/>
          <w:lang w:val="ro-RO"/>
        </w:rPr>
        <w:footnoteReference w:id="125"/>
      </w:r>
      <w:r w:rsidR="00F1069B" w:rsidRPr="004D2FF7">
        <w:rPr>
          <w:rFonts w:ascii="Times New Roman" w:hAnsi="Times New Roman" w:cs="Times New Roman"/>
          <w:sz w:val="24"/>
          <w:szCs w:val="24"/>
          <w:lang w:val="ro-RO"/>
        </w:rPr>
        <w:t>,</w:t>
      </w:r>
      <w:r w:rsidR="00FB14E9" w:rsidRPr="004D2FF7">
        <w:rPr>
          <w:rFonts w:ascii="Times New Roman" w:hAnsi="Times New Roman" w:cs="Times New Roman"/>
          <w:i/>
          <w:sz w:val="24"/>
          <w:szCs w:val="24"/>
          <w:lang w:val="ro-RO"/>
        </w:rPr>
        <w:t xml:space="preserve"> </w:t>
      </w:r>
      <w:r w:rsidR="00FB14E9" w:rsidRPr="004D2FF7">
        <w:rPr>
          <w:rFonts w:ascii="Times New Roman" w:hAnsi="Times New Roman" w:cs="Times New Roman"/>
          <w:sz w:val="24"/>
          <w:szCs w:val="24"/>
          <w:lang w:val="ro-RO"/>
        </w:rPr>
        <w:t>iar</w:t>
      </w:r>
      <w:r w:rsidR="00AC02E5" w:rsidRPr="004D2FF7">
        <w:rPr>
          <w:rFonts w:ascii="Times New Roman" w:hAnsi="Times New Roman" w:cs="Times New Roman"/>
          <w:sz w:val="24"/>
          <w:szCs w:val="24"/>
          <w:lang w:val="ro-RO"/>
        </w:rPr>
        <w:t xml:space="preserve"> în anii 2015-2023</w:t>
      </w:r>
      <w:r w:rsidR="00FB14E9" w:rsidRPr="004D2FF7">
        <w:rPr>
          <w:rFonts w:ascii="Times New Roman" w:hAnsi="Times New Roman" w:cs="Times New Roman"/>
          <w:sz w:val="24"/>
          <w:szCs w:val="24"/>
          <w:lang w:val="ro-RO"/>
        </w:rPr>
        <w:t xml:space="preserve"> autoturismele de serviciu au fost implicate în 14 accidente rutiere</w:t>
      </w:r>
      <w:r w:rsidR="00FB14E9" w:rsidRPr="004D2FF7">
        <w:rPr>
          <w:rStyle w:val="FootnoteReference"/>
          <w:rFonts w:ascii="Times New Roman" w:hAnsi="Times New Roman" w:cs="Times New Roman"/>
          <w:sz w:val="24"/>
          <w:szCs w:val="24"/>
          <w:lang w:val="ro-RO"/>
        </w:rPr>
        <w:footnoteReference w:id="126"/>
      </w:r>
      <w:r w:rsidR="00FB14E9" w:rsidRPr="004D2FF7">
        <w:rPr>
          <w:rFonts w:ascii="Times New Roman" w:hAnsi="Times New Roman" w:cs="Times New Roman"/>
          <w:sz w:val="24"/>
          <w:szCs w:val="24"/>
          <w:lang w:val="ro-RO"/>
        </w:rPr>
        <w:t>, inclusiv la momentul</w:t>
      </w:r>
      <w:r w:rsidR="005062FD">
        <w:rPr>
          <w:rFonts w:ascii="Times New Roman" w:hAnsi="Times New Roman" w:cs="Times New Roman"/>
          <w:sz w:val="24"/>
          <w:szCs w:val="24"/>
          <w:lang w:val="ro-RO"/>
        </w:rPr>
        <w:t xml:space="preserve"> </w:t>
      </w:r>
      <w:r w:rsidR="00A65980">
        <w:rPr>
          <w:rFonts w:ascii="Times New Roman" w:hAnsi="Times New Roman" w:cs="Times New Roman"/>
          <w:sz w:val="24"/>
          <w:szCs w:val="24"/>
          <w:lang w:val="ro-RO"/>
        </w:rPr>
        <w:t>desfășurării</w:t>
      </w:r>
      <w:r w:rsidR="005062FD">
        <w:rPr>
          <w:rFonts w:ascii="Times New Roman" w:hAnsi="Times New Roman" w:cs="Times New Roman"/>
          <w:sz w:val="24"/>
          <w:szCs w:val="24"/>
          <w:lang w:val="ro-RO"/>
        </w:rPr>
        <w:t xml:space="preserve"> misiunii de</w:t>
      </w:r>
      <w:r w:rsidR="00FB14E9" w:rsidRPr="004D2FF7">
        <w:rPr>
          <w:rFonts w:ascii="Times New Roman" w:hAnsi="Times New Roman" w:cs="Times New Roman"/>
          <w:sz w:val="24"/>
          <w:szCs w:val="24"/>
          <w:lang w:val="ro-RO"/>
        </w:rPr>
        <w:t xml:space="preserve"> audit erau accidentate 2 autoturisme</w:t>
      </w:r>
      <w:r w:rsidR="00FB14E9" w:rsidRPr="004D2FF7">
        <w:rPr>
          <w:rStyle w:val="FootnoteReference"/>
          <w:rFonts w:ascii="Times New Roman" w:hAnsi="Times New Roman" w:cs="Times New Roman"/>
          <w:sz w:val="24"/>
          <w:szCs w:val="24"/>
          <w:lang w:val="ro-RO"/>
        </w:rPr>
        <w:footnoteReference w:id="127"/>
      </w:r>
      <w:r>
        <w:rPr>
          <w:rFonts w:ascii="Times New Roman" w:hAnsi="Times New Roman" w:cs="Times New Roman"/>
          <w:sz w:val="24"/>
          <w:szCs w:val="24"/>
          <w:lang w:val="ro-RO"/>
        </w:rPr>
        <w:t>,</w:t>
      </w:r>
      <w:r w:rsidR="00FB14E9" w:rsidRPr="004D2FF7">
        <w:rPr>
          <w:rFonts w:ascii="Times New Roman" w:hAnsi="Times New Roman" w:cs="Times New Roman"/>
          <w:sz w:val="24"/>
          <w:szCs w:val="24"/>
          <w:lang w:val="ro-RO"/>
        </w:rPr>
        <w:t xml:space="preserve"> fiind cauzate pagube bugetare în sumă de </w:t>
      </w:r>
      <w:r w:rsidR="00FB14E9" w:rsidRPr="004D2FF7">
        <w:rPr>
          <w:rFonts w:ascii="Times New Roman" w:hAnsi="Times New Roman" w:cs="Times New Roman"/>
          <w:sz w:val="24"/>
          <w:szCs w:val="24"/>
        </w:rPr>
        <w:t>140,2 mii lei;</w:t>
      </w:r>
    </w:p>
    <w:p w14:paraId="53EFA148" w14:textId="0593223F" w:rsidR="00173D03" w:rsidRPr="004D2FF7" w:rsidRDefault="007600D5" w:rsidP="00194278">
      <w:pPr>
        <w:pStyle w:val="ListParagraph"/>
        <w:numPr>
          <w:ilvl w:val="0"/>
          <w:numId w:val="22"/>
        </w:numPr>
        <w:spacing w:line="276" w:lineRule="auto"/>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00357E9E" w:rsidRPr="004D2FF7">
        <w:rPr>
          <w:rFonts w:ascii="Times New Roman" w:hAnsi="Times New Roman" w:cs="Times New Roman"/>
          <w:sz w:val="24"/>
          <w:szCs w:val="24"/>
          <w:lang w:val="ro-RO"/>
        </w:rPr>
        <w:t xml:space="preserve">ngajații entității au circulat </w:t>
      </w:r>
      <w:r w:rsidR="00F1069B" w:rsidRPr="004D2FF7">
        <w:rPr>
          <w:rFonts w:ascii="Times New Roman" w:hAnsi="Times New Roman" w:cs="Times New Roman"/>
          <w:sz w:val="24"/>
          <w:szCs w:val="24"/>
          <w:lang w:val="ro-RO"/>
        </w:rPr>
        <w:t>în lipsa foilor de parcurs ori cu foi de parcurs în care șofer era o altă persoană, care de fapt nu era la volan</w:t>
      </w:r>
      <w:r w:rsidR="00357E9E" w:rsidRPr="004D2FF7">
        <w:rPr>
          <w:rFonts w:ascii="Times New Roman" w:hAnsi="Times New Roman" w:cs="Times New Roman"/>
          <w:sz w:val="24"/>
          <w:szCs w:val="24"/>
          <w:lang w:val="ro-RO"/>
        </w:rPr>
        <w:t xml:space="preserve">, iar </w:t>
      </w:r>
      <w:r w:rsidR="00F1069B" w:rsidRPr="004D2FF7">
        <w:rPr>
          <w:rFonts w:ascii="Times New Roman" w:hAnsi="Times New Roman" w:cs="Times New Roman"/>
          <w:sz w:val="24"/>
          <w:szCs w:val="24"/>
          <w:lang w:val="ro-RO"/>
        </w:rPr>
        <w:t>în anii 2018-2021 conducerea CNPDCP a fost autorizată să utilizeze și să circule cu toate 4 autoturisme de serviciu</w:t>
      </w:r>
      <w:r w:rsidR="00F1069B" w:rsidRPr="004D2FF7">
        <w:rPr>
          <w:rStyle w:val="FootnoteReference"/>
          <w:rFonts w:ascii="Times New Roman" w:hAnsi="Times New Roman" w:cs="Times New Roman"/>
          <w:sz w:val="24"/>
          <w:szCs w:val="24"/>
          <w:lang w:val="ro-RO"/>
        </w:rPr>
        <w:footnoteReference w:id="128"/>
      </w:r>
      <w:r w:rsidR="00F1069B" w:rsidRPr="004D2FF7">
        <w:rPr>
          <w:rFonts w:ascii="Times New Roman" w:hAnsi="Times New Roman" w:cs="Times New Roman"/>
          <w:sz w:val="24"/>
          <w:szCs w:val="24"/>
          <w:lang w:val="ro-RO"/>
        </w:rPr>
        <w:t xml:space="preserve"> aflate în dotare;</w:t>
      </w:r>
    </w:p>
    <w:p w14:paraId="2B0B24E5" w14:textId="15BA08DC" w:rsidR="00F1069B" w:rsidRPr="004D2FF7" w:rsidRDefault="003304AD" w:rsidP="00F1069B">
      <w:pPr>
        <w:pStyle w:val="ListParagraph"/>
        <w:numPr>
          <w:ilvl w:val="0"/>
          <w:numId w:val="22"/>
        </w:numPr>
        <w:spacing w:line="276" w:lineRule="auto"/>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00F1069B" w:rsidRPr="004D2FF7">
        <w:rPr>
          <w:rFonts w:ascii="Times New Roman" w:hAnsi="Times New Roman" w:cs="Times New Roman"/>
          <w:sz w:val="24"/>
          <w:szCs w:val="24"/>
          <w:lang w:val="ro-RO"/>
        </w:rPr>
        <w:t xml:space="preserve">ngajații CNPDCP, nerespectând prevederile Instrucțiunii privind completarea şi prelucrarea foii de parcurs pentru autoturisme, aprobată prin </w:t>
      </w:r>
      <w:r>
        <w:rPr>
          <w:rFonts w:ascii="Times New Roman" w:hAnsi="Times New Roman" w:cs="Times New Roman"/>
          <w:sz w:val="24"/>
          <w:szCs w:val="24"/>
          <w:lang w:val="ro-RO"/>
        </w:rPr>
        <w:t>O</w:t>
      </w:r>
      <w:r w:rsidR="00F1069B" w:rsidRPr="004D2FF7">
        <w:rPr>
          <w:rFonts w:ascii="Times New Roman" w:hAnsi="Times New Roman" w:cs="Times New Roman"/>
          <w:sz w:val="24"/>
          <w:szCs w:val="24"/>
          <w:lang w:val="ro-RO"/>
        </w:rPr>
        <w:t>rdinul Departamentului Analize Statistice şi Sociologice al Republicii Moldova nr.108 din 17.12.1998</w:t>
      </w:r>
      <w:r w:rsidR="00F1069B" w:rsidRPr="004D2FF7">
        <w:rPr>
          <w:rStyle w:val="FootnoteReference"/>
          <w:rFonts w:ascii="Times New Roman" w:hAnsi="Times New Roman" w:cs="Times New Roman"/>
          <w:sz w:val="24"/>
          <w:szCs w:val="24"/>
          <w:lang w:val="ro-RO"/>
        </w:rPr>
        <w:footnoteReference w:id="129"/>
      </w:r>
      <w:r>
        <w:rPr>
          <w:rFonts w:ascii="Times New Roman" w:hAnsi="Times New Roman" w:cs="Times New Roman"/>
          <w:sz w:val="24"/>
          <w:szCs w:val="24"/>
          <w:lang w:val="ro-RO"/>
        </w:rPr>
        <w:t>,</w:t>
      </w:r>
      <w:r w:rsidR="00F1069B" w:rsidRPr="004D2FF7">
        <w:rPr>
          <w:rFonts w:ascii="Times New Roman" w:hAnsi="Times New Roman" w:cs="Times New Roman"/>
          <w:sz w:val="24"/>
          <w:szCs w:val="24"/>
          <w:lang w:val="ro-RO"/>
        </w:rPr>
        <w:t xml:space="preserve"> au circulat cu autoturismele de serviciu fără a completa regulamentar foile de parcurs</w:t>
      </w:r>
      <w:r>
        <w:rPr>
          <w:rFonts w:ascii="Times New Roman" w:hAnsi="Times New Roman" w:cs="Times New Roman"/>
          <w:sz w:val="24"/>
          <w:szCs w:val="24"/>
          <w:lang w:val="ro-RO"/>
        </w:rPr>
        <w:t>,</w:t>
      </w:r>
      <w:r w:rsidR="00F1069B" w:rsidRPr="004D2FF7">
        <w:rPr>
          <w:rFonts w:ascii="Times New Roman" w:hAnsi="Times New Roman" w:cs="Times New Roman"/>
          <w:sz w:val="24"/>
          <w:szCs w:val="24"/>
          <w:lang w:val="ro-RO"/>
        </w:rPr>
        <w:t xml:space="preserve"> și anume: în chenarul foii de parcurs, care conține date vizând activitatea autoturismului pe traseu nu se indicau locurile de plecare și de destinație ale autoturismului pentru fiecare cursă în parte; nu se indica parcursul real al autoturismului pe ruta în</w:t>
      </w:r>
      <w:r w:rsidR="007C4CF7" w:rsidRPr="004D2FF7">
        <w:rPr>
          <w:rFonts w:ascii="Times New Roman" w:hAnsi="Times New Roman" w:cs="Times New Roman"/>
          <w:sz w:val="24"/>
          <w:szCs w:val="24"/>
          <w:lang w:val="ro-RO"/>
        </w:rPr>
        <w:t xml:space="preserve"> cauză și</w:t>
      </w:r>
      <w:r w:rsidR="00F1069B" w:rsidRPr="004D2FF7">
        <w:rPr>
          <w:rFonts w:ascii="Times New Roman" w:hAnsi="Times New Roman" w:cs="Times New Roman"/>
          <w:sz w:val="24"/>
          <w:szCs w:val="24"/>
          <w:lang w:val="ro-RO"/>
        </w:rPr>
        <w:t xml:space="preserve"> semnătura beneficiarului la dispoziția căruia s-a aflat autoturismul;</w:t>
      </w:r>
    </w:p>
    <w:p w14:paraId="65932195" w14:textId="599C2E72" w:rsidR="00F1069B" w:rsidRPr="004D2FF7" w:rsidRDefault="00F1069B" w:rsidP="00F1069B">
      <w:pPr>
        <w:pStyle w:val="ListParagraph"/>
        <w:numPr>
          <w:ilvl w:val="0"/>
          <w:numId w:val="22"/>
        </w:numPr>
        <w:spacing w:line="276" w:lineRule="auto"/>
        <w:ind w:left="0" w:firstLine="360"/>
        <w:jc w:val="both"/>
        <w:rPr>
          <w:rFonts w:ascii="Times New Roman" w:hAnsi="Times New Roman" w:cs="Times New Roman"/>
          <w:sz w:val="24"/>
          <w:szCs w:val="24"/>
          <w:lang w:val="ro-RO"/>
        </w:rPr>
      </w:pPr>
      <w:r w:rsidRPr="004D2FF7">
        <w:rPr>
          <w:rFonts w:ascii="Times New Roman" w:hAnsi="Times New Roman" w:cs="Times New Roman"/>
          <w:sz w:val="24"/>
          <w:szCs w:val="24"/>
          <w:lang w:val="ro-RO"/>
        </w:rPr>
        <w:t xml:space="preserve">rubrica „Mișcarea </w:t>
      </w:r>
      <w:r w:rsidR="00F81701">
        <w:rPr>
          <w:rFonts w:ascii="Times New Roman" w:hAnsi="Times New Roman" w:cs="Times New Roman"/>
          <w:sz w:val="24"/>
          <w:szCs w:val="24"/>
          <w:lang w:val="ro-RO"/>
        </w:rPr>
        <w:t>carburanți</w:t>
      </w:r>
      <w:r w:rsidRPr="004D2FF7">
        <w:rPr>
          <w:rFonts w:ascii="Times New Roman" w:hAnsi="Times New Roman" w:cs="Times New Roman"/>
          <w:sz w:val="24"/>
          <w:szCs w:val="24"/>
          <w:lang w:val="ro-RO"/>
        </w:rPr>
        <w:t xml:space="preserve">ului” </w:t>
      </w:r>
      <w:r w:rsidR="003304AD">
        <w:rPr>
          <w:rFonts w:ascii="Times New Roman" w:hAnsi="Times New Roman" w:cs="Times New Roman"/>
          <w:sz w:val="24"/>
          <w:szCs w:val="24"/>
          <w:lang w:val="ro-RO"/>
        </w:rPr>
        <w:t xml:space="preserve">din </w:t>
      </w:r>
      <w:r w:rsidRPr="004D2FF7">
        <w:rPr>
          <w:rFonts w:ascii="Times New Roman" w:hAnsi="Times New Roman" w:cs="Times New Roman"/>
          <w:sz w:val="24"/>
          <w:szCs w:val="24"/>
          <w:lang w:val="ro-RO"/>
        </w:rPr>
        <w:t>foile de parcurs se îndeplinea cu creionul</w:t>
      </w:r>
      <w:r w:rsidR="003304AD">
        <w:rPr>
          <w:rFonts w:ascii="Times New Roman" w:hAnsi="Times New Roman" w:cs="Times New Roman"/>
          <w:sz w:val="24"/>
          <w:szCs w:val="24"/>
          <w:lang w:val="ro-RO"/>
        </w:rPr>
        <w:t>,</w:t>
      </w:r>
      <w:r w:rsidRPr="004D2FF7">
        <w:rPr>
          <w:rFonts w:ascii="Times New Roman" w:hAnsi="Times New Roman" w:cs="Times New Roman"/>
          <w:sz w:val="24"/>
          <w:szCs w:val="24"/>
          <w:lang w:val="ro-RO"/>
        </w:rPr>
        <w:t xml:space="preserve"> apoi cu pixul fiind admise multiple corectări, iar după efectuarea lucrului în rubrica „Consum” nu se calcula și nu se indica economia sau depășirea cantității de </w:t>
      </w:r>
      <w:r w:rsidR="00F81701">
        <w:rPr>
          <w:rFonts w:ascii="Times New Roman" w:hAnsi="Times New Roman" w:cs="Times New Roman"/>
          <w:sz w:val="24"/>
          <w:szCs w:val="24"/>
          <w:lang w:val="ro-RO"/>
        </w:rPr>
        <w:t>carburanți</w:t>
      </w:r>
      <w:r w:rsidRPr="004D2FF7">
        <w:rPr>
          <w:rFonts w:ascii="Times New Roman" w:hAnsi="Times New Roman" w:cs="Times New Roman"/>
          <w:sz w:val="24"/>
          <w:szCs w:val="24"/>
          <w:lang w:val="ro-RO"/>
        </w:rPr>
        <w:t xml:space="preserve"> consumat</w:t>
      </w:r>
      <w:r w:rsidRPr="004D2FF7">
        <w:rPr>
          <w:rStyle w:val="FootnoteReference"/>
          <w:rFonts w:ascii="Times New Roman" w:hAnsi="Times New Roman" w:cs="Times New Roman"/>
          <w:sz w:val="24"/>
          <w:szCs w:val="24"/>
          <w:lang w:val="ro-RO"/>
        </w:rPr>
        <w:footnoteReference w:id="130"/>
      </w:r>
      <w:r w:rsidR="003304AD">
        <w:rPr>
          <w:rFonts w:ascii="Times New Roman" w:hAnsi="Times New Roman" w:cs="Times New Roman"/>
          <w:sz w:val="24"/>
          <w:szCs w:val="24"/>
          <w:lang w:val="ro-RO"/>
        </w:rPr>
        <w:t>,</w:t>
      </w:r>
      <w:r w:rsidRPr="004D2FF7">
        <w:rPr>
          <w:rFonts w:ascii="Times New Roman" w:hAnsi="Times New Roman" w:cs="Times New Roman"/>
          <w:sz w:val="24"/>
          <w:szCs w:val="24"/>
          <w:lang w:val="ro-RO"/>
        </w:rPr>
        <w:t xml:space="preserve"> în toate foile de parcurs pe anii 2018-2022 acești indicatori nu au fost documentați;</w:t>
      </w:r>
    </w:p>
    <w:p w14:paraId="587C3A67" w14:textId="799358C6" w:rsidR="00F1069B" w:rsidRPr="004D2FF7" w:rsidRDefault="00D262C0" w:rsidP="00F1069B">
      <w:pPr>
        <w:pStyle w:val="ListParagraph"/>
        <w:numPr>
          <w:ilvl w:val="0"/>
          <w:numId w:val="22"/>
        </w:numPr>
        <w:spacing w:line="276" w:lineRule="auto"/>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00F1069B" w:rsidRPr="004D2FF7">
        <w:rPr>
          <w:rFonts w:ascii="Times New Roman" w:hAnsi="Times New Roman" w:cs="Times New Roman"/>
          <w:sz w:val="24"/>
          <w:szCs w:val="24"/>
          <w:lang w:val="ro-RO"/>
        </w:rPr>
        <w:t>n vederea</w:t>
      </w:r>
      <w:r w:rsidR="00F1069B" w:rsidRPr="004D2FF7">
        <w:rPr>
          <w:rFonts w:ascii="Times New Roman" w:hAnsi="Times New Roman" w:cs="Times New Roman"/>
        </w:rPr>
        <w:t xml:space="preserve"> </w:t>
      </w:r>
      <w:r w:rsidR="00F1069B" w:rsidRPr="004D2FF7">
        <w:rPr>
          <w:rFonts w:ascii="Times New Roman" w:hAnsi="Times New Roman" w:cs="Times New Roman"/>
          <w:sz w:val="24"/>
          <w:szCs w:val="24"/>
        </w:rPr>
        <w:t>reglementării utilizării autoturismelor şi optimizării cheltuielilor bugetare</w:t>
      </w:r>
      <w:r w:rsidR="00F1069B" w:rsidRPr="004D2FF7">
        <w:rPr>
          <w:rFonts w:ascii="Times New Roman" w:hAnsi="Times New Roman" w:cs="Times New Roman"/>
          <w:sz w:val="24"/>
          <w:szCs w:val="24"/>
          <w:lang w:val="ro-RO"/>
        </w:rPr>
        <w:t xml:space="preserve"> pentru CNPDCP, ca </w:t>
      </w:r>
      <w:r w:rsidR="00F1069B" w:rsidRPr="004D2FF7">
        <w:rPr>
          <w:rFonts w:ascii="Times New Roman" w:eastAsia="Times New Roman" w:hAnsi="Times New Roman" w:cs="Times New Roman"/>
          <w:sz w:val="24"/>
          <w:szCs w:val="24"/>
          <w:lang w:val="ro-RO"/>
        </w:rPr>
        <w:t>autoritate publică autonomă, a</w:t>
      </w:r>
      <w:r w:rsidR="00F1069B" w:rsidRPr="004D2FF7">
        <w:rPr>
          <w:rFonts w:ascii="Times New Roman" w:hAnsi="Times New Roman" w:cs="Times New Roman"/>
          <w:sz w:val="24"/>
          <w:szCs w:val="24"/>
          <w:lang w:val="ro-RO"/>
        </w:rPr>
        <w:t xml:space="preserve">ctele normative nu conțin prevederi cu referire la normativul autoturismelor de serviciu și parcursul limită anual. În </w:t>
      </w:r>
      <w:r w:rsidR="008812B3" w:rsidRPr="004D2FF7">
        <w:rPr>
          <w:rFonts w:ascii="Times New Roman" w:hAnsi="Times New Roman" w:cs="Times New Roman"/>
          <w:sz w:val="24"/>
          <w:szCs w:val="24"/>
          <w:lang w:val="ro-RO"/>
        </w:rPr>
        <w:t>anii</w:t>
      </w:r>
      <w:r w:rsidR="00F1069B" w:rsidRPr="004D2FF7">
        <w:rPr>
          <w:rFonts w:ascii="Times New Roman" w:hAnsi="Times New Roman" w:cs="Times New Roman"/>
          <w:sz w:val="24"/>
          <w:szCs w:val="24"/>
          <w:lang w:val="ro-RO"/>
        </w:rPr>
        <w:t xml:space="preserve"> 2018-2022, CNPDCP s-a ghidat de Normele de deservire cu transport de serviciu a conducătorilor ministerelor şi autorităților administrative centrale din subordinea Guvernului, aprobate prin Hotărârea Guvernului nr.1404 din 30.12.2005</w:t>
      </w:r>
      <w:r w:rsidR="00F1069B" w:rsidRPr="004D2FF7">
        <w:rPr>
          <w:rStyle w:val="FootnoteReference"/>
          <w:rFonts w:ascii="Times New Roman" w:hAnsi="Times New Roman" w:cs="Times New Roman"/>
          <w:sz w:val="24"/>
          <w:szCs w:val="24"/>
          <w:lang w:val="ro-RO"/>
        </w:rPr>
        <w:footnoteReference w:id="131"/>
      </w:r>
      <w:r>
        <w:rPr>
          <w:rFonts w:ascii="Times New Roman" w:hAnsi="Times New Roman" w:cs="Times New Roman"/>
          <w:sz w:val="24"/>
          <w:szCs w:val="24"/>
          <w:lang w:val="ro-RO"/>
        </w:rPr>
        <w:t>,</w:t>
      </w:r>
      <w:r w:rsidR="00F1069B" w:rsidRPr="004D2FF7">
        <w:rPr>
          <w:rFonts w:ascii="Times New Roman" w:hAnsi="Times New Roman" w:cs="Times New Roman"/>
          <w:sz w:val="24"/>
          <w:szCs w:val="24"/>
          <w:lang w:val="ro-RO"/>
        </w:rPr>
        <w:t xml:space="preserve"> și anume a aplicat parcursul limită anual per automobil de 20,0 mii km/1,7 mii km lunar, reglementat la nivelul secretarilor generali adjuncți ai Aparatului Președintelui, ai Guvernului, ai ministerelor și altor autorități administrative centrale;</w:t>
      </w:r>
    </w:p>
    <w:p w14:paraId="30D96320" w14:textId="3755FDD7" w:rsidR="00F1069B" w:rsidRPr="004D2FF7" w:rsidRDefault="00D262C0" w:rsidP="00F1069B">
      <w:pPr>
        <w:pStyle w:val="ListParagraph"/>
        <w:numPr>
          <w:ilvl w:val="0"/>
          <w:numId w:val="22"/>
        </w:numPr>
        <w:spacing w:line="276" w:lineRule="auto"/>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00F1069B" w:rsidRPr="004D2FF7">
        <w:rPr>
          <w:rFonts w:ascii="Times New Roman" w:hAnsi="Times New Roman" w:cs="Times New Roman"/>
          <w:sz w:val="24"/>
          <w:szCs w:val="24"/>
          <w:lang w:val="ro-RO"/>
        </w:rPr>
        <w:t>otrivit ordinelor interne, locul de parcare a</w:t>
      </w:r>
      <w:r>
        <w:rPr>
          <w:rFonts w:ascii="Times New Roman" w:hAnsi="Times New Roman" w:cs="Times New Roman"/>
          <w:sz w:val="24"/>
          <w:szCs w:val="24"/>
          <w:lang w:val="ro-RO"/>
        </w:rPr>
        <w:t>l</w:t>
      </w:r>
      <w:r w:rsidR="00F1069B" w:rsidRPr="004D2FF7">
        <w:rPr>
          <w:rFonts w:ascii="Times New Roman" w:hAnsi="Times New Roman" w:cs="Times New Roman"/>
          <w:sz w:val="24"/>
          <w:szCs w:val="24"/>
          <w:lang w:val="ro-RO"/>
        </w:rPr>
        <w:t xml:space="preserve"> autoturismelor de serviciu este stabilit la adresa juridică a CNPDCP și </w:t>
      </w:r>
      <w:r>
        <w:rPr>
          <w:rFonts w:ascii="Times New Roman" w:hAnsi="Times New Roman" w:cs="Times New Roman"/>
          <w:sz w:val="24"/>
          <w:szCs w:val="24"/>
          <w:lang w:val="ro-RO"/>
        </w:rPr>
        <w:t xml:space="preserve">la </w:t>
      </w:r>
      <w:r w:rsidR="00F1069B" w:rsidRPr="004D2FF7">
        <w:rPr>
          <w:rFonts w:ascii="Times New Roman" w:hAnsi="Times New Roman" w:cs="Times New Roman"/>
          <w:sz w:val="24"/>
          <w:szCs w:val="24"/>
          <w:lang w:val="ro-RO"/>
        </w:rPr>
        <w:t>adresele de domiciliu ale</w:t>
      </w:r>
      <w:r w:rsidR="002E3FF9" w:rsidRPr="004D2FF7">
        <w:rPr>
          <w:rFonts w:ascii="Times New Roman" w:hAnsi="Times New Roman" w:cs="Times New Roman"/>
          <w:sz w:val="24"/>
          <w:szCs w:val="24"/>
          <w:lang w:val="ro-RO"/>
        </w:rPr>
        <w:t xml:space="preserve"> unor</w:t>
      </w:r>
      <w:r w:rsidR="00F1069B" w:rsidRPr="004D2FF7">
        <w:rPr>
          <w:rFonts w:ascii="Times New Roman" w:hAnsi="Times New Roman" w:cs="Times New Roman"/>
          <w:sz w:val="24"/>
          <w:szCs w:val="24"/>
          <w:lang w:val="ro-RO"/>
        </w:rPr>
        <w:t xml:space="preserve"> angajați</w:t>
      </w:r>
      <w:r w:rsidR="002E3FF9" w:rsidRPr="004D2FF7">
        <w:rPr>
          <w:rFonts w:ascii="Times New Roman" w:hAnsi="Times New Roman" w:cs="Times New Roman"/>
          <w:sz w:val="24"/>
          <w:szCs w:val="24"/>
          <w:lang w:val="ro-RO"/>
        </w:rPr>
        <w:t xml:space="preserve"> a</w:t>
      </w:r>
      <w:r>
        <w:rPr>
          <w:rFonts w:ascii="Times New Roman" w:hAnsi="Times New Roman" w:cs="Times New Roman"/>
          <w:sz w:val="24"/>
          <w:szCs w:val="24"/>
          <w:lang w:val="ro-RO"/>
        </w:rPr>
        <w:t>i</w:t>
      </w:r>
      <w:r w:rsidR="00F1069B" w:rsidRPr="004D2FF7">
        <w:rPr>
          <w:rFonts w:ascii="Times New Roman" w:hAnsi="Times New Roman" w:cs="Times New Roman"/>
          <w:sz w:val="24"/>
          <w:szCs w:val="24"/>
          <w:lang w:val="ro-RO"/>
        </w:rPr>
        <w:t xml:space="preserve"> entității, iar distanța în ambele direcții în </w:t>
      </w:r>
      <w:r>
        <w:rPr>
          <w:rFonts w:ascii="Times New Roman" w:hAnsi="Times New Roman" w:cs="Times New Roman"/>
          <w:sz w:val="24"/>
          <w:szCs w:val="24"/>
          <w:lang w:val="ro-RO"/>
        </w:rPr>
        <w:t>funcție</w:t>
      </w:r>
      <w:r w:rsidRPr="004D2FF7">
        <w:rPr>
          <w:rFonts w:ascii="Times New Roman" w:hAnsi="Times New Roman" w:cs="Times New Roman"/>
          <w:sz w:val="24"/>
          <w:szCs w:val="24"/>
          <w:lang w:val="ro-RO"/>
        </w:rPr>
        <w:t xml:space="preserve"> </w:t>
      </w:r>
      <w:r w:rsidR="00F1069B" w:rsidRPr="004D2FF7">
        <w:rPr>
          <w:rFonts w:ascii="Times New Roman" w:hAnsi="Times New Roman" w:cs="Times New Roman"/>
          <w:sz w:val="24"/>
          <w:szCs w:val="24"/>
          <w:lang w:val="ro-RO"/>
        </w:rPr>
        <w:t>de adresele angajaților CNPDCP însumează de la 12 km zilnic</w:t>
      </w:r>
      <w:r>
        <w:rPr>
          <w:rFonts w:ascii="Times New Roman" w:hAnsi="Times New Roman" w:cs="Times New Roman"/>
          <w:sz w:val="24"/>
          <w:szCs w:val="24"/>
          <w:lang w:val="ro-RO"/>
        </w:rPr>
        <w:t>,</w:t>
      </w:r>
      <w:r w:rsidR="00F1069B" w:rsidRPr="004D2FF7">
        <w:rPr>
          <w:rFonts w:ascii="Times New Roman" w:hAnsi="Times New Roman" w:cs="Times New Roman"/>
          <w:sz w:val="24"/>
          <w:szCs w:val="24"/>
          <w:lang w:val="ro-RO"/>
        </w:rPr>
        <w:t xml:space="preserve"> sau 250 km lunar</w:t>
      </w:r>
      <w:r>
        <w:rPr>
          <w:rFonts w:ascii="Times New Roman" w:hAnsi="Times New Roman" w:cs="Times New Roman"/>
          <w:sz w:val="24"/>
          <w:szCs w:val="24"/>
          <w:lang w:val="ro-RO"/>
        </w:rPr>
        <w:t>,</w:t>
      </w:r>
      <w:r w:rsidR="00F1069B" w:rsidRPr="004D2FF7">
        <w:rPr>
          <w:rFonts w:ascii="Times New Roman" w:hAnsi="Times New Roman" w:cs="Times New Roman"/>
          <w:sz w:val="24"/>
          <w:szCs w:val="24"/>
          <w:lang w:val="ro-RO"/>
        </w:rPr>
        <w:t xml:space="preserve"> până la 20 km</w:t>
      </w:r>
      <w:r>
        <w:rPr>
          <w:rFonts w:ascii="Times New Roman" w:hAnsi="Times New Roman" w:cs="Times New Roman"/>
          <w:sz w:val="24"/>
          <w:szCs w:val="24"/>
          <w:lang w:val="ro-RO"/>
        </w:rPr>
        <w:t>,</w:t>
      </w:r>
      <w:r w:rsidR="00F1069B" w:rsidRPr="004D2FF7">
        <w:rPr>
          <w:rFonts w:ascii="Times New Roman" w:hAnsi="Times New Roman" w:cs="Times New Roman"/>
          <w:sz w:val="24"/>
          <w:szCs w:val="24"/>
          <w:lang w:val="ro-RO"/>
        </w:rPr>
        <w:t xml:space="preserve"> sau 440 km lunar. Auditul denotă faptul că, preponderent în unele luni, parcursul urban lunar al automobilelor a înregistrat devieri esențiale de 2-3,5 ori</w:t>
      </w:r>
      <w:r>
        <w:rPr>
          <w:rFonts w:ascii="Times New Roman" w:hAnsi="Times New Roman" w:cs="Times New Roman"/>
          <w:sz w:val="24"/>
          <w:szCs w:val="24"/>
          <w:lang w:val="ro-RO"/>
        </w:rPr>
        <w:t>,</w:t>
      </w:r>
      <w:r w:rsidR="00F1069B" w:rsidRPr="004D2FF7">
        <w:rPr>
          <w:rFonts w:ascii="Times New Roman" w:hAnsi="Times New Roman" w:cs="Times New Roman"/>
          <w:sz w:val="24"/>
          <w:szCs w:val="24"/>
          <w:lang w:val="ro-RO"/>
        </w:rPr>
        <w:t xml:space="preserve"> sau de la 300 km lunar (câte 15-20 km/zi) până la 1</w:t>
      </w:r>
      <w:r>
        <w:rPr>
          <w:rFonts w:ascii="Times New Roman" w:hAnsi="Times New Roman" w:cs="Times New Roman"/>
          <w:sz w:val="24"/>
          <w:szCs w:val="24"/>
          <w:lang w:val="ro-RO"/>
        </w:rPr>
        <w:t>.</w:t>
      </w:r>
      <w:r w:rsidR="00F1069B" w:rsidRPr="004D2FF7">
        <w:rPr>
          <w:rFonts w:ascii="Times New Roman" w:hAnsi="Times New Roman" w:cs="Times New Roman"/>
          <w:sz w:val="24"/>
          <w:szCs w:val="24"/>
          <w:lang w:val="ro-RO"/>
        </w:rPr>
        <w:t>500 km lunar (70-90 km) față de distanța estimată;</w:t>
      </w:r>
    </w:p>
    <w:p w14:paraId="1EBC9712" w14:textId="78F7E895" w:rsidR="00F1069B" w:rsidRPr="004D2FF7" w:rsidRDefault="00D262C0" w:rsidP="00F1069B">
      <w:pPr>
        <w:pStyle w:val="ListParagraph"/>
        <w:numPr>
          <w:ilvl w:val="0"/>
          <w:numId w:val="22"/>
        </w:numPr>
        <w:spacing w:line="276" w:lineRule="auto"/>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d</w:t>
      </w:r>
      <w:r w:rsidR="00F1069B" w:rsidRPr="004D2FF7">
        <w:rPr>
          <w:rFonts w:ascii="Times New Roman" w:hAnsi="Times New Roman" w:cs="Times New Roman"/>
          <w:sz w:val="24"/>
          <w:szCs w:val="24"/>
          <w:lang w:val="ro-RO"/>
        </w:rPr>
        <w:t>eși la retragerea autoturismului la locul de parcare mecanicul sau persoana autorizată cu această funcție înscrie kilometrajul la sosire, semnează că a primit autoturismul și indică starea tehnică a lui, acest fapt la CNPDCP nu este documentat, documentația tehnică referitor la starea celor 4 autoturisme de serviciu lipsește. Persoana responsabilă de acest sector activează în baza unui contract individual de muncă</w:t>
      </w:r>
      <w:r w:rsidR="00F1069B" w:rsidRPr="004D2FF7">
        <w:rPr>
          <w:rStyle w:val="FootnoteReference"/>
          <w:rFonts w:ascii="Times New Roman" w:hAnsi="Times New Roman" w:cs="Times New Roman"/>
          <w:sz w:val="24"/>
          <w:szCs w:val="24"/>
          <w:lang w:val="ro-RO"/>
        </w:rPr>
        <w:footnoteReference w:id="132"/>
      </w:r>
      <w:r w:rsidR="00F1069B" w:rsidRPr="004D2FF7">
        <w:rPr>
          <w:rFonts w:ascii="Times New Roman" w:hAnsi="Times New Roman" w:cs="Times New Roman"/>
          <w:sz w:val="24"/>
          <w:szCs w:val="24"/>
          <w:lang w:val="ro-RO"/>
        </w:rPr>
        <w:t xml:space="preserve"> cu obligații generale, în lipsa unei fișe de post și atribuții concrete de serviciu.</w:t>
      </w:r>
    </w:p>
    <w:p w14:paraId="43FC5C37" w14:textId="1960DD45" w:rsidR="00F1069B" w:rsidRPr="004D2FF7" w:rsidRDefault="00F1069B" w:rsidP="00F1069B">
      <w:pPr>
        <w:spacing w:after="120" w:line="276" w:lineRule="auto"/>
        <w:jc w:val="both"/>
        <w:rPr>
          <w:rFonts w:ascii="Times New Roman" w:hAnsi="Times New Roman" w:cs="Times New Roman"/>
          <w:sz w:val="24"/>
          <w:szCs w:val="24"/>
        </w:rPr>
      </w:pPr>
      <w:r w:rsidRPr="004D2FF7">
        <w:rPr>
          <w:rFonts w:ascii="Times New Roman" w:hAnsi="Times New Roman" w:cs="Times New Roman"/>
          <w:sz w:val="24"/>
          <w:szCs w:val="24"/>
          <w:lang w:val="ro-RO"/>
        </w:rPr>
        <w:t>În baza unui contract de comodat nr.01/16 din 04.01.2016, încheiat cu fostul director</w:t>
      </w:r>
      <w:r w:rsidRPr="004D2FF7">
        <w:rPr>
          <w:rStyle w:val="FootnoteReference"/>
          <w:rFonts w:ascii="Times New Roman" w:hAnsi="Times New Roman" w:cs="Times New Roman"/>
          <w:sz w:val="24"/>
          <w:szCs w:val="24"/>
          <w:lang w:val="ro-RO"/>
        </w:rPr>
        <w:footnoteReference w:id="133"/>
      </w:r>
      <w:r w:rsidRPr="004D2FF7">
        <w:rPr>
          <w:rFonts w:ascii="Times New Roman" w:hAnsi="Times New Roman" w:cs="Times New Roman"/>
          <w:sz w:val="24"/>
          <w:szCs w:val="24"/>
          <w:lang w:val="ro-RO"/>
        </w:rPr>
        <w:t xml:space="preserve"> al CNPDCP în calitate de „Comodant”, ultimul a transmis CNPDCP în calitate de „Comodatar” în folosință cu titlu gratuit autoturismul Chevrolet Captiva</w:t>
      </w:r>
      <w:r w:rsidR="00115AD3" w:rsidRPr="00115AD3">
        <w:rPr>
          <w:rFonts w:ascii="Times New Roman" w:hAnsi="Times New Roman" w:cs="Times New Roman"/>
          <w:sz w:val="24"/>
          <w:szCs w:val="24"/>
          <w:lang w:val="ro-RO"/>
        </w:rPr>
        <w:t xml:space="preserve"> </w:t>
      </w:r>
      <w:r w:rsidR="00115AD3" w:rsidRPr="004D2FF7">
        <w:rPr>
          <w:rFonts w:ascii="Times New Roman" w:hAnsi="Times New Roman" w:cs="Times New Roman"/>
          <w:sz w:val="24"/>
          <w:szCs w:val="24"/>
          <w:lang w:val="ro-RO"/>
        </w:rPr>
        <w:t>nr. CPV 010</w:t>
      </w:r>
      <w:r w:rsidRPr="004D2FF7">
        <w:rPr>
          <w:rFonts w:ascii="Times New Roman" w:hAnsi="Times New Roman" w:cs="Times New Roman"/>
          <w:sz w:val="24"/>
          <w:szCs w:val="24"/>
          <w:lang w:val="ro-RO"/>
        </w:rPr>
        <w:t xml:space="preserve">, care îi aparținea cu dreptul de proprietate, cu capacitatea motorului </w:t>
      </w:r>
      <w:r w:rsidR="00D262C0">
        <w:rPr>
          <w:rFonts w:ascii="Times New Roman" w:hAnsi="Times New Roman" w:cs="Times New Roman"/>
          <w:sz w:val="24"/>
          <w:szCs w:val="24"/>
          <w:lang w:val="ro-RO"/>
        </w:rPr>
        <w:t xml:space="preserve">de </w:t>
      </w:r>
      <w:r w:rsidRPr="004D2FF7">
        <w:rPr>
          <w:rFonts w:ascii="Times New Roman" w:hAnsi="Times New Roman" w:cs="Times New Roman"/>
          <w:sz w:val="24"/>
          <w:szCs w:val="24"/>
          <w:lang w:val="ro-RO"/>
        </w:rPr>
        <w:t xml:space="preserve">2,2, tracțiunea 4x4, anul producerii 2013. Autoturismul transmis în comodat </w:t>
      </w:r>
      <w:r w:rsidR="00525E59">
        <w:rPr>
          <w:rFonts w:ascii="Times New Roman" w:hAnsi="Times New Roman" w:cs="Times New Roman"/>
          <w:sz w:val="24"/>
          <w:szCs w:val="24"/>
          <w:lang w:val="ro-RO"/>
        </w:rPr>
        <w:t>a fost</w:t>
      </w:r>
      <w:r w:rsidR="00525E59" w:rsidRPr="004D2FF7">
        <w:rPr>
          <w:rFonts w:ascii="Times New Roman" w:hAnsi="Times New Roman" w:cs="Times New Roman"/>
          <w:sz w:val="24"/>
          <w:szCs w:val="24"/>
          <w:lang w:val="ro-RO"/>
        </w:rPr>
        <w:t xml:space="preserve"> </w:t>
      </w:r>
      <w:r w:rsidRPr="004D2FF7">
        <w:rPr>
          <w:rFonts w:ascii="Times New Roman" w:hAnsi="Times New Roman" w:cs="Times New Roman"/>
          <w:sz w:val="24"/>
          <w:szCs w:val="24"/>
          <w:lang w:val="ro-RO"/>
        </w:rPr>
        <w:t>achiziționat în același an când CNPDCP</w:t>
      </w:r>
      <w:r w:rsidR="00525E59">
        <w:rPr>
          <w:rFonts w:ascii="Times New Roman" w:hAnsi="Times New Roman" w:cs="Times New Roman"/>
          <w:sz w:val="24"/>
          <w:szCs w:val="24"/>
          <w:lang w:val="ro-RO"/>
        </w:rPr>
        <w:t>,</w:t>
      </w:r>
      <w:r w:rsidRPr="004D2FF7">
        <w:rPr>
          <w:rFonts w:ascii="Times New Roman" w:hAnsi="Times New Roman" w:cs="Times New Roman"/>
          <w:sz w:val="24"/>
          <w:szCs w:val="24"/>
          <w:lang w:val="ro-RO"/>
        </w:rPr>
        <w:t xml:space="preserve"> prin organizarea unei licitații publice</w:t>
      </w:r>
      <w:r w:rsidR="00525E59">
        <w:rPr>
          <w:rFonts w:ascii="Times New Roman" w:hAnsi="Times New Roman" w:cs="Times New Roman"/>
          <w:sz w:val="24"/>
          <w:szCs w:val="24"/>
          <w:lang w:val="ro-RO"/>
        </w:rPr>
        <w:t>,</w:t>
      </w:r>
      <w:r w:rsidRPr="004D2FF7">
        <w:rPr>
          <w:rFonts w:ascii="Times New Roman" w:hAnsi="Times New Roman" w:cs="Times New Roman"/>
          <w:sz w:val="24"/>
          <w:szCs w:val="24"/>
          <w:lang w:val="ro-RO"/>
        </w:rPr>
        <w:t xml:space="preserve"> a procurat autoturismul de serviciu</w:t>
      </w:r>
      <w:r w:rsidRPr="004D2FF7">
        <w:rPr>
          <w:rFonts w:ascii="Times New Roman" w:hAnsi="Times New Roman" w:cs="Times New Roman"/>
          <w:sz w:val="24"/>
          <w:szCs w:val="24"/>
        </w:rPr>
        <w:t xml:space="preserve"> Chevrolet Captiva nr. CQR 523</w:t>
      </w:r>
      <w:r w:rsidRPr="004D2FF7">
        <w:rPr>
          <w:rStyle w:val="FootnoteReference"/>
          <w:rFonts w:ascii="Times New Roman" w:hAnsi="Times New Roman" w:cs="Times New Roman"/>
          <w:sz w:val="24"/>
          <w:szCs w:val="24"/>
        </w:rPr>
        <w:footnoteReference w:id="134"/>
      </w:r>
      <w:r w:rsidRPr="004D2FF7">
        <w:rPr>
          <w:rFonts w:ascii="Times New Roman" w:hAnsi="Times New Roman" w:cs="Times New Roman"/>
          <w:sz w:val="24"/>
          <w:szCs w:val="24"/>
        </w:rPr>
        <w:t>. Deși instituția procurase 2 autoturisme</w:t>
      </w:r>
      <w:r w:rsidR="00C42043" w:rsidRPr="004D2FF7">
        <w:rPr>
          <w:rFonts w:ascii="Times New Roman" w:hAnsi="Times New Roman" w:cs="Times New Roman"/>
          <w:sz w:val="24"/>
          <w:szCs w:val="24"/>
        </w:rPr>
        <w:t xml:space="preserve"> de serviciu</w:t>
      </w:r>
      <w:r w:rsidRPr="004D2FF7">
        <w:rPr>
          <w:rStyle w:val="FootnoteReference"/>
          <w:rFonts w:ascii="Times New Roman" w:hAnsi="Times New Roman" w:cs="Times New Roman"/>
          <w:sz w:val="24"/>
          <w:szCs w:val="24"/>
        </w:rPr>
        <w:footnoteReference w:id="135"/>
      </w:r>
      <w:r w:rsidR="00C42043" w:rsidRPr="004D2FF7">
        <w:rPr>
          <w:rFonts w:ascii="Times New Roman" w:hAnsi="Times New Roman" w:cs="Times New Roman"/>
          <w:sz w:val="24"/>
          <w:szCs w:val="24"/>
        </w:rPr>
        <w:t>,</w:t>
      </w:r>
      <w:r w:rsidRPr="004D2FF7">
        <w:rPr>
          <w:rFonts w:ascii="Times New Roman" w:hAnsi="Times New Roman" w:cs="Times New Roman"/>
          <w:sz w:val="24"/>
          <w:szCs w:val="24"/>
        </w:rPr>
        <w:t xml:space="preserve"> autoturismul luat în comodat a fost </w:t>
      </w:r>
      <w:r w:rsidRPr="004D2FF7">
        <w:rPr>
          <w:rFonts w:ascii="Times New Roman" w:hAnsi="Times New Roman" w:cs="Times New Roman"/>
          <w:sz w:val="24"/>
          <w:szCs w:val="24"/>
          <w:lang w:val="ro-RO"/>
        </w:rPr>
        <w:t>utilizat de către fostul director al CNPDCP, iar „Comodatarul” s-a obligat să ramburseze „Comodantului” cheltuielile de întreținere și reparație a autoturismului, inclusiv testarea tehnică, asigurarea obligatorie de răspundere civilă, taxa pentru folosirea drumurilor și cantitatea de motorină pentru a parcurge cu autoturismul maximum 1</w:t>
      </w:r>
      <w:r w:rsidR="00525E59">
        <w:rPr>
          <w:rFonts w:ascii="Times New Roman" w:hAnsi="Times New Roman" w:cs="Times New Roman"/>
          <w:sz w:val="24"/>
          <w:szCs w:val="24"/>
          <w:lang w:val="ro-RO"/>
        </w:rPr>
        <w:t>.</w:t>
      </w:r>
      <w:r w:rsidRPr="004D2FF7">
        <w:rPr>
          <w:rFonts w:ascii="Times New Roman" w:hAnsi="Times New Roman" w:cs="Times New Roman"/>
          <w:sz w:val="24"/>
          <w:szCs w:val="24"/>
          <w:lang w:val="ro-RO"/>
        </w:rPr>
        <w:t>600 km lunar. Auditul a stabilit că</w:t>
      </w:r>
      <w:r w:rsidR="00525E59">
        <w:rPr>
          <w:rFonts w:ascii="Times New Roman" w:hAnsi="Times New Roman" w:cs="Times New Roman"/>
          <w:sz w:val="24"/>
          <w:szCs w:val="24"/>
          <w:lang w:val="ro-RO"/>
        </w:rPr>
        <w:t>,</w:t>
      </w:r>
      <w:r w:rsidRPr="004D2FF7">
        <w:rPr>
          <w:rFonts w:ascii="Times New Roman" w:hAnsi="Times New Roman" w:cs="Times New Roman"/>
          <w:sz w:val="24"/>
          <w:szCs w:val="24"/>
          <w:lang w:val="ro-RO"/>
        </w:rPr>
        <w:t xml:space="preserve"> deși contractul de comodat a expirat în anul 2016</w:t>
      </w:r>
      <w:r w:rsidRPr="004D2FF7">
        <w:rPr>
          <w:rStyle w:val="FootnoteReference"/>
          <w:rFonts w:ascii="Times New Roman" w:hAnsi="Times New Roman" w:cs="Times New Roman"/>
          <w:sz w:val="24"/>
          <w:szCs w:val="24"/>
          <w:lang w:val="ro-RO"/>
        </w:rPr>
        <w:footnoteReference w:id="136"/>
      </w:r>
      <w:r w:rsidR="00525E59">
        <w:rPr>
          <w:rFonts w:ascii="Times New Roman" w:hAnsi="Times New Roman" w:cs="Times New Roman"/>
          <w:sz w:val="24"/>
          <w:szCs w:val="24"/>
          <w:lang w:val="ro-RO"/>
        </w:rPr>
        <w:t>,</w:t>
      </w:r>
      <w:r w:rsidRPr="004D2FF7">
        <w:rPr>
          <w:rFonts w:ascii="Times New Roman" w:hAnsi="Times New Roman" w:cs="Times New Roman"/>
          <w:sz w:val="24"/>
          <w:szCs w:val="24"/>
          <w:lang w:val="ro-RO"/>
        </w:rPr>
        <w:t xml:space="preserve"> autoturismul Chevrolet Captiva nr.</w:t>
      </w:r>
      <w:r w:rsidR="00F73860" w:rsidRPr="004D2FF7">
        <w:rPr>
          <w:rFonts w:ascii="Times New Roman" w:hAnsi="Times New Roman" w:cs="Times New Roman"/>
          <w:sz w:val="24"/>
          <w:szCs w:val="24"/>
          <w:lang w:val="ro-RO"/>
        </w:rPr>
        <w:t xml:space="preserve"> </w:t>
      </w:r>
      <w:r w:rsidRPr="004D2FF7">
        <w:rPr>
          <w:rFonts w:ascii="Times New Roman" w:hAnsi="Times New Roman" w:cs="Times New Roman"/>
          <w:sz w:val="24"/>
          <w:szCs w:val="24"/>
          <w:lang w:val="ro-RO"/>
        </w:rPr>
        <w:t>CPV 010, care de fapt aparține fostului director al CNPDCP</w:t>
      </w:r>
      <w:r w:rsidR="00525E59">
        <w:rPr>
          <w:rFonts w:ascii="Times New Roman" w:hAnsi="Times New Roman" w:cs="Times New Roman"/>
          <w:sz w:val="24"/>
          <w:szCs w:val="24"/>
          <w:lang w:val="ro-RO"/>
        </w:rPr>
        <w:t>,</w:t>
      </w:r>
      <w:r w:rsidRPr="004D2FF7">
        <w:rPr>
          <w:rFonts w:ascii="Times New Roman" w:hAnsi="Times New Roman" w:cs="Times New Roman"/>
          <w:sz w:val="24"/>
          <w:szCs w:val="24"/>
          <w:lang w:val="ro-RO"/>
        </w:rPr>
        <w:t xml:space="preserve"> este înregistrat neregulamentar</w:t>
      </w:r>
      <w:r w:rsidRPr="004D2FF7">
        <w:rPr>
          <w:rFonts w:ascii="Times New Roman" w:hAnsi="Times New Roman" w:cs="Times New Roman"/>
          <w:sz w:val="24"/>
          <w:szCs w:val="24"/>
          <w:vertAlign w:val="superscript"/>
        </w:rPr>
        <w:footnoteReference w:id="137"/>
      </w:r>
      <w:r w:rsidRPr="004D2FF7">
        <w:rPr>
          <w:rFonts w:ascii="Times New Roman" w:hAnsi="Times New Roman" w:cs="Times New Roman"/>
          <w:sz w:val="24"/>
          <w:szCs w:val="24"/>
          <w:lang w:val="ro-RO"/>
        </w:rPr>
        <w:t xml:space="preserve"> cantitativ și la valoarea 0 în evidența contabilă a CNPDCP, la 31.12.2022 înregistrând un sold de </w:t>
      </w:r>
      <w:r w:rsidR="00F81701">
        <w:rPr>
          <w:rFonts w:ascii="Times New Roman" w:hAnsi="Times New Roman" w:cs="Times New Roman"/>
          <w:sz w:val="24"/>
          <w:szCs w:val="24"/>
          <w:lang w:val="ro-RO"/>
        </w:rPr>
        <w:t>carburanți</w:t>
      </w:r>
      <w:r w:rsidRPr="004D2FF7">
        <w:rPr>
          <w:rFonts w:ascii="Times New Roman" w:hAnsi="Times New Roman" w:cs="Times New Roman"/>
          <w:sz w:val="24"/>
          <w:szCs w:val="24"/>
          <w:lang w:val="ro-RO"/>
        </w:rPr>
        <w:t xml:space="preserve"> de 54,6 litri/702,6 lei, nerestituit până în prezent instituției. </w:t>
      </w:r>
    </w:p>
    <w:p w14:paraId="436A792E" w14:textId="76559150" w:rsidR="00F1069B" w:rsidRPr="004D2FF7" w:rsidRDefault="00F1069B" w:rsidP="00F1069B">
      <w:pPr>
        <w:spacing w:after="0"/>
        <w:jc w:val="both"/>
        <w:rPr>
          <w:rFonts w:ascii="Times New Roman" w:hAnsi="Times New Roman" w:cs="Times New Roman"/>
          <w:sz w:val="24"/>
          <w:szCs w:val="24"/>
          <w:lang w:val="ro-RO"/>
        </w:rPr>
      </w:pPr>
      <w:r w:rsidRPr="004D2FF7">
        <w:rPr>
          <w:rFonts w:ascii="Times New Roman" w:hAnsi="Times New Roman" w:cs="Times New Roman"/>
          <w:sz w:val="24"/>
          <w:szCs w:val="24"/>
          <w:lang w:val="ro-RO"/>
        </w:rPr>
        <w:t xml:space="preserve">Stabilirea unor norme de consum </w:t>
      </w:r>
      <w:r w:rsidRPr="004D2FF7">
        <w:rPr>
          <w:rFonts w:ascii="Times New Roman" w:hAnsi="Times New Roman" w:cs="Times New Roman"/>
          <w:sz w:val="24"/>
          <w:szCs w:val="24"/>
        </w:rPr>
        <w:t>de carburanți</w:t>
      </w:r>
      <w:r w:rsidRPr="004D2FF7">
        <w:rPr>
          <w:rFonts w:ascii="Times New Roman" w:hAnsi="Times New Roman" w:cs="Times New Roman"/>
          <w:sz w:val="24"/>
          <w:szCs w:val="24"/>
          <w:lang w:val="ro-RO"/>
        </w:rPr>
        <w:t xml:space="preserve"> nejustificate au dus la majorarea normei de bază și a cheltuielilor efective de </w:t>
      </w:r>
      <w:r w:rsidR="00F81701">
        <w:rPr>
          <w:rFonts w:ascii="Times New Roman" w:hAnsi="Times New Roman" w:cs="Times New Roman"/>
          <w:sz w:val="24"/>
          <w:szCs w:val="24"/>
          <w:lang w:val="ro-RO"/>
        </w:rPr>
        <w:t>carburanți</w:t>
      </w:r>
      <w:r w:rsidR="00525E59">
        <w:rPr>
          <w:rFonts w:ascii="Times New Roman" w:hAnsi="Times New Roman" w:cs="Times New Roman"/>
          <w:sz w:val="24"/>
          <w:szCs w:val="24"/>
          <w:lang w:val="ro-RO"/>
        </w:rPr>
        <w:t>, cu</w:t>
      </w:r>
      <w:r w:rsidRPr="004D2FF7">
        <w:rPr>
          <w:rFonts w:ascii="Times New Roman" w:hAnsi="Times New Roman" w:cs="Times New Roman"/>
          <w:sz w:val="24"/>
          <w:szCs w:val="24"/>
          <w:lang w:val="ro-RO"/>
        </w:rPr>
        <w:t xml:space="preserve"> reflectarea eronată în evidența contabilă a soldului real de carburanți, co</w:t>
      </w:r>
      <w:r w:rsidR="00525E59">
        <w:rPr>
          <w:rFonts w:ascii="Times New Roman" w:hAnsi="Times New Roman" w:cs="Times New Roman"/>
          <w:sz w:val="24"/>
          <w:szCs w:val="24"/>
          <w:lang w:val="ro-RO"/>
        </w:rPr>
        <w:t>n</w:t>
      </w:r>
      <w:r w:rsidRPr="004D2FF7">
        <w:rPr>
          <w:rFonts w:ascii="Times New Roman" w:hAnsi="Times New Roman" w:cs="Times New Roman"/>
          <w:sz w:val="24"/>
          <w:szCs w:val="24"/>
          <w:lang w:val="ro-RO"/>
        </w:rPr>
        <w:t>s</w:t>
      </w:r>
      <w:r w:rsidR="00525E59">
        <w:rPr>
          <w:rFonts w:ascii="Times New Roman" w:hAnsi="Times New Roman" w:cs="Times New Roman"/>
          <w:sz w:val="24"/>
          <w:szCs w:val="24"/>
          <w:lang w:val="ro-RO"/>
        </w:rPr>
        <w:t>ta</w:t>
      </w:r>
      <w:r w:rsidRPr="004D2FF7">
        <w:rPr>
          <w:rFonts w:ascii="Times New Roman" w:hAnsi="Times New Roman" w:cs="Times New Roman"/>
          <w:sz w:val="24"/>
          <w:szCs w:val="24"/>
          <w:lang w:val="ro-RO"/>
        </w:rPr>
        <w:t xml:space="preserve">tându-se următoarele:  </w:t>
      </w:r>
    </w:p>
    <w:p w14:paraId="66B7B353" w14:textId="5C724087" w:rsidR="00F1069B" w:rsidRPr="004D2FF7" w:rsidRDefault="00525E59" w:rsidP="00F1069B">
      <w:pPr>
        <w:pStyle w:val="ListParagraph"/>
        <w:numPr>
          <w:ilvl w:val="0"/>
          <w:numId w:val="21"/>
        </w:numPr>
        <w:spacing w:after="0"/>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00F1069B" w:rsidRPr="004D2FF7">
        <w:rPr>
          <w:rFonts w:ascii="Times New Roman" w:hAnsi="Times New Roman" w:cs="Times New Roman"/>
          <w:sz w:val="24"/>
          <w:szCs w:val="24"/>
          <w:lang w:val="ro-RO"/>
        </w:rPr>
        <w:t>entru stabilirea normelor de consum de</w:t>
      </w:r>
      <w:r w:rsidR="00F1069B" w:rsidRPr="004D2FF7">
        <w:rPr>
          <w:rFonts w:ascii="Times New Roman" w:hAnsi="Times New Roman" w:cs="Times New Roman"/>
          <w:sz w:val="24"/>
          <w:szCs w:val="24"/>
        </w:rPr>
        <w:t xml:space="preserve"> carburanți la autoturismele de serviciu</w:t>
      </w:r>
      <w:r w:rsidR="00F1069B" w:rsidRPr="004D2FF7">
        <w:rPr>
          <w:rFonts w:ascii="Times New Roman" w:hAnsi="Times New Roman" w:cs="Times New Roman"/>
          <w:sz w:val="24"/>
          <w:szCs w:val="24"/>
          <w:lang w:val="ro-RO"/>
        </w:rPr>
        <w:t>, CNPDCP se conduce de indicele de bază stabilit de uzina producătoare/importatorii autorizați și ajustați de coeficienții de rectificare/factori de corecție în funcție de condițiile de exploatare a autoturismului, reglementat prin Ordinul nr.172 din 09.12.2005</w:t>
      </w:r>
      <w:r w:rsidR="00F1069B" w:rsidRPr="004D2FF7">
        <w:rPr>
          <w:rStyle w:val="FootnoteReference"/>
          <w:rFonts w:ascii="Times New Roman" w:hAnsi="Times New Roman" w:cs="Times New Roman"/>
          <w:lang w:val="ro-RO"/>
        </w:rPr>
        <w:footnoteReference w:id="138"/>
      </w:r>
      <w:r w:rsidR="00F1069B" w:rsidRPr="004D2FF7">
        <w:rPr>
          <w:rFonts w:ascii="Times New Roman" w:hAnsi="Times New Roman" w:cs="Times New Roman"/>
          <w:sz w:val="24"/>
          <w:szCs w:val="24"/>
          <w:lang w:val="ro-RO"/>
        </w:rPr>
        <w:t xml:space="preserve">. Totodată, </w:t>
      </w:r>
      <w:r w:rsidR="00F1069B" w:rsidRPr="004D2FF7">
        <w:rPr>
          <w:rFonts w:ascii="Times New Roman" w:hAnsi="Times New Roman" w:cs="Times New Roman"/>
          <w:sz w:val="24"/>
          <w:szCs w:val="24"/>
        </w:rPr>
        <w:t>CNPDCP a instituit o Comisie</w:t>
      </w:r>
      <w:r w:rsidR="00F1069B" w:rsidRPr="004D2FF7">
        <w:rPr>
          <w:rStyle w:val="FootnoteReference"/>
          <w:rFonts w:ascii="Times New Roman" w:eastAsia="Times New Roman" w:hAnsi="Times New Roman" w:cs="Times New Roman"/>
          <w:sz w:val="24"/>
          <w:szCs w:val="24"/>
        </w:rPr>
        <w:footnoteReference w:id="139"/>
      </w:r>
      <w:r w:rsidR="00F1069B" w:rsidRPr="004D2FF7">
        <w:rPr>
          <w:rFonts w:ascii="Times New Roman" w:hAnsi="Times New Roman" w:cs="Times New Roman"/>
          <w:sz w:val="24"/>
          <w:szCs w:val="24"/>
        </w:rPr>
        <w:t xml:space="preserve">, formată din 6 membri, </w:t>
      </w:r>
      <w:r>
        <w:rPr>
          <w:rFonts w:ascii="Times New Roman" w:hAnsi="Times New Roman" w:cs="Times New Roman"/>
          <w:sz w:val="24"/>
          <w:szCs w:val="24"/>
        </w:rPr>
        <w:t xml:space="preserve">dar </w:t>
      </w:r>
      <w:r w:rsidR="00F1069B" w:rsidRPr="004D2FF7">
        <w:rPr>
          <w:rFonts w:ascii="Times New Roman" w:hAnsi="Times New Roman" w:cs="Times New Roman"/>
          <w:sz w:val="24"/>
          <w:szCs w:val="24"/>
          <w:lang w:val="ro-RO"/>
        </w:rPr>
        <w:t>neavând competențe</w:t>
      </w:r>
      <w:r>
        <w:rPr>
          <w:rFonts w:ascii="Times New Roman" w:hAnsi="Times New Roman" w:cs="Times New Roman"/>
          <w:sz w:val="24"/>
          <w:szCs w:val="24"/>
          <w:lang w:val="ro-RO"/>
        </w:rPr>
        <w:t>le</w:t>
      </w:r>
      <w:r w:rsidR="00F1069B" w:rsidRPr="004D2FF7">
        <w:rPr>
          <w:rFonts w:ascii="Times New Roman" w:hAnsi="Times New Roman" w:cs="Times New Roman"/>
          <w:sz w:val="24"/>
          <w:szCs w:val="24"/>
          <w:lang w:val="ro-RO"/>
        </w:rPr>
        <w:t xml:space="preserve"> de specialitate necesare</w:t>
      </w:r>
      <w:r>
        <w:rPr>
          <w:rFonts w:ascii="Times New Roman" w:hAnsi="Times New Roman" w:cs="Times New Roman"/>
          <w:sz w:val="24"/>
          <w:szCs w:val="24"/>
          <w:lang w:val="ro-RO"/>
        </w:rPr>
        <w:t>.</w:t>
      </w:r>
      <w:r w:rsidR="00F1069B" w:rsidRPr="004D2FF7">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Comisia a fost </w:t>
      </w:r>
      <w:r w:rsidR="00F1069B" w:rsidRPr="004D2FF7">
        <w:rPr>
          <w:rFonts w:ascii="Times New Roman" w:hAnsi="Times New Roman" w:cs="Times New Roman"/>
          <w:sz w:val="24"/>
          <w:szCs w:val="24"/>
        </w:rPr>
        <w:t>responsabilă de stabilirea consumului real de carburanți</w:t>
      </w:r>
      <w:r>
        <w:rPr>
          <w:rFonts w:ascii="Times New Roman" w:hAnsi="Times New Roman" w:cs="Times New Roman"/>
          <w:sz w:val="24"/>
          <w:szCs w:val="24"/>
        </w:rPr>
        <w:t xml:space="preserve"> și</w:t>
      </w:r>
      <w:r w:rsidR="00F1069B" w:rsidRPr="004D2FF7">
        <w:rPr>
          <w:rFonts w:ascii="Times New Roman" w:hAnsi="Times New Roman" w:cs="Times New Roman"/>
          <w:sz w:val="24"/>
          <w:szCs w:val="24"/>
        </w:rPr>
        <w:t xml:space="preserve"> a întocmit procese-verbale </w:t>
      </w:r>
      <w:r w:rsidR="00C22428">
        <w:rPr>
          <w:rFonts w:ascii="Times New Roman" w:hAnsi="Times New Roman" w:cs="Times New Roman"/>
          <w:sz w:val="24"/>
          <w:szCs w:val="24"/>
        </w:rPr>
        <w:t>în acest sens</w:t>
      </w:r>
      <w:r w:rsidR="00F1069B" w:rsidRPr="004D2FF7">
        <w:rPr>
          <w:rFonts w:ascii="Times New Roman" w:hAnsi="Times New Roman" w:cs="Times New Roman"/>
          <w:sz w:val="24"/>
          <w:szCs w:val="24"/>
        </w:rPr>
        <w:t>;</w:t>
      </w:r>
    </w:p>
    <w:p w14:paraId="30675A49" w14:textId="6D5F2B20" w:rsidR="00F1069B" w:rsidRPr="004D2FF7" w:rsidRDefault="00B66782" w:rsidP="00F1069B">
      <w:pPr>
        <w:pStyle w:val="ListParagraph"/>
        <w:numPr>
          <w:ilvl w:val="0"/>
          <w:numId w:val="21"/>
        </w:numPr>
        <w:spacing w:after="0"/>
        <w:ind w:left="0" w:firstLine="360"/>
        <w:jc w:val="both"/>
        <w:rPr>
          <w:rFonts w:ascii="Times New Roman" w:hAnsi="Times New Roman" w:cs="Times New Roman"/>
          <w:sz w:val="24"/>
          <w:szCs w:val="24"/>
          <w:lang w:val="ro-RO"/>
        </w:rPr>
      </w:pPr>
      <w:r>
        <w:rPr>
          <w:rFonts w:ascii="Times New Roman" w:hAnsi="Times New Roman" w:cs="Times New Roman"/>
          <w:sz w:val="24"/>
          <w:szCs w:val="24"/>
        </w:rPr>
        <w:t>d</w:t>
      </w:r>
      <w:r w:rsidR="00F1069B" w:rsidRPr="004D2FF7">
        <w:rPr>
          <w:rFonts w:ascii="Times New Roman" w:hAnsi="Times New Roman" w:cs="Times New Roman"/>
          <w:sz w:val="24"/>
          <w:szCs w:val="24"/>
        </w:rPr>
        <w:t xml:space="preserve">atele stabilite de Comisie privind consumul real de carburanți pentru autoturismele de serviciu nu pot fi </w:t>
      </w:r>
      <w:r>
        <w:rPr>
          <w:rFonts w:ascii="Times New Roman" w:hAnsi="Times New Roman" w:cs="Times New Roman"/>
          <w:sz w:val="24"/>
          <w:szCs w:val="24"/>
        </w:rPr>
        <w:t>calificate</w:t>
      </w:r>
      <w:r w:rsidRPr="004D2FF7">
        <w:rPr>
          <w:rFonts w:ascii="Times New Roman" w:hAnsi="Times New Roman" w:cs="Times New Roman"/>
          <w:sz w:val="24"/>
          <w:szCs w:val="24"/>
        </w:rPr>
        <w:t xml:space="preserve"> </w:t>
      </w:r>
      <w:r>
        <w:rPr>
          <w:rFonts w:ascii="Times New Roman" w:hAnsi="Times New Roman" w:cs="Times New Roman"/>
          <w:sz w:val="24"/>
          <w:szCs w:val="24"/>
        </w:rPr>
        <w:t>drept</w:t>
      </w:r>
      <w:r w:rsidR="00F1069B" w:rsidRPr="004D2FF7">
        <w:rPr>
          <w:rFonts w:ascii="Times New Roman" w:hAnsi="Times New Roman" w:cs="Times New Roman"/>
          <w:sz w:val="24"/>
          <w:szCs w:val="24"/>
        </w:rPr>
        <w:t xml:space="preserve"> credibile și corecte,</w:t>
      </w:r>
      <w:r w:rsidR="00F1069B" w:rsidRPr="004D2FF7">
        <w:rPr>
          <w:rFonts w:ascii="Times New Roman" w:hAnsi="Times New Roman" w:cs="Times New Roman"/>
          <w:sz w:val="24"/>
          <w:szCs w:val="24"/>
          <w:lang w:val="ro-RO"/>
        </w:rPr>
        <w:t xml:space="preserve"> fiindcă aceasta în anul 2018 a propus conducerii CNPDCP de a stabili norme de consum la</w:t>
      </w:r>
      <w:r w:rsidR="00F1069B" w:rsidRPr="004D2FF7">
        <w:rPr>
          <w:rFonts w:ascii="Times New Roman" w:hAnsi="Times New Roman" w:cs="Times New Roman"/>
          <w:sz w:val="24"/>
          <w:szCs w:val="24"/>
        </w:rPr>
        <w:t xml:space="preserve"> carburanți</w:t>
      </w:r>
      <w:r w:rsidR="00F1069B" w:rsidRPr="004D2FF7">
        <w:rPr>
          <w:rFonts w:ascii="Times New Roman" w:hAnsi="Times New Roman" w:cs="Times New Roman"/>
          <w:sz w:val="24"/>
          <w:szCs w:val="24"/>
          <w:lang w:val="ro-RO"/>
        </w:rPr>
        <w:t xml:space="preserve"> nejustificat </w:t>
      </w:r>
      <w:r>
        <w:rPr>
          <w:rFonts w:ascii="Times New Roman" w:hAnsi="Times New Roman" w:cs="Times New Roman"/>
          <w:sz w:val="24"/>
          <w:szCs w:val="24"/>
          <w:lang w:val="ro-RO"/>
        </w:rPr>
        <w:t xml:space="preserve">de </w:t>
      </w:r>
      <w:r w:rsidR="00F1069B" w:rsidRPr="004D2FF7">
        <w:rPr>
          <w:rFonts w:ascii="Times New Roman" w:hAnsi="Times New Roman" w:cs="Times New Roman"/>
          <w:sz w:val="24"/>
          <w:szCs w:val="24"/>
          <w:lang w:val="ro-RO"/>
        </w:rPr>
        <w:t>majorate</w:t>
      </w:r>
      <w:r w:rsidR="00F1069B" w:rsidRPr="004D2FF7">
        <w:rPr>
          <w:rFonts w:ascii="Times New Roman" w:hAnsi="Times New Roman" w:cs="Times New Roman"/>
          <w:sz w:val="24"/>
          <w:szCs w:val="24"/>
        </w:rPr>
        <w:t>. Ulterior, în temeiul unor</w:t>
      </w:r>
      <w:r w:rsidR="00F1069B" w:rsidRPr="004D2FF7">
        <w:rPr>
          <w:rFonts w:ascii="Times New Roman" w:hAnsi="Times New Roman" w:cs="Times New Roman"/>
          <w:sz w:val="24"/>
          <w:szCs w:val="24"/>
          <w:lang w:val="ro-RO"/>
        </w:rPr>
        <w:t xml:space="preserve"> ordine interne</w:t>
      </w:r>
      <w:r>
        <w:rPr>
          <w:rFonts w:ascii="Times New Roman" w:hAnsi="Times New Roman" w:cs="Times New Roman"/>
          <w:sz w:val="24"/>
          <w:szCs w:val="24"/>
          <w:lang w:val="ro-RO"/>
        </w:rPr>
        <w:t>,</w:t>
      </w:r>
      <w:r w:rsidR="00F1069B" w:rsidRPr="004D2FF7">
        <w:rPr>
          <w:rFonts w:ascii="Times New Roman" w:hAnsi="Times New Roman" w:cs="Times New Roman"/>
          <w:sz w:val="24"/>
          <w:szCs w:val="24"/>
          <w:lang w:val="ro-RO"/>
        </w:rPr>
        <w:t xml:space="preserve"> conducerea CNPDCP a stabilit norme de consum</w:t>
      </w:r>
      <w:r w:rsidR="00F1069B" w:rsidRPr="004D2FF7">
        <w:rPr>
          <w:rFonts w:ascii="Times New Roman" w:hAnsi="Times New Roman" w:cs="Times New Roman"/>
          <w:sz w:val="24"/>
          <w:szCs w:val="24"/>
        </w:rPr>
        <w:t xml:space="preserve"> de carburanți</w:t>
      </w:r>
      <w:r w:rsidR="00F1069B" w:rsidRPr="004D2FF7">
        <w:rPr>
          <w:rFonts w:ascii="Times New Roman" w:hAnsi="Times New Roman" w:cs="Times New Roman"/>
          <w:sz w:val="24"/>
          <w:szCs w:val="24"/>
          <w:lang w:val="ro-RO"/>
        </w:rPr>
        <w:t xml:space="preserve"> față de norma de bază majorate cu 1,8 litri/100 km și</w:t>
      </w:r>
      <w:r>
        <w:rPr>
          <w:rFonts w:ascii="Times New Roman" w:hAnsi="Times New Roman" w:cs="Times New Roman"/>
          <w:sz w:val="24"/>
          <w:szCs w:val="24"/>
          <w:lang w:val="ro-RO"/>
        </w:rPr>
        <w:t>,</w:t>
      </w:r>
      <w:r w:rsidR="00F1069B" w:rsidRPr="004D2FF7">
        <w:rPr>
          <w:rFonts w:ascii="Times New Roman" w:hAnsi="Times New Roman" w:cs="Times New Roman"/>
          <w:sz w:val="24"/>
          <w:szCs w:val="24"/>
          <w:lang w:val="ro-RO"/>
        </w:rPr>
        <w:t xml:space="preserve"> respectiv</w:t>
      </w:r>
      <w:r>
        <w:rPr>
          <w:rFonts w:ascii="Times New Roman" w:hAnsi="Times New Roman" w:cs="Times New Roman"/>
          <w:sz w:val="24"/>
          <w:szCs w:val="24"/>
          <w:lang w:val="ro-RO"/>
        </w:rPr>
        <w:t>, de</w:t>
      </w:r>
      <w:r w:rsidR="00F1069B" w:rsidRPr="004D2FF7">
        <w:rPr>
          <w:rFonts w:ascii="Times New Roman" w:hAnsi="Times New Roman" w:cs="Times New Roman"/>
          <w:sz w:val="24"/>
          <w:szCs w:val="24"/>
          <w:lang w:val="ro-RO"/>
        </w:rPr>
        <w:t xml:space="preserve"> 1,9 litri/100 km pentru automobilele de marca Renault</w:t>
      </w:r>
      <w:r w:rsidR="00F1069B" w:rsidRPr="004D2FF7">
        <w:rPr>
          <w:rFonts w:ascii="Times New Roman" w:hAnsi="Times New Roman" w:cs="Times New Roman"/>
          <w:i/>
          <w:sz w:val="24"/>
          <w:szCs w:val="24"/>
          <w:lang w:val="ro-RO"/>
        </w:rPr>
        <w:t xml:space="preserve"> </w:t>
      </w:r>
      <w:r w:rsidR="00F1069B" w:rsidRPr="004D2FF7">
        <w:rPr>
          <w:rFonts w:ascii="Times New Roman" w:hAnsi="Times New Roman" w:cs="Times New Roman"/>
          <w:sz w:val="24"/>
          <w:szCs w:val="24"/>
          <w:lang w:val="ro-RO"/>
        </w:rPr>
        <w:t xml:space="preserve">Kadjar și cu 0,8 litri/100 km mai mult pentru automobilul Chevrolet Captiva, ceea ce a condiționat </w:t>
      </w:r>
      <w:r w:rsidR="00F1069B" w:rsidRPr="004D2FF7">
        <w:rPr>
          <w:rFonts w:ascii="Times New Roman" w:hAnsi="Times New Roman" w:cs="Times New Roman"/>
          <w:sz w:val="24"/>
          <w:szCs w:val="24"/>
          <w:lang w:val="ro-RO"/>
        </w:rPr>
        <w:lastRenderedPageBreak/>
        <w:t>admiterea cheltuielilor bugetare nejustificate în perioada auditată în sumă de 24,1 mii lei, aferente casării neregulamentare a 1</w:t>
      </w:r>
      <w:r w:rsidR="00C22428">
        <w:rPr>
          <w:rFonts w:ascii="Times New Roman" w:hAnsi="Times New Roman" w:cs="Times New Roman"/>
          <w:sz w:val="24"/>
          <w:szCs w:val="24"/>
          <w:lang w:val="ro-RO"/>
        </w:rPr>
        <w:t>.</w:t>
      </w:r>
      <w:r w:rsidR="00F1069B" w:rsidRPr="004D2FF7">
        <w:rPr>
          <w:rFonts w:ascii="Times New Roman" w:hAnsi="Times New Roman" w:cs="Times New Roman"/>
          <w:sz w:val="24"/>
          <w:szCs w:val="24"/>
          <w:lang w:val="ro-RO"/>
        </w:rPr>
        <w:t xml:space="preserve">280,5 litri de </w:t>
      </w:r>
      <w:r w:rsidR="00F81701">
        <w:rPr>
          <w:rFonts w:ascii="Times New Roman" w:hAnsi="Times New Roman" w:cs="Times New Roman"/>
          <w:sz w:val="24"/>
          <w:szCs w:val="24"/>
          <w:lang w:val="ro-RO"/>
        </w:rPr>
        <w:t>carburanți</w:t>
      </w:r>
      <w:r w:rsidR="00F1069B" w:rsidRPr="004D2FF7">
        <w:rPr>
          <w:rFonts w:ascii="Times New Roman" w:hAnsi="Times New Roman" w:cs="Times New Roman"/>
          <w:sz w:val="24"/>
          <w:szCs w:val="24"/>
          <w:lang w:val="ro-RO"/>
        </w:rPr>
        <w:t>;</w:t>
      </w:r>
    </w:p>
    <w:p w14:paraId="07FF61EA" w14:textId="3166E53E" w:rsidR="00F1069B" w:rsidRPr="004D2FF7" w:rsidRDefault="00C22428" w:rsidP="00F1069B">
      <w:pPr>
        <w:pStyle w:val="ListParagraph"/>
        <w:numPr>
          <w:ilvl w:val="0"/>
          <w:numId w:val="21"/>
        </w:numPr>
        <w:spacing w:after="0"/>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o</w:t>
      </w:r>
      <w:r w:rsidR="00F1069B" w:rsidRPr="004D2FF7">
        <w:rPr>
          <w:rFonts w:ascii="Times New Roman" w:hAnsi="Times New Roman" w:cs="Times New Roman"/>
          <w:sz w:val="24"/>
          <w:szCs w:val="24"/>
          <w:lang w:val="ro-RO"/>
        </w:rPr>
        <w:t>bservarea fizică la fața locului a autoturismelor de serviciu prin confruntarea datelor  vitezometrului și cantit</w:t>
      </w:r>
      <w:r>
        <w:rPr>
          <w:rFonts w:ascii="Times New Roman" w:hAnsi="Times New Roman" w:cs="Times New Roman"/>
          <w:sz w:val="24"/>
          <w:szCs w:val="24"/>
          <w:lang w:val="ro-RO"/>
        </w:rPr>
        <w:t>ății</w:t>
      </w:r>
      <w:r w:rsidR="00F1069B" w:rsidRPr="004D2FF7">
        <w:rPr>
          <w:rFonts w:ascii="Times New Roman" w:hAnsi="Times New Roman" w:cs="Times New Roman"/>
          <w:sz w:val="24"/>
          <w:szCs w:val="24"/>
          <w:lang w:val="ro-RO"/>
        </w:rPr>
        <w:t xml:space="preserve"> de </w:t>
      </w:r>
      <w:r w:rsidR="00F81701">
        <w:rPr>
          <w:rFonts w:ascii="Times New Roman" w:hAnsi="Times New Roman" w:cs="Times New Roman"/>
          <w:sz w:val="24"/>
          <w:szCs w:val="24"/>
          <w:lang w:val="ro-RO"/>
        </w:rPr>
        <w:t>carburanți</w:t>
      </w:r>
      <w:r w:rsidR="00F1069B" w:rsidRPr="004D2FF7">
        <w:rPr>
          <w:rFonts w:ascii="Times New Roman" w:hAnsi="Times New Roman" w:cs="Times New Roman"/>
          <w:sz w:val="24"/>
          <w:szCs w:val="24"/>
          <w:lang w:val="ro-RO"/>
        </w:rPr>
        <w:t xml:space="preserve"> disponibilă în rezervorul autovehiculului cu cele din foile de parcurs a stabilit divergențe între datele evidenței contabile și soldul </w:t>
      </w:r>
      <w:r>
        <w:rPr>
          <w:rFonts w:ascii="Times New Roman" w:hAnsi="Times New Roman" w:cs="Times New Roman"/>
          <w:sz w:val="24"/>
          <w:szCs w:val="24"/>
          <w:lang w:val="ro-RO"/>
        </w:rPr>
        <w:t xml:space="preserve">real </w:t>
      </w:r>
      <w:r w:rsidR="00F1069B" w:rsidRPr="004D2FF7">
        <w:rPr>
          <w:rFonts w:ascii="Times New Roman" w:hAnsi="Times New Roman" w:cs="Times New Roman"/>
          <w:sz w:val="24"/>
          <w:szCs w:val="24"/>
          <w:lang w:val="ro-RO"/>
        </w:rPr>
        <w:t>disponibil. Astfel</w:t>
      </w:r>
      <w:r>
        <w:rPr>
          <w:rFonts w:ascii="Times New Roman" w:hAnsi="Times New Roman" w:cs="Times New Roman"/>
          <w:sz w:val="24"/>
          <w:szCs w:val="24"/>
          <w:lang w:val="ro-RO"/>
        </w:rPr>
        <w:t>,</w:t>
      </w:r>
      <w:r w:rsidR="00F1069B" w:rsidRPr="004D2FF7">
        <w:rPr>
          <w:rFonts w:ascii="Times New Roman" w:hAnsi="Times New Roman" w:cs="Times New Roman"/>
          <w:sz w:val="24"/>
          <w:szCs w:val="24"/>
          <w:lang w:val="ro-RO"/>
        </w:rPr>
        <w:t xml:space="preserve"> a fost identificat un surplus de 68 de litri de </w:t>
      </w:r>
      <w:r w:rsidR="00F81701">
        <w:rPr>
          <w:rFonts w:ascii="Times New Roman" w:hAnsi="Times New Roman" w:cs="Times New Roman"/>
          <w:sz w:val="24"/>
          <w:szCs w:val="24"/>
          <w:lang w:val="ro-RO"/>
        </w:rPr>
        <w:t>carburanți</w:t>
      </w:r>
      <w:r w:rsidR="00F1069B" w:rsidRPr="004D2FF7">
        <w:rPr>
          <w:rFonts w:ascii="Times New Roman" w:hAnsi="Times New Roman" w:cs="Times New Roman"/>
          <w:sz w:val="24"/>
          <w:szCs w:val="24"/>
          <w:lang w:val="ro-RO"/>
        </w:rPr>
        <w:t xml:space="preserve"> în sumă de 1</w:t>
      </w:r>
      <w:r>
        <w:rPr>
          <w:rFonts w:ascii="Times New Roman" w:hAnsi="Times New Roman" w:cs="Times New Roman"/>
          <w:sz w:val="24"/>
          <w:szCs w:val="24"/>
          <w:lang w:val="ro-RO"/>
        </w:rPr>
        <w:t>.</w:t>
      </w:r>
      <w:r w:rsidR="00F1069B" w:rsidRPr="004D2FF7">
        <w:rPr>
          <w:rFonts w:ascii="Times New Roman" w:hAnsi="Times New Roman" w:cs="Times New Roman"/>
          <w:sz w:val="24"/>
          <w:szCs w:val="24"/>
          <w:lang w:val="ro-RO"/>
        </w:rPr>
        <w:t xml:space="preserve">663,96 lei în rezervoarele autoturismelor Renault Kadjar, ceea ce denotă că în anul 2018 </w:t>
      </w:r>
      <w:r w:rsidR="00F1069B" w:rsidRPr="004D2FF7">
        <w:rPr>
          <w:rFonts w:ascii="Times New Roman" w:hAnsi="Times New Roman" w:cs="Times New Roman"/>
          <w:sz w:val="24"/>
          <w:szCs w:val="24"/>
        </w:rPr>
        <w:t>Comisia a stabilit</w:t>
      </w:r>
      <w:r w:rsidR="00F1069B" w:rsidRPr="004D2FF7">
        <w:rPr>
          <w:rFonts w:ascii="Times New Roman" w:hAnsi="Times New Roman" w:cs="Times New Roman"/>
          <w:sz w:val="24"/>
          <w:szCs w:val="24"/>
          <w:lang w:val="ro-RO"/>
        </w:rPr>
        <w:t xml:space="preserve"> norme de consum de </w:t>
      </w:r>
      <w:r w:rsidR="00F81701">
        <w:rPr>
          <w:rFonts w:ascii="Times New Roman" w:hAnsi="Times New Roman" w:cs="Times New Roman"/>
          <w:sz w:val="24"/>
          <w:szCs w:val="24"/>
          <w:lang w:val="ro-RO"/>
        </w:rPr>
        <w:t>carburanți</w:t>
      </w:r>
      <w:r w:rsidR="00F1069B" w:rsidRPr="004D2FF7">
        <w:rPr>
          <w:rFonts w:ascii="Times New Roman" w:hAnsi="Times New Roman" w:cs="Times New Roman"/>
          <w:sz w:val="24"/>
          <w:szCs w:val="24"/>
          <w:lang w:val="ro-RO"/>
        </w:rPr>
        <w:t xml:space="preserve"> majorate. Totodată, în rezervorul autoturismului Chevrolet Captiva a fost stabilit</w:t>
      </w:r>
      <w:r w:rsidR="00867361">
        <w:rPr>
          <w:rFonts w:ascii="Times New Roman" w:hAnsi="Times New Roman" w:cs="Times New Roman"/>
          <w:sz w:val="24"/>
          <w:szCs w:val="24"/>
          <w:lang w:val="ro-RO"/>
        </w:rPr>
        <w:t>ă o</w:t>
      </w:r>
      <w:r w:rsidR="00867361">
        <w:rPr>
          <w:rFonts w:ascii="Times New Roman" w:hAnsi="Times New Roman" w:cs="Times New Roman"/>
          <w:sz w:val="24"/>
          <w:szCs w:val="24"/>
        </w:rPr>
        <w:t xml:space="preserve"> diferență în minus</w:t>
      </w:r>
      <w:r w:rsidR="00F1069B" w:rsidRPr="004D2FF7">
        <w:rPr>
          <w:rFonts w:ascii="Times New Roman" w:hAnsi="Times New Roman" w:cs="Times New Roman"/>
          <w:sz w:val="24"/>
          <w:szCs w:val="24"/>
          <w:lang w:val="ro-RO"/>
        </w:rPr>
        <w:t xml:space="preserve"> de 22,0 litri de </w:t>
      </w:r>
      <w:r w:rsidR="00F81701">
        <w:rPr>
          <w:rFonts w:ascii="Times New Roman" w:hAnsi="Times New Roman" w:cs="Times New Roman"/>
          <w:sz w:val="24"/>
          <w:szCs w:val="24"/>
          <w:lang w:val="ro-RO"/>
        </w:rPr>
        <w:t>carburanți</w:t>
      </w:r>
      <w:r w:rsidR="00BD241D">
        <w:rPr>
          <w:rFonts w:ascii="Times New Roman" w:hAnsi="Times New Roman" w:cs="Times New Roman"/>
          <w:sz w:val="24"/>
          <w:szCs w:val="24"/>
          <w:lang w:val="ro-RO"/>
        </w:rPr>
        <w:t xml:space="preserve"> în sumă de 538,34 lei.</w:t>
      </w:r>
    </w:p>
    <w:p w14:paraId="6B5BF4BE" w14:textId="77777777" w:rsidR="00F1069B" w:rsidRPr="004D2FF7" w:rsidRDefault="00F1069B" w:rsidP="004F60C1">
      <w:pPr>
        <w:pStyle w:val="cb"/>
        <w:spacing w:line="276" w:lineRule="auto"/>
        <w:jc w:val="both"/>
        <w:rPr>
          <w:b w:val="0"/>
          <w:lang w:val="ro-RO"/>
        </w:rPr>
      </w:pPr>
    </w:p>
    <w:p w14:paraId="41C919B4" w14:textId="77777777" w:rsidR="00861944" w:rsidRPr="004D2FF7" w:rsidRDefault="00861944" w:rsidP="00861944">
      <w:pPr>
        <w:spacing w:after="0" w:line="240" w:lineRule="auto"/>
        <w:rPr>
          <w:rFonts w:ascii="Times New Roman" w:hAnsi="Times New Roman" w:cs="Times New Roman"/>
          <w:b/>
          <w:color w:val="000000" w:themeColor="text1"/>
          <w:sz w:val="24"/>
          <w:szCs w:val="24"/>
        </w:rPr>
      </w:pPr>
      <w:r w:rsidRPr="004D2FF7">
        <w:rPr>
          <w:rFonts w:ascii="Times New Roman" w:hAnsi="Times New Roman" w:cs="Times New Roman"/>
          <w:b/>
          <w:color w:val="000000" w:themeColor="text1"/>
          <w:sz w:val="24"/>
          <w:szCs w:val="24"/>
        </w:rPr>
        <w:t>În perioada misiunii de audit:</w:t>
      </w:r>
    </w:p>
    <w:p w14:paraId="5AEBF1D2" w14:textId="59C29D63" w:rsidR="00861944" w:rsidRPr="004D2FF7" w:rsidRDefault="00861944" w:rsidP="0077171B">
      <w:pPr>
        <w:pStyle w:val="ListParagraph"/>
        <w:numPr>
          <w:ilvl w:val="0"/>
          <w:numId w:val="21"/>
        </w:numPr>
        <w:spacing w:after="0" w:line="240" w:lineRule="auto"/>
        <w:ind w:left="0" w:firstLine="502"/>
        <w:jc w:val="both"/>
        <w:rPr>
          <w:rFonts w:ascii="Times New Roman" w:hAnsi="Times New Roman" w:cs="Times New Roman"/>
          <w:i/>
          <w:color w:val="000000" w:themeColor="text1"/>
          <w:sz w:val="24"/>
          <w:szCs w:val="24"/>
        </w:rPr>
      </w:pPr>
      <w:r w:rsidRPr="004D2FF7">
        <w:rPr>
          <w:rFonts w:ascii="Times New Roman" w:hAnsi="Times New Roman" w:cs="Times New Roman"/>
          <w:i/>
          <w:color w:val="000000" w:themeColor="text1"/>
          <w:sz w:val="24"/>
          <w:szCs w:val="24"/>
        </w:rPr>
        <w:t xml:space="preserve">CNPDCP a încheiat 14 contracte de răspundere materială cu angajații instituției, inclusiv cu angajații care conform ordinului </w:t>
      </w:r>
      <w:r w:rsidR="00D04182">
        <w:rPr>
          <w:rFonts w:ascii="Times New Roman" w:hAnsi="Times New Roman" w:cs="Times New Roman"/>
          <w:i/>
          <w:color w:val="000000" w:themeColor="text1"/>
          <w:sz w:val="24"/>
          <w:szCs w:val="24"/>
        </w:rPr>
        <w:t>d</w:t>
      </w:r>
      <w:r w:rsidRPr="004D2FF7">
        <w:rPr>
          <w:rFonts w:ascii="Times New Roman" w:hAnsi="Times New Roman" w:cs="Times New Roman"/>
          <w:i/>
          <w:color w:val="000000" w:themeColor="text1"/>
          <w:sz w:val="24"/>
          <w:szCs w:val="24"/>
        </w:rPr>
        <w:t>irectoarei pot utiliza autoturismele de serviciu</w:t>
      </w:r>
      <w:r w:rsidR="00867361">
        <w:rPr>
          <w:rFonts w:ascii="Times New Roman" w:hAnsi="Times New Roman" w:cs="Times New Roman"/>
          <w:i/>
          <w:color w:val="000000" w:themeColor="text1"/>
          <w:sz w:val="24"/>
          <w:szCs w:val="24"/>
        </w:rPr>
        <w:t>;</w:t>
      </w:r>
      <w:r w:rsidRPr="004D2FF7">
        <w:rPr>
          <w:rFonts w:ascii="Times New Roman" w:hAnsi="Times New Roman" w:cs="Times New Roman"/>
          <w:i/>
          <w:color w:val="000000" w:themeColor="text1"/>
          <w:sz w:val="24"/>
          <w:szCs w:val="24"/>
        </w:rPr>
        <w:t xml:space="preserve"> </w:t>
      </w:r>
    </w:p>
    <w:p w14:paraId="28A8E08E" w14:textId="5B9700BF" w:rsidR="00861944" w:rsidRPr="004D2FF7" w:rsidRDefault="00867361" w:rsidP="00861944">
      <w:pPr>
        <w:pStyle w:val="ListParagraph"/>
        <w:numPr>
          <w:ilvl w:val="0"/>
          <w:numId w:val="21"/>
        </w:numPr>
        <w:tabs>
          <w:tab w:val="left" w:pos="284"/>
        </w:tabs>
        <w:spacing w:after="0" w:line="240" w:lineRule="auto"/>
        <w:ind w:left="0" w:firstLine="3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l</w:t>
      </w:r>
      <w:r w:rsidR="00D04182" w:rsidRPr="004D2FF7">
        <w:rPr>
          <w:rFonts w:ascii="Times New Roman" w:hAnsi="Times New Roman" w:cs="Times New Roman"/>
          <w:i/>
          <w:color w:val="000000" w:themeColor="text1"/>
          <w:sz w:val="24"/>
          <w:szCs w:val="24"/>
        </w:rPr>
        <w:t>a 20</w:t>
      </w:r>
      <w:r w:rsidR="00D04182">
        <w:rPr>
          <w:rFonts w:ascii="Times New Roman" w:hAnsi="Times New Roman" w:cs="Times New Roman"/>
          <w:i/>
          <w:color w:val="000000" w:themeColor="text1"/>
          <w:sz w:val="24"/>
          <w:szCs w:val="24"/>
        </w:rPr>
        <w:t>.11.</w:t>
      </w:r>
      <w:r w:rsidR="00D04182" w:rsidRPr="004D2FF7">
        <w:rPr>
          <w:rFonts w:ascii="Times New Roman" w:hAnsi="Times New Roman" w:cs="Times New Roman"/>
          <w:i/>
          <w:color w:val="000000" w:themeColor="text1"/>
          <w:sz w:val="24"/>
          <w:szCs w:val="24"/>
        </w:rPr>
        <w:t xml:space="preserve">2023 </w:t>
      </w:r>
      <w:r w:rsidR="00D04182">
        <w:rPr>
          <w:rFonts w:ascii="Times New Roman" w:hAnsi="Times New Roman" w:cs="Times New Roman"/>
          <w:i/>
          <w:color w:val="000000" w:themeColor="text1"/>
          <w:sz w:val="24"/>
          <w:szCs w:val="24"/>
        </w:rPr>
        <w:t>a</w:t>
      </w:r>
      <w:r w:rsidR="00861944" w:rsidRPr="004D2FF7">
        <w:rPr>
          <w:rFonts w:ascii="Times New Roman" w:hAnsi="Times New Roman" w:cs="Times New Roman"/>
          <w:i/>
          <w:color w:val="000000" w:themeColor="text1"/>
          <w:sz w:val="24"/>
          <w:szCs w:val="24"/>
        </w:rPr>
        <w:t xml:space="preserve"> fost aprobată și adusă la cunoștință Fișa de post a conducătorului auto, fiind stabilite </w:t>
      </w:r>
      <w:r w:rsidR="00861944" w:rsidRPr="004D2FF7">
        <w:rPr>
          <w:rFonts w:ascii="Times New Roman" w:hAnsi="Times New Roman" w:cs="Times New Roman"/>
          <w:i/>
          <w:sz w:val="24"/>
          <w:szCs w:val="24"/>
          <w:lang w:val="ro-RO"/>
        </w:rPr>
        <w:t>atribuții concrete de serviciu</w:t>
      </w:r>
      <w:r>
        <w:rPr>
          <w:rFonts w:ascii="Times New Roman" w:hAnsi="Times New Roman" w:cs="Times New Roman"/>
          <w:i/>
          <w:color w:val="000000" w:themeColor="text1"/>
          <w:sz w:val="24"/>
          <w:szCs w:val="24"/>
        </w:rPr>
        <w:t>;</w:t>
      </w:r>
    </w:p>
    <w:p w14:paraId="71BB6433" w14:textId="0FB61E84" w:rsidR="00AC02E5" w:rsidRPr="004D2FF7" w:rsidRDefault="00867361" w:rsidP="00861944">
      <w:pPr>
        <w:pStyle w:val="ListParagraph"/>
        <w:numPr>
          <w:ilvl w:val="0"/>
          <w:numId w:val="21"/>
        </w:numPr>
        <w:tabs>
          <w:tab w:val="left" w:pos="284"/>
        </w:tabs>
        <w:spacing w:after="0" w:line="240" w:lineRule="auto"/>
        <w:ind w:left="0" w:firstLine="360"/>
        <w:jc w:val="both"/>
        <w:rPr>
          <w:rFonts w:ascii="Times New Roman" w:hAnsi="Times New Roman" w:cs="Times New Roman"/>
          <w:i/>
          <w:color w:val="000000" w:themeColor="text1"/>
          <w:sz w:val="24"/>
          <w:szCs w:val="24"/>
        </w:rPr>
      </w:pPr>
      <w:r>
        <w:rPr>
          <w:rFonts w:ascii="Times New Roman" w:hAnsi="Times New Roman" w:cs="Times New Roman"/>
          <w:i/>
          <w:sz w:val="24"/>
          <w:szCs w:val="24"/>
        </w:rPr>
        <w:t>e</w:t>
      </w:r>
      <w:r w:rsidR="00D04182">
        <w:rPr>
          <w:rFonts w:ascii="Times New Roman" w:hAnsi="Times New Roman" w:cs="Times New Roman"/>
          <w:i/>
          <w:sz w:val="24"/>
          <w:szCs w:val="24"/>
        </w:rPr>
        <w:t xml:space="preserve">ntitatea a </w:t>
      </w:r>
      <w:r w:rsidR="00AC02E5" w:rsidRPr="004D2FF7">
        <w:rPr>
          <w:rFonts w:ascii="Times New Roman" w:hAnsi="Times New Roman" w:cs="Times New Roman"/>
          <w:i/>
          <w:sz w:val="24"/>
          <w:szCs w:val="24"/>
        </w:rPr>
        <w:t>reparat</w:t>
      </w:r>
      <w:r w:rsidR="00D04182">
        <w:rPr>
          <w:rFonts w:ascii="Times New Roman" w:hAnsi="Times New Roman" w:cs="Times New Roman"/>
          <w:i/>
          <w:sz w:val="24"/>
          <w:szCs w:val="24"/>
        </w:rPr>
        <w:t xml:space="preserve"> cele</w:t>
      </w:r>
      <w:r w:rsidR="00AC02E5" w:rsidRPr="004D2FF7">
        <w:rPr>
          <w:rFonts w:ascii="Times New Roman" w:hAnsi="Times New Roman" w:cs="Times New Roman"/>
          <w:i/>
          <w:sz w:val="24"/>
          <w:szCs w:val="24"/>
        </w:rPr>
        <w:t xml:space="preserve"> </w:t>
      </w:r>
      <w:r w:rsidR="00AC02E5" w:rsidRPr="004D2FF7">
        <w:rPr>
          <w:rFonts w:ascii="Times New Roman" w:hAnsi="Times New Roman" w:cs="Times New Roman"/>
          <w:i/>
          <w:sz w:val="24"/>
          <w:szCs w:val="24"/>
          <w:lang w:val="ro-RO"/>
        </w:rPr>
        <w:t xml:space="preserve">2 autoturisme de serviciu implicate în accidente rutiere </w:t>
      </w:r>
      <w:r>
        <w:rPr>
          <w:rFonts w:ascii="Times New Roman" w:hAnsi="Times New Roman" w:cs="Times New Roman"/>
          <w:i/>
          <w:sz w:val="24"/>
          <w:szCs w:val="24"/>
          <w:lang w:val="ro-RO"/>
        </w:rPr>
        <w:t xml:space="preserve">în perioada </w:t>
      </w:r>
      <w:r w:rsidR="00B06F0D">
        <w:rPr>
          <w:rFonts w:ascii="Times New Roman" w:hAnsi="Times New Roman" w:cs="Times New Roman"/>
          <w:i/>
          <w:sz w:val="24"/>
          <w:szCs w:val="24"/>
          <w:lang w:val="ro-RO"/>
        </w:rPr>
        <w:t>desfășurării</w:t>
      </w:r>
      <w:r w:rsidR="00AC02E5" w:rsidRPr="004D2FF7">
        <w:rPr>
          <w:rFonts w:ascii="Times New Roman" w:hAnsi="Times New Roman" w:cs="Times New Roman"/>
          <w:i/>
          <w:sz w:val="24"/>
          <w:szCs w:val="24"/>
          <w:lang w:val="ro-RO"/>
        </w:rPr>
        <w:t xml:space="preserve"> auditului. </w:t>
      </w:r>
    </w:p>
    <w:p w14:paraId="3CFFF6B5" w14:textId="77777777" w:rsidR="00861944" w:rsidRPr="004D2FF7" w:rsidRDefault="00861944" w:rsidP="00861944">
      <w:pPr>
        <w:pStyle w:val="ListParagraph"/>
        <w:tabs>
          <w:tab w:val="left" w:pos="284"/>
        </w:tabs>
        <w:spacing w:after="0" w:line="240" w:lineRule="auto"/>
        <w:ind w:left="360"/>
        <w:jc w:val="both"/>
        <w:rPr>
          <w:rFonts w:ascii="Times New Roman" w:hAnsi="Times New Roman" w:cs="Times New Roman"/>
          <w:color w:val="000000" w:themeColor="text1"/>
          <w:sz w:val="24"/>
          <w:szCs w:val="24"/>
        </w:rPr>
      </w:pPr>
    </w:p>
    <w:p w14:paraId="42A85319" w14:textId="77777777" w:rsidR="00817F46" w:rsidRPr="00A6623F" w:rsidRDefault="009E06DA" w:rsidP="00151111">
      <w:pPr>
        <w:pStyle w:val="Heading2"/>
        <w:numPr>
          <w:ilvl w:val="1"/>
          <w:numId w:val="29"/>
        </w:numPr>
        <w:tabs>
          <w:tab w:val="left" w:pos="567"/>
        </w:tabs>
        <w:spacing w:after="120" w:line="276" w:lineRule="auto"/>
        <w:ind w:left="0" w:firstLine="0"/>
        <w:jc w:val="both"/>
        <w:rPr>
          <w:rFonts w:ascii="Times New Roman" w:eastAsia="Times New Roman" w:hAnsi="Times New Roman" w:cs="Times New Roman"/>
          <w:b/>
          <w:color w:val="auto"/>
          <w:sz w:val="28"/>
          <w:szCs w:val="28"/>
        </w:rPr>
      </w:pPr>
      <w:bookmarkStart w:id="36" w:name="_Toc157776098"/>
      <w:r w:rsidRPr="00A6623F">
        <w:rPr>
          <w:rFonts w:ascii="Times New Roman" w:eastAsia="Times New Roman" w:hAnsi="Times New Roman" w:cs="Times New Roman"/>
          <w:b/>
          <w:color w:val="auto"/>
          <w:sz w:val="28"/>
          <w:szCs w:val="28"/>
        </w:rPr>
        <w:t>CNPDCP</w:t>
      </w:r>
      <w:r w:rsidR="00F92F85" w:rsidRPr="00A6623F">
        <w:rPr>
          <w:rFonts w:ascii="Times New Roman" w:eastAsia="Times New Roman" w:hAnsi="Times New Roman" w:cs="Times New Roman"/>
          <w:b/>
          <w:color w:val="auto"/>
          <w:sz w:val="28"/>
          <w:szCs w:val="28"/>
        </w:rPr>
        <w:t xml:space="preserve"> a asigurat un management prudent și conformat rigorilor privind gestionarea patrimoniului entității</w:t>
      </w:r>
      <w:r w:rsidR="006049D5" w:rsidRPr="00A6623F">
        <w:rPr>
          <w:rFonts w:ascii="Times New Roman" w:eastAsia="Times New Roman" w:hAnsi="Times New Roman" w:cs="Times New Roman"/>
          <w:b/>
          <w:color w:val="auto"/>
          <w:sz w:val="28"/>
          <w:szCs w:val="28"/>
        </w:rPr>
        <w:t>?</w:t>
      </w:r>
      <w:bookmarkEnd w:id="36"/>
    </w:p>
    <w:p w14:paraId="4E88BBA6" w14:textId="57FF6FB0" w:rsidR="004243E8" w:rsidRPr="004D639E" w:rsidRDefault="005B1387" w:rsidP="003A7894">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4"/>
          <w:szCs w:val="24"/>
        </w:rPr>
      </w:pPr>
      <w:r>
        <w:rPr>
          <w:rFonts w:ascii="Times New Roman" w:hAnsi="Times New Roman" w:cs="Times New Roman"/>
          <w:i/>
          <w:sz w:val="24"/>
          <w:szCs w:val="24"/>
        </w:rPr>
        <w:t>S</w:t>
      </w:r>
      <w:r w:rsidR="00997FD2">
        <w:rPr>
          <w:rFonts w:ascii="Times New Roman" w:hAnsi="Times New Roman" w:cs="Times New Roman"/>
          <w:i/>
          <w:sz w:val="24"/>
          <w:szCs w:val="24"/>
        </w:rPr>
        <w:t>-</w:t>
      </w:r>
      <w:r>
        <w:rPr>
          <w:rFonts w:ascii="Times New Roman" w:hAnsi="Times New Roman" w:cs="Times New Roman"/>
          <w:i/>
          <w:sz w:val="24"/>
          <w:szCs w:val="24"/>
        </w:rPr>
        <w:t xml:space="preserve">au </w:t>
      </w:r>
      <w:r w:rsidR="004243E8" w:rsidRPr="004D639E">
        <w:rPr>
          <w:rFonts w:ascii="Times New Roman" w:hAnsi="Times New Roman" w:cs="Times New Roman"/>
          <w:i/>
          <w:sz w:val="24"/>
          <w:szCs w:val="24"/>
        </w:rPr>
        <w:t xml:space="preserve">constatat nereguli și abateri care afectează administrarea judicioasă a patrimoniului public, </w:t>
      </w:r>
      <w:r w:rsidRPr="004D639E">
        <w:rPr>
          <w:rFonts w:ascii="Times New Roman" w:hAnsi="Times New Roman" w:cs="Times New Roman"/>
          <w:i/>
          <w:sz w:val="24"/>
          <w:szCs w:val="24"/>
        </w:rPr>
        <w:t>exprim</w:t>
      </w:r>
      <w:r w:rsidR="00997FD2">
        <w:rPr>
          <w:rFonts w:ascii="Times New Roman" w:hAnsi="Times New Roman" w:cs="Times New Roman"/>
          <w:i/>
          <w:sz w:val="24"/>
          <w:szCs w:val="24"/>
        </w:rPr>
        <w:t>ate</w:t>
      </w:r>
      <w:r w:rsidR="004243E8" w:rsidRPr="004D639E">
        <w:rPr>
          <w:rFonts w:ascii="Times New Roman" w:hAnsi="Times New Roman" w:cs="Times New Roman"/>
          <w:i/>
          <w:sz w:val="24"/>
          <w:szCs w:val="24"/>
        </w:rPr>
        <w:t xml:space="preserve"> prin: neefectuarea regulamentară a inventarierii tuturor bunurilor aflate în gestiune; </w:t>
      </w:r>
      <w:r w:rsidR="00200474" w:rsidRPr="004D639E">
        <w:rPr>
          <w:rFonts w:ascii="Times New Roman" w:hAnsi="Times New Roman" w:cs="Times New Roman"/>
          <w:i/>
          <w:sz w:val="24"/>
          <w:szCs w:val="24"/>
          <w:lang w:val="ro-RO"/>
        </w:rPr>
        <w:t>cas</w:t>
      </w:r>
      <w:r w:rsidR="00C42043" w:rsidRPr="004D639E">
        <w:rPr>
          <w:rFonts w:ascii="Times New Roman" w:hAnsi="Times New Roman" w:cs="Times New Roman"/>
          <w:i/>
          <w:sz w:val="24"/>
          <w:szCs w:val="24"/>
          <w:lang w:val="ro-RO"/>
        </w:rPr>
        <w:t>area</w:t>
      </w:r>
      <w:r w:rsidR="00200474" w:rsidRPr="004D639E">
        <w:rPr>
          <w:rFonts w:ascii="Times New Roman" w:hAnsi="Times New Roman" w:cs="Times New Roman"/>
          <w:i/>
          <w:sz w:val="24"/>
          <w:szCs w:val="24"/>
          <w:lang w:val="ro-RO"/>
        </w:rPr>
        <w:t xml:space="preserve"> întârziat</w:t>
      </w:r>
      <w:r w:rsidR="00C42043" w:rsidRPr="004D639E">
        <w:rPr>
          <w:rFonts w:ascii="Times New Roman" w:hAnsi="Times New Roman" w:cs="Times New Roman"/>
          <w:i/>
          <w:sz w:val="24"/>
          <w:szCs w:val="24"/>
          <w:lang w:val="ro-RO"/>
        </w:rPr>
        <w:t>ă</w:t>
      </w:r>
      <w:r w:rsidR="00200474" w:rsidRPr="004D639E">
        <w:rPr>
          <w:rFonts w:ascii="Times New Roman" w:hAnsi="Times New Roman" w:cs="Times New Roman"/>
          <w:i/>
          <w:sz w:val="24"/>
          <w:szCs w:val="24"/>
          <w:lang w:val="ro-RO"/>
        </w:rPr>
        <w:t xml:space="preserve"> a materialelor eliberate de la depozit</w:t>
      </w:r>
      <w:r w:rsidR="00C42043" w:rsidRPr="004D639E">
        <w:rPr>
          <w:rFonts w:ascii="Times New Roman" w:hAnsi="Times New Roman" w:cs="Times New Roman"/>
          <w:i/>
          <w:sz w:val="24"/>
          <w:szCs w:val="24"/>
          <w:lang w:val="ro-RO"/>
        </w:rPr>
        <w:t xml:space="preserve"> a condiționat supraevaluarea</w:t>
      </w:r>
      <w:r w:rsidR="00200474" w:rsidRPr="004D639E">
        <w:rPr>
          <w:rFonts w:ascii="Times New Roman" w:hAnsi="Times New Roman" w:cs="Times New Roman"/>
          <w:i/>
          <w:sz w:val="24"/>
          <w:szCs w:val="24"/>
        </w:rPr>
        <w:t xml:space="preserve"> </w:t>
      </w:r>
      <w:r w:rsidR="00C42043" w:rsidRPr="004D639E">
        <w:rPr>
          <w:rFonts w:ascii="Times New Roman" w:hAnsi="Times New Roman" w:cs="Times New Roman"/>
          <w:i/>
          <w:sz w:val="24"/>
          <w:szCs w:val="24"/>
        </w:rPr>
        <w:t>stocurilor</w:t>
      </w:r>
      <w:r w:rsidR="00200474" w:rsidRPr="004D639E">
        <w:rPr>
          <w:rFonts w:ascii="Times New Roman" w:hAnsi="Times New Roman" w:cs="Times New Roman"/>
          <w:i/>
          <w:sz w:val="24"/>
          <w:szCs w:val="24"/>
        </w:rPr>
        <w:t xml:space="preserve"> de materiale circulante aflate în gestiune la situația din 31.12.2022 </w:t>
      </w:r>
      <w:r w:rsidR="00200474" w:rsidRPr="004D639E">
        <w:rPr>
          <w:rFonts w:ascii="Times New Roman" w:hAnsi="Times New Roman" w:cs="Times New Roman"/>
          <w:i/>
          <w:sz w:val="24"/>
          <w:szCs w:val="24"/>
          <w:lang w:val="ro-RO"/>
        </w:rPr>
        <w:t>cu suma de 313,1 mii lei</w:t>
      </w:r>
      <w:r w:rsidR="00997FD2">
        <w:rPr>
          <w:rFonts w:ascii="Times New Roman" w:hAnsi="Times New Roman" w:cs="Times New Roman"/>
          <w:i/>
          <w:sz w:val="24"/>
          <w:szCs w:val="24"/>
          <w:lang w:val="ro-RO"/>
        </w:rPr>
        <w:t>,</w:t>
      </w:r>
      <w:r w:rsidR="00200474" w:rsidRPr="004D639E">
        <w:rPr>
          <w:rFonts w:ascii="Times New Roman" w:hAnsi="Times New Roman" w:cs="Times New Roman"/>
          <w:i/>
          <w:sz w:val="24"/>
          <w:szCs w:val="24"/>
          <w:lang w:val="ro-RO"/>
        </w:rPr>
        <w:t xml:space="preserve"> sau 47,2% din valoarea totală a stocurilor raportate</w:t>
      </w:r>
      <w:r w:rsidR="00C42043" w:rsidRPr="004D639E">
        <w:rPr>
          <w:rFonts w:ascii="Times New Roman" w:hAnsi="Times New Roman" w:cs="Times New Roman"/>
          <w:i/>
          <w:sz w:val="24"/>
          <w:szCs w:val="24"/>
          <w:lang w:val="ro-RO"/>
        </w:rPr>
        <w:t xml:space="preserve"> (663,5 mii lei)</w:t>
      </w:r>
      <w:r w:rsidR="00200474" w:rsidRPr="004D639E">
        <w:rPr>
          <w:rFonts w:ascii="Times New Roman" w:hAnsi="Times New Roman" w:cs="Times New Roman"/>
          <w:i/>
          <w:sz w:val="24"/>
          <w:szCs w:val="24"/>
          <w:lang w:val="ro-RO"/>
        </w:rPr>
        <w:t>;</w:t>
      </w:r>
      <w:r w:rsidR="003A7894" w:rsidRPr="004D639E">
        <w:rPr>
          <w:rFonts w:ascii="Times New Roman" w:hAnsi="Times New Roman" w:cs="Times New Roman"/>
          <w:i/>
          <w:sz w:val="24"/>
          <w:szCs w:val="24"/>
          <w:lang w:val="ro-RO"/>
        </w:rPr>
        <w:t xml:space="preserve"> </w:t>
      </w:r>
      <w:r w:rsidR="003A7894" w:rsidRPr="004D639E">
        <w:rPr>
          <w:rFonts w:ascii="Times New Roman" w:hAnsi="Times New Roman" w:cs="Times New Roman"/>
          <w:i/>
          <w:color w:val="000000" w:themeColor="text1"/>
          <w:sz w:val="24"/>
          <w:szCs w:val="24"/>
          <w:lang w:val="ro-RO"/>
        </w:rPr>
        <w:t>nu a fost calculată regulamentar uzura/amortizarea pentru 251 de mijloace fixe/active nemateriale la valoarea de intrare în sumă de 575,6 mii lei, fiind diminuate cheltuielile perioadei cu suma de 575,6 mii lei</w:t>
      </w:r>
      <w:r w:rsidR="000B4FE1">
        <w:rPr>
          <w:rFonts w:ascii="Times New Roman" w:hAnsi="Times New Roman" w:cs="Times New Roman"/>
          <w:i/>
          <w:color w:val="000000" w:themeColor="text1"/>
          <w:sz w:val="24"/>
          <w:szCs w:val="24"/>
          <w:lang w:val="ro-RO"/>
        </w:rPr>
        <w:t>,</w:t>
      </w:r>
      <w:r w:rsidR="000B4FE1" w:rsidRPr="000B4FE1">
        <w:rPr>
          <w:rFonts w:ascii="Times New Roman" w:hAnsi="Times New Roman" w:cs="Times New Roman"/>
          <w:i/>
          <w:color w:val="000000" w:themeColor="text1"/>
          <w:sz w:val="24"/>
          <w:szCs w:val="24"/>
          <w:lang w:val="ro-RO"/>
        </w:rPr>
        <w:t xml:space="preserve"> </w:t>
      </w:r>
      <w:r w:rsidR="000B4FE1" w:rsidRPr="00D36DE2">
        <w:rPr>
          <w:rFonts w:ascii="Times New Roman" w:hAnsi="Times New Roman" w:cs="Times New Roman"/>
          <w:i/>
          <w:color w:val="000000" w:themeColor="text1"/>
          <w:sz w:val="24"/>
          <w:szCs w:val="24"/>
          <w:lang w:val="ro-RO"/>
        </w:rPr>
        <w:t xml:space="preserve">având impact asupra rezultatului financiar; </w:t>
      </w:r>
      <w:r w:rsidR="001F790B" w:rsidRPr="004D639E">
        <w:rPr>
          <w:rFonts w:ascii="Times New Roman" w:hAnsi="Times New Roman" w:cs="Times New Roman"/>
          <w:i/>
          <w:color w:val="000000" w:themeColor="text1"/>
          <w:sz w:val="24"/>
          <w:szCs w:val="24"/>
          <w:lang w:val="ro-RO"/>
        </w:rPr>
        <w:t xml:space="preserve">atribuirea </w:t>
      </w:r>
      <w:r w:rsidR="001F790B" w:rsidRPr="004D639E">
        <w:rPr>
          <w:rFonts w:ascii="Times New Roman" w:hAnsi="Times New Roman" w:cs="Times New Roman"/>
          <w:i/>
          <w:sz w:val="24"/>
          <w:szCs w:val="24"/>
          <w:lang w:val="ro-RO"/>
        </w:rPr>
        <w:t xml:space="preserve">bunuri materiale în sumă de 159,3 mii lei </w:t>
      </w:r>
      <w:r w:rsidR="003A7894" w:rsidRPr="004D639E">
        <w:rPr>
          <w:rFonts w:ascii="Times New Roman" w:hAnsi="Times New Roman" w:cs="Times New Roman"/>
          <w:i/>
          <w:sz w:val="24"/>
          <w:szCs w:val="24"/>
          <w:lang w:val="ro-RO"/>
        </w:rPr>
        <w:t xml:space="preserve">la subclasa 31 </w:t>
      </w:r>
      <w:r w:rsidR="003A7894" w:rsidRPr="004D639E">
        <w:rPr>
          <w:rFonts w:ascii="Times New Roman" w:hAnsi="Times New Roman" w:cs="Times New Roman"/>
          <w:i/>
          <w:sz w:val="24"/>
          <w:szCs w:val="24"/>
        </w:rPr>
        <w:t>„</w:t>
      </w:r>
      <w:r w:rsidR="003A7894" w:rsidRPr="004D639E">
        <w:rPr>
          <w:rFonts w:ascii="Times New Roman" w:hAnsi="Times New Roman" w:cs="Times New Roman"/>
          <w:i/>
          <w:sz w:val="24"/>
          <w:szCs w:val="24"/>
          <w:lang w:val="ro-RO"/>
        </w:rPr>
        <w:t>Mijloace fixe”, care regulamentar urmau a fi contabilizate la subclasa 33 „St</w:t>
      </w:r>
      <w:r w:rsidR="00B572BA" w:rsidRPr="004D639E">
        <w:rPr>
          <w:rFonts w:ascii="Times New Roman" w:hAnsi="Times New Roman" w:cs="Times New Roman"/>
          <w:i/>
          <w:sz w:val="24"/>
          <w:szCs w:val="24"/>
          <w:lang w:val="ro-RO"/>
        </w:rPr>
        <w:t xml:space="preserve">ocuri de materiale circulante”; lipsa adoptării unui cadru normativ nou privind protecția datelor cu caracter personal, precum și în lipsa unei Strategii de dezvoltare au generat cheltuieli bugetare ineficiente/suplimentare în legătură cu administrarea și ulterior lichidarea </w:t>
      </w:r>
      <w:r w:rsidR="00506159">
        <w:rPr>
          <w:rFonts w:ascii="Times New Roman" w:hAnsi="Times New Roman" w:cs="Times New Roman"/>
          <w:i/>
          <w:sz w:val="24"/>
          <w:szCs w:val="24"/>
          <w:lang w:val="ro-RO"/>
        </w:rPr>
        <w:t xml:space="preserve">SIA REODCP </w:t>
      </w:r>
      <w:r w:rsidR="002D044F">
        <w:rPr>
          <w:rFonts w:ascii="Times New Roman" w:hAnsi="Times New Roman" w:cs="Times New Roman"/>
          <w:i/>
          <w:sz w:val="24"/>
          <w:szCs w:val="24"/>
          <w:lang w:val="ro-RO"/>
        </w:rPr>
        <w:t>(</w:t>
      </w:r>
      <w:r w:rsidR="002D044F" w:rsidRPr="004D639E">
        <w:rPr>
          <w:rFonts w:ascii="Times New Roman" w:hAnsi="Times New Roman" w:cs="Times New Roman"/>
          <w:i/>
          <w:sz w:val="24"/>
          <w:szCs w:val="24"/>
        </w:rPr>
        <w:t>984,8</w:t>
      </w:r>
      <w:r w:rsidR="002D044F" w:rsidRPr="004D639E">
        <w:rPr>
          <w:rFonts w:ascii="Times New Roman" w:hAnsi="Times New Roman" w:cs="Times New Roman"/>
          <w:i/>
          <w:sz w:val="24"/>
          <w:szCs w:val="24"/>
          <w:lang w:val="ro-RO"/>
        </w:rPr>
        <w:t xml:space="preserve"> mii lei</w:t>
      </w:r>
      <w:r w:rsidR="002D044F">
        <w:rPr>
          <w:rFonts w:ascii="Times New Roman" w:hAnsi="Times New Roman" w:cs="Times New Roman"/>
          <w:i/>
          <w:sz w:val="24"/>
          <w:szCs w:val="24"/>
          <w:lang w:val="ro-RO"/>
        </w:rPr>
        <w:t>)</w:t>
      </w:r>
      <w:r w:rsidR="00B572BA" w:rsidRPr="004D639E">
        <w:rPr>
          <w:rFonts w:ascii="Times New Roman" w:hAnsi="Times New Roman" w:cs="Times New Roman"/>
          <w:i/>
          <w:sz w:val="24"/>
          <w:szCs w:val="24"/>
          <w:lang w:val="ro-RO"/>
        </w:rPr>
        <w:t xml:space="preserve">. </w:t>
      </w:r>
    </w:p>
    <w:p w14:paraId="6E93B9C6" w14:textId="4CBCCDC9" w:rsidR="006049D5" w:rsidRPr="004D2FF7" w:rsidRDefault="005F63DC" w:rsidP="00ED5A00">
      <w:pPr>
        <w:pStyle w:val="Heading3"/>
        <w:numPr>
          <w:ilvl w:val="2"/>
          <w:numId w:val="16"/>
        </w:numPr>
        <w:tabs>
          <w:tab w:val="left" w:pos="0"/>
          <w:tab w:val="left" w:pos="284"/>
          <w:tab w:val="left" w:pos="630"/>
        </w:tabs>
        <w:spacing w:before="240" w:after="120" w:line="276" w:lineRule="auto"/>
        <w:ind w:left="0" w:firstLine="142"/>
        <w:jc w:val="both"/>
        <w:rPr>
          <w:rFonts w:ascii="Times New Roman" w:hAnsi="Times New Roman" w:cs="Times New Roman"/>
          <w:i/>
          <w:color w:val="2E74B5" w:themeColor="accent1" w:themeShade="BF"/>
        </w:rPr>
      </w:pPr>
      <w:bookmarkStart w:id="37" w:name="_Toc157776099"/>
      <w:r w:rsidRPr="004D2FF7">
        <w:rPr>
          <w:rFonts w:ascii="Times New Roman" w:hAnsi="Times New Roman" w:cs="Times New Roman"/>
          <w:b/>
          <w:i/>
          <w:color w:val="2E74B5" w:themeColor="accent1" w:themeShade="BF"/>
        </w:rPr>
        <w:t>Este</w:t>
      </w:r>
      <w:r w:rsidR="006049D5" w:rsidRPr="004D2FF7">
        <w:rPr>
          <w:rFonts w:ascii="Times New Roman" w:hAnsi="Times New Roman" w:cs="Times New Roman"/>
          <w:b/>
          <w:i/>
          <w:color w:val="2E74B5" w:themeColor="accent1" w:themeShade="BF"/>
        </w:rPr>
        <w:t xml:space="preserve"> </w:t>
      </w:r>
      <w:r w:rsidR="000E050C" w:rsidRPr="004D2FF7">
        <w:rPr>
          <w:rFonts w:ascii="Times New Roman" w:hAnsi="Times New Roman" w:cs="Times New Roman"/>
          <w:b/>
          <w:i/>
          <w:color w:val="2E74B5" w:themeColor="accent1" w:themeShade="BF"/>
        </w:rPr>
        <w:t>neces</w:t>
      </w:r>
      <w:r w:rsidRPr="004D2FF7">
        <w:rPr>
          <w:rFonts w:ascii="Times New Roman" w:hAnsi="Times New Roman" w:cs="Times New Roman"/>
          <w:b/>
          <w:i/>
          <w:color w:val="2E74B5" w:themeColor="accent1" w:themeShade="BF"/>
        </w:rPr>
        <w:t>ar</w:t>
      </w:r>
      <w:r w:rsidR="000E050C" w:rsidRPr="004D2FF7">
        <w:rPr>
          <w:rFonts w:ascii="Times New Roman" w:hAnsi="Times New Roman" w:cs="Times New Roman"/>
          <w:b/>
          <w:i/>
          <w:color w:val="2E74B5" w:themeColor="accent1" w:themeShade="BF"/>
        </w:rPr>
        <w:t>ă îmbunătățirea activităților aferente monitoringului</w:t>
      </w:r>
      <w:r w:rsidR="006049D5" w:rsidRPr="004D2FF7">
        <w:rPr>
          <w:rFonts w:ascii="Times New Roman" w:hAnsi="Times New Roman" w:cs="Times New Roman"/>
          <w:b/>
          <w:i/>
          <w:color w:val="2E74B5" w:themeColor="accent1" w:themeShade="BF"/>
        </w:rPr>
        <w:t xml:space="preserve"> economico-financiar </w:t>
      </w:r>
      <w:r w:rsidR="00015043" w:rsidRPr="004D2FF7">
        <w:rPr>
          <w:rFonts w:ascii="Times New Roman" w:hAnsi="Times New Roman" w:cs="Times New Roman"/>
          <w:b/>
          <w:i/>
          <w:color w:val="2E74B5" w:themeColor="accent1" w:themeShade="BF"/>
        </w:rPr>
        <w:t>a</w:t>
      </w:r>
      <w:r w:rsidRPr="004D2FF7">
        <w:rPr>
          <w:rFonts w:ascii="Times New Roman" w:hAnsi="Times New Roman" w:cs="Times New Roman"/>
          <w:b/>
          <w:i/>
          <w:color w:val="2E74B5" w:themeColor="accent1" w:themeShade="BF"/>
        </w:rPr>
        <w:t xml:space="preserve">l </w:t>
      </w:r>
      <w:r w:rsidR="00015043" w:rsidRPr="004D2FF7">
        <w:rPr>
          <w:rFonts w:ascii="Times New Roman" w:hAnsi="Times New Roman" w:cs="Times New Roman"/>
          <w:b/>
          <w:i/>
          <w:color w:val="2E74B5" w:themeColor="accent1" w:themeShade="BF"/>
        </w:rPr>
        <w:t xml:space="preserve"> </w:t>
      </w:r>
      <w:r w:rsidR="006049D5" w:rsidRPr="004D2FF7">
        <w:rPr>
          <w:rFonts w:ascii="Times New Roman" w:hAnsi="Times New Roman" w:cs="Times New Roman"/>
          <w:b/>
          <w:i/>
          <w:color w:val="2E74B5" w:themeColor="accent1" w:themeShade="BF"/>
        </w:rPr>
        <w:t>patrimoniul</w:t>
      </w:r>
      <w:r w:rsidR="00015043" w:rsidRPr="004D2FF7">
        <w:rPr>
          <w:rFonts w:ascii="Times New Roman" w:hAnsi="Times New Roman" w:cs="Times New Roman"/>
          <w:b/>
          <w:i/>
          <w:color w:val="2E74B5" w:themeColor="accent1" w:themeShade="BF"/>
        </w:rPr>
        <w:t>ui</w:t>
      </w:r>
      <w:r w:rsidR="006049D5" w:rsidRPr="004D2FF7">
        <w:rPr>
          <w:rFonts w:ascii="Times New Roman" w:hAnsi="Times New Roman" w:cs="Times New Roman"/>
          <w:b/>
          <w:i/>
          <w:color w:val="2E74B5" w:themeColor="accent1" w:themeShade="BF"/>
        </w:rPr>
        <w:t xml:space="preserve"> aflat în administrarea instituției</w:t>
      </w:r>
      <w:r w:rsidR="00997FD2">
        <w:rPr>
          <w:rFonts w:ascii="Times New Roman" w:hAnsi="Times New Roman" w:cs="Times New Roman"/>
          <w:b/>
          <w:i/>
          <w:color w:val="2E74B5" w:themeColor="accent1" w:themeShade="BF"/>
        </w:rPr>
        <w:t>.</w:t>
      </w:r>
      <w:bookmarkEnd w:id="37"/>
    </w:p>
    <w:p w14:paraId="344AE567" w14:textId="788BCE90" w:rsidR="00FB104C" w:rsidRPr="004D2FF7" w:rsidRDefault="006049D5" w:rsidP="009114F1">
      <w:pPr>
        <w:tabs>
          <w:tab w:val="left" w:pos="284"/>
        </w:tabs>
        <w:spacing w:after="80" w:line="276" w:lineRule="auto"/>
        <w:jc w:val="both"/>
        <w:rPr>
          <w:rFonts w:ascii="Times New Roman" w:eastAsia="Times New Roman" w:hAnsi="Times New Roman" w:cs="Times New Roman"/>
          <w:sz w:val="24"/>
          <w:szCs w:val="24"/>
          <w:lang w:eastAsia="ru-RU"/>
        </w:rPr>
      </w:pPr>
      <w:r w:rsidRPr="004D2FF7">
        <w:rPr>
          <w:rFonts w:ascii="Times New Roman" w:hAnsi="Times New Roman" w:cs="Times New Roman"/>
          <w:sz w:val="24"/>
          <w:szCs w:val="24"/>
        </w:rPr>
        <w:t xml:space="preserve">Verificările de audit au relevat că, </w:t>
      </w:r>
      <w:r w:rsidR="005F63DC" w:rsidRPr="004D2FF7">
        <w:rPr>
          <w:rFonts w:ascii="Times New Roman" w:hAnsi="Times New Roman" w:cs="Times New Roman"/>
          <w:sz w:val="24"/>
          <w:szCs w:val="24"/>
        </w:rPr>
        <w:t>potrivit</w:t>
      </w:r>
      <w:r w:rsidRPr="004D2FF7">
        <w:rPr>
          <w:rFonts w:ascii="Times New Roman" w:hAnsi="Times New Roman" w:cs="Times New Roman"/>
          <w:sz w:val="24"/>
          <w:szCs w:val="24"/>
        </w:rPr>
        <w:t xml:space="preserve"> datelor evidenței contabile, </w:t>
      </w:r>
      <w:r w:rsidR="00E94191" w:rsidRPr="004D2FF7">
        <w:rPr>
          <w:rFonts w:ascii="Times New Roman" w:hAnsi="Times New Roman" w:cs="Times New Roman"/>
          <w:sz w:val="24"/>
          <w:szCs w:val="24"/>
        </w:rPr>
        <w:t>CNPDCP nu</w:t>
      </w:r>
      <w:r w:rsidRPr="004D2FF7">
        <w:rPr>
          <w:rFonts w:ascii="Times New Roman" w:hAnsi="Times New Roman" w:cs="Times New Roman"/>
          <w:sz w:val="24"/>
          <w:szCs w:val="24"/>
        </w:rPr>
        <w:t xml:space="preserve"> are înregistrate imobile</w:t>
      </w:r>
      <w:r w:rsidR="00E94191" w:rsidRPr="004D2FF7">
        <w:rPr>
          <w:rFonts w:ascii="Times New Roman" w:hAnsi="Times New Roman" w:cs="Times New Roman"/>
          <w:sz w:val="24"/>
          <w:szCs w:val="24"/>
        </w:rPr>
        <w:t xml:space="preserve"> și terenuri care ar </w:t>
      </w:r>
      <w:r w:rsidRPr="004D2FF7">
        <w:rPr>
          <w:rFonts w:ascii="Times New Roman" w:hAnsi="Times New Roman" w:cs="Times New Roman"/>
          <w:sz w:val="24"/>
          <w:szCs w:val="24"/>
        </w:rPr>
        <w:t>aparțin</w:t>
      </w:r>
      <w:r w:rsidR="00E94191" w:rsidRPr="004D2FF7">
        <w:rPr>
          <w:rFonts w:ascii="Times New Roman" w:hAnsi="Times New Roman" w:cs="Times New Roman"/>
          <w:sz w:val="24"/>
          <w:szCs w:val="24"/>
        </w:rPr>
        <w:t>e</w:t>
      </w:r>
      <w:r w:rsidRPr="004D2FF7">
        <w:rPr>
          <w:rFonts w:ascii="Times New Roman" w:hAnsi="Times New Roman" w:cs="Times New Roman"/>
          <w:sz w:val="24"/>
          <w:szCs w:val="24"/>
        </w:rPr>
        <w:t xml:space="preserve"> instituției. </w:t>
      </w:r>
      <w:r w:rsidR="009069B5" w:rsidRPr="004D2FF7">
        <w:rPr>
          <w:rFonts w:ascii="Times New Roman" w:hAnsi="Times New Roman" w:cs="Times New Roman"/>
          <w:sz w:val="24"/>
          <w:szCs w:val="24"/>
        </w:rPr>
        <w:t>CNPDCP a încheiat un contract de comodat</w:t>
      </w:r>
      <w:r w:rsidR="009069B5" w:rsidRPr="004D2FF7">
        <w:rPr>
          <w:rStyle w:val="FootnoteReference"/>
          <w:rFonts w:ascii="Times New Roman" w:hAnsi="Times New Roman" w:cs="Times New Roman"/>
          <w:sz w:val="24"/>
          <w:szCs w:val="24"/>
        </w:rPr>
        <w:footnoteReference w:id="140"/>
      </w:r>
      <w:r w:rsidR="009069B5" w:rsidRPr="004D2FF7">
        <w:rPr>
          <w:rFonts w:ascii="Times New Roman" w:hAnsi="Times New Roman" w:cs="Times New Roman"/>
          <w:sz w:val="24"/>
          <w:szCs w:val="24"/>
        </w:rPr>
        <w:t xml:space="preserve"> cu Instituția </w:t>
      </w:r>
      <w:r w:rsidR="00D5743F" w:rsidRPr="004D2FF7">
        <w:rPr>
          <w:rFonts w:ascii="Times New Roman" w:hAnsi="Times New Roman" w:cs="Times New Roman"/>
          <w:sz w:val="24"/>
          <w:szCs w:val="24"/>
        </w:rPr>
        <w:t>P</w:t>
      </w:r>
      <w:r w:rsidR="009069B5" w:rsidRPr="004D2FF7">
        <w:rPr>
          <w:rFonts w:ascii="Times New Roman" w:hAnsi="Times New Roman" w:cs="Times New Roman"/>
          <w:sz w:val="24"/>
          <w:szCs w:val="24"/>
        </w:rPr>
        <w:t xml:space="preserve">ublică „Direcția </w:t>
      </w:r>
      <w:r w:rsidR="00997FD2">
        <w:rPr>
          <w:rFonts w:ascii="Times New Roman" w:hAnsi="Times New Roman" w:cs="Times New Roman"/>
          <w:sz w:val="24"/>
          <w:szCs w:val="24"/>
        </w:rPr>
        <w:t>g</w:t>
      </w:r>
      <w:r w:rsidR="009069B5" w:rsidRPr="004D2FF7">
        <w:rPr>
          <w:rFonts w:ascii="Times New Roman" w:hAnsi="Times New Roman" w:cs="Times New Roman"/>
          <w:sz w:val="24"/>
          <w:szCs w:val="24"/>
        </w:rPr>
        <w:t>enerală pentru administrarea clădirilor Guvernului</w:t>
      </w:r>
      <w:r w:rsidR="00002174" w:rsidRPr="004D2FF7">
        <w:rPr>
          <w:rFonts w:ascii="Times New Roman" w:hAnsi="Times New Roman" w:cs="Times New Roman"/>
          <w:sz w:val="24"/>
          <w:szCs w:val="24"/>
        </w:rPr>
        <w:t>”</w:t>
      </w:r>
      <w:r w:rsidR="00997FD2">
        <w:rPr>
          <w:rFonts w:ascii="Times New Roman" w:hAnsi="Times New Roman" w:cs="Times New Roman"/>
          <w:sz w:val="24"/>
          <w:szCs w:val="24"/>
        </w:rPr>
        <w:t>,</w:t>
      </w:r>
      <w:r w:rsidR="009069B5" w:rsidRPr="004D2FF7">
        <w:rPr>
          <w:rFonts w:ascii="Times New Roman" w:hAnsi="Times New Roman" w:cs="Times New Roman"/>
          <w:sz w:val="24"/>
          <w:szCs w:val="24"/>
        </w:rPr>
        <w:t xml:space="preserve"> potrivit cărui</w:t>
      </w:r>
      <w:r w:rsidR="00997FD2">
        <w:rPr>
          <w:rFonts w:ascii="Times New Roman" w:hAnsi="Times New Roman" w:cs="Times New Roman"/>
          <w:sz w:val="24"/>
          <w:szCs w:val="24"/>
        </w:rPr>
        <w:t>a</w:t>
      </w:r>
      <w:r w:rsidR="009069B5" w:rsidRPr="004D2FF7">
        <w:rPr>
          <w:rFonts w:ascii="Times New Roman" w:hAnsi="Times New Roman" w:cs="Times New Roman"/>
          <w:sz w:val="24"/>
          <w:szCs w:val="24"/>
        </w:rPr>
        <w:t xml:space="preserve"> „Comodantul” a transmis „Comodatarului” în folosință temporară gratuită încăperi nelocuibile</w:t>
      </w:r>
      <w:r w:rsidR="00327710" w:rsidRPr="004D2FF7">
        <w:rPr>
          <w:rFonts w:ascii="Times New Roman" w:hAnsi="Times New Roman" w:cs="Times New Roman"/>
          <w:sz w:val="24"/>
          <w:szCs w:val="24"/>
        </w:rPr>
        <w:t xml:space="preserve"> din str. Serghei Lazo</w:t>
      </w:r>
      <w:r w:rsidR="00997FD2">
        <w:rPr>
          <w:rFonts w:ascii="Times New Roman" w:hAnsi="Times New Roman" w:cs="Times New Roman"/>
          <w:sz w:val="24"/>
          <w:szCs w:val="24"/>
        </w:rPr>
        <w:t xml:space="preserve"> nr.</w:t>
      </w:r>
      <w:r w:rsidR="00327710" w:rsidRPr="004D2FF7">
        <w:rPr>
          <w:rFonts w:ascii="Times New Roman" w:hAnsi="Times New Roman" w:cs="Times New Roman"/>
          <w:sz w:val="24"/>
          <w:szCs w:val="24"/>
        </w:rPr>
        <w:t xml:space="preserve"> 48</w:t>
      </w:r>
      <w:r w:rsidR="00997FD2">
        <w:rPr>
          <w:rFonts w:ascii="Times New Roman" w:hAnsi="Times New Roman" w:cs="Times New Roman"/>
          <w:sz w:val="24"/>
          <w:szCs w:val="24"/>
        </w:rPr>
        <w:t>,</w:t>
      </w:r>
      <w:r w:rsidR="009069B5" w:rsidRPr="004D2FF7">
        <w:rPr>
          <w:rFonts w:ascii="Times New Roman" w:hAnsi="Times New Roman" w:cs="Times New Roman"/>
          <w:sz w:val="24"/>
          <w:szCs w:val="24"/>
        </w:rPr>
        <w:t xml:space="preserve"> cu suprafața totală de 867,7 m</w:t>
      </w:r>
      <w:r w:rsidR="00E0583F" w:rsidRPr="004D2FF7">
        <w:rPr>
          <w:rFonts w:ascii="Times New Roman" w:hAnsi="Times New Roman" w:cs="Times New Roman"/>
          <w:sz w:val="24"/>
          <w:szCs w:val="24"/>
          <w:vertAlign w:val="superscript"/>
        </w:rPr>
        <w:t>2</w:t>
      </w:r>
      <w:r w:rsidR="00002174" w:rsidRPr="004D2FF7">
        <w:rPr>
          <w:rFonts w:ascii="Times New Roman" w:hAnsi="Times New Roman" w:cs="Times New Roman"/>
          <w:sz w:val="24"/>
          <w:szCs w:val="24"/>
        </w:rPr>
        <w:t>, inclusiv</w:t>
      </w:r>
      <w:r w:rsidR="009069B5" w:rsidRPr="004D2FF7">
        <w:rPr>
          <w:rFonts w:ascii="Times New Roman" w:hAnsi="Times New Roman" w:cs="Times New Roman"/>
          <w:sz w:val="24"/>
          <w:szCs w:val="24"/>
        </w:rPr>
        <w:t xml:space="preserve"> în scopul utilizării acestora ca oficii</w:t>
      </w:r>
      <w:r w:rsidR="009F18B1" w:rsidRPr="004D2FF7">
        <w:rPr>
          <w:rFonts w:ascii="Times New Roman" w:hAnsi="Times New Roman" w:cs="Times New Roman"/>
          <w:sz w:val="24"/>
          <w:szCs w:val="24"/>
        </w:rPr>
        <w:t xml:space="preserve"> (695</w:t>
      </w:r>
      <w:r w:rsidR="00E0583F" w:rsidRPr="004D2FF7">
        <w:rPr>
          <w:rFonts w:ascii="Times New Roman" w:hAnsi="Times New Roman" w:cs="Times New Roman"/>
          <w:sz w:val="24"/>
          <w:szCs w:val="24"/>
        </w:rPr>
        <w:t xml:space="preserve">,0 </w:t>
      </w:r>
      <w:r w:rsidR="009F18B1" w:rsidRPr="004D2FF7">
        <w:rPr>
          <w:rFonts w:ascii="Times New Roman" w:hAnsi="Times New Roman" w:cs="Times New Roman"/>
          <w:sz w:val="24"/>
          <w:szCs w:val="24"/>
        </w:rPr>
        <w:t>m</w:t>
      </w:r>
      <w:r w:rsidR="00E0583F" w:rsidRPr="004D2FF7">
        <w:rPr>
          <w:rFonts w:ascii="Times New Roman" w:hAnsi="Times New Roman" w:cs="Times New Roman"/>
          <w:sz w:val="24"/>
          <w:szCs w:val="24"/>
          <w:vertAlign w:val="superscript"/>
        </w:rPr>
        <w:t>2</w:t>
      </w:r>
      <w:r w:rsidR="009F18B1" w:rsidRPr="004D2FF7">
        <w:rPr>
          <w:rFonts w:ascii="Times New Roman" w:hAnsi="Times New Roman" w:cs="Times New Roman"/>
          <w:sz w:val="24"/>
          <w:szCs w:val="24"/>
        </w:rPr>
        <w:t>)</w:t>
      </w:r>
      <w:r w:rsidR="009069B5" w:rsidRPr="004D2FF7">
        <w:rPr>
          <w:rFonts w:ascii="Times New Roman" w:hAnsi="Times New Roman" w:cs="Times New Roman"/>
          <w:sz w:val="24"/>
          <w:szCs w:val="24"/>
        </w:rPr>
        <w:t>, spații auxiliare</w:t>
      </w:r>
      <w:r w:rsidR="009F18B1" w:rsidRPr="004D2FF7">
        <w:rPr>
          <w:rFonts w:ascii="Times New Roman" w:hAnsi="Times New Roman" w:cs="Times New Roman"/>
          <w:sz w:val="24"/>
          <w:szCs w:val="24"/>
        </w:rPr>
        <w:t xml:space="preserve"> (108,6</w:t>
      </w:r>
      <w:r w:rsidR="00E0583F" w:rsidRPr="004D2FF7">
        <w:rPr>
          <w:rFonts w:ascii="Times New Roman" w:hAnsi="Times New Roman" w:cs="Times New Roman"/>
          <w:sz w:val="24"/>
          <w:szCs w:val="24"/>
        </w:rPr>
        <w:t xml:space="preserve"> </w:t>
      </w:r>
      <w:r w:rsidR="009F18B1" w:rsidRPr="004D2FF7">
        <w:rPr>
          <w:rFonts w:ascii="Times New Roman" w:hAnsi="Times New Roman" w:cs="Times New Roman"/>
          <w:sz w:val="24"/>
          <w:szCs w:val="24"/>
        </w:rPr>
        <w:t>m</w:t>
      </w:r>
      <w:r w:rsidR="00E0583F" w:rsidRPr="004D2FF7">
        <w:rPr>
          <w:rFonts w:ascii="Times New Roman" w:hAnsi="Times New Roman" w:cs="Times New Roman"/>
          <w:sz w:val="24"/>
          <w:szCs w:val="24"/>
          <w:vertAlign w:val="superscript"/>
        </w:rPr>
        <w:t>2</w:t>
      </w:r>
      <w:r w:rsidR="009F18B1" w:rsidRPr="004D2FF7">
        <w:rPr>
          <w:rFonts w:ascii="Times New Roman" w:hAnsi="Times New Roman" w:cs="Times New Roman"/>
          <w:sz w:val="24"/>
          <w:szCs w:val="24"/>
        </w:rPr>
        <w:t xml:space="preserve">) </w:t>
      </w:r>
      <w:r w:rsidR="009069B5" w:rsidRPr="004D2FF7">
        <w:rPr>
          <w:rFonts w:ascii="Times New Roman" w:hAnsi="Times New Roman" w:cs="Times New Roman"/>
          <w:sz w:val="24"/>
          <w:szCs w:val="24"/>
        </w:rPr>
        <w:t>și spații pentru garaj</w:t>
      </w:r>
      <w:r w:rsidR="009F18B1" w:rsidRPr="004D2FF7">
        <w:rPr>
          <w:rFonts w:ascii="Times New Roman" w:hAnsi="Times New Roman" w:cs="Times New Roman"/>
          <w:sz w:val="24"/>
          <w:szCs w:val="24"/>
        </w:rPr>
        <w:t xml:space="preserve"> (64</w:t>
      </w:r>
      <w:r w:rsidR="00E0583F" w:rsidRPr="004D2FF7">
        <w:rPr>
          <w:rFonts w:ascii="Times New Roman" w:hAnsi="Times New Roman" w:cs="Times New Roman"/>
          <w:sz w:val="24"/>
          <w:szCs w:val="24"/>
        </w:rPr>
        <w:t xml:space="preserve">,0 </w:t>
      </w:r>
      <w:r w:rsidR="009F18B1" w:rsidRPr="004D2FF7">
        <w:rPr>
          <w:rFonts w:ascii="Times New Roman" w:hAnsi="Times New Roman" w:cs="Times New Roman"/>
          <w:sz w:val="24"/>
          <w:szCs w:val="24"/>
        </w:rPr>
        <w:t>m</w:t>
      </w:r>
      <w:r w:rsidR="00E0583F" w:rsidRPr="004D2FF7">
        <w:rPr>
          <w:rFonts w:ascii="Times New Roman" w:hAnsi="Times New Roman" w:cs="Times New Roman"/>
          <w:sz w:val="24"/>
          <w:szCs w:val="24"/>
          <w:vertAlign w:val="superscript"/>
        </w:rPr>
        <w:t>2</w:t>
      </w:r>
      <w:r w:rsidR="009F18B1" w:rsidRPr="004D2FF7">
        <w:rPr>
          <w:rFonts w:ascii="Times New Roman" w:hAnsi="Times New Roman" w:cs="Times New Roman"/>
          <w:sz w:val="24"/>
          <w:szCs w:val="24"/>
        </w:rPr>
        <w:t>).</w:t>
      </w:r>
      <w:r w:rsidR="009069B5" w:rsidRPr="004D2FF7">
        <w:rPr>
          <w:rFonts w:ascii="Times New Roman" w:hAnsi="Times New Roman" w:cs="Times New Roman"/>
          <w:sz w:val="24"/>
          <w:szCs w:val="24"/>
        </w:rPr>
        <w:t xml:space="preserve"> </w:t>
      </w:r>
      <w:r w:rsidR="003C75EB" w:rsidRPr="004D2FF7">
        <w:rPr>
          <w:rFonts w:ascii="Times New Roman" w:hAnsi="Times New Roman" w:cs="Times New Roman"/>
          <w:sz w:val="24"/>
          <w:szCs w:val="24"/>
        </w:rPr>
        <w:t>În ani 2018-2022 p</w:t>
      </w:r>
      <w:r w:rsidR="009114F1" w:rsidRPr="004D2FF7">
        <w:rPr>
          <w:rFonts w:ascii="Times New Roman" w:hAnsi="Times New Roman" w:cs="Times New Roman"/>
          <w:sz w:val="24"/>
          <w:szCs w:val="24"/>
        </w:rPr>
        <w:t xml:space="preserve">entru achitarea serviciilor „Comodantului” </w:t>
      </w:r>
      <w:r w:rsidR="00FB104C" w:rsidRPr="004D2FF7">
        <w:rPr>
          <w:rFonts w:ascii="Times New Roman" w:hAnsi="Times New Roman" w:cs="Times New Roman"/>
          <w:sz w:val="24"/>
          <w:szCs w:val="24"/>
        </w:rPr>
        <w:t>la</w:t>
      </w:r>
      <w:r w:rsidR="00FB104C" w:rsidRPr="004D2FF7">
        <w:rPr>
          <w:rFonts w:ascii="Times New Roman" w:eastAsia="Times New Roman" w:hAnsi="Times New Roman" w:cs="Times New Roman"/>
          <w:sz w:val="24"/>
          <w:szCs w:val="24"/>
          <w:lang w:eastAsia="ru-RU"/>
        </w:rPr>
        <w:t xml:space="preserve"> grupa de conturi „Servicii de locațiune” au fost planificate </w:t>
      </w:r>
      <w:r w:rsidR="00FB104C" w:rsidRPr="004D2FF7">
        <w:rPr>
          <w:rFonts w:ascii="Times New Roman" w:eastAsia="Times New Roman" w:hAnsi="Times New Roman" w:cs="Times New Roman"/>
          <w:sz w:val="24"/>
          <w:szCs w:val="24"/>
          <w:lang w:eastAsia="ru-RU"/>
        </w:rPr>
        <w:lastRenderedPageBreak/>
        <w:t>1</w:t>
      </w:r>
      <w:r w:rsidR="00997FD2">
        <w:rPr>
          <w:rFonts w:ascii="Times New Roman" w:eastAsia="Times New Roman" w:hAnsi="Times New Roman" w:cs="Times New Roman"/>
          <w:sz w:val="24"/>
          <w:szCs w:val="24"/>
          <w:lang w:eastAsia="ru-RU"/>
        </w:rPr>
        <w:t>.</w:t>
      </w:r>
      <w:r w:rsidR="00FB104C" w:rsidRPr="004D2FF7">
        <w:rPr>
          <w:rFonts w:ascii="Times New Roman" w:eastAsia="Times New Roman" w:hAnsi="Times New Roman" w:cs="Times New Roman"/>
          <w:sz w:val="24"/>
          <w:szCs w:val="24"/>
          <w:lang w:eastAsia="ru-RU"/>
        </w:rPr>
        <w:t>805,0 mii lei, însă de fapt cheltuielile executate au însumat 960,5 mii lei</w:t>
      </w:r>
      <w:r w:rsidR="00997FD2">
        <w:rPr>
          <w:rFonts w:ascii="Times New Roman" w:eastAsia="Times New Roman" w:hAnsi="Times New Roman" w:cs="Times New Roman"/>
          <w:sz w:val="24"/>
          <w:szCs w:val="24"/>
          <w:lang w:eastAsia="ru-RU"/>
        </w:rPr>
        <w:t>,</w:t>
      </w:r>
      <w:r w:rsidR="00B72F9E" w:rsidRPr="004D2FF7">
        <w:rPr>
          <w:rFonts w:ascii="Times New Roman" w:eastAsia="Times New Roman" w:hAnsi="Times New Roman" w:cs="Times New Roman"/>
          <w:sz w:val="24"/>
          <w:szCs w:val="24"/>
          <w:lang w:eastAsia="ru-RU"/>
        </w:rPr>
        <w:t xml:space="preserve"> sau 53,2%</w:t>
      </w:r>
      <w:r w:rsidR="00C073FF" w:rsidRPr="004D2FF7">
        <w:rPr>
          <w:rFonts w:ascii="Times New Roman" w:eastAsia="Times New Roman" w:hAnsi="Times New Roman" w:cs="Times New Roman"/>
          <w:sz w:val="24"/>
          <w:szCs w:val="24"/>
          <w:lang w:eastAsia="ru-RU"/>
        </w:rPr>
        <w:t xml:space="preserve"> din alocațiile aprobate</w:t>
      </w:r>
      <w:r w:rsidR="00FB104C" w:rsidRPr="004D2FF7">
        <w:rPr>
          <w:rFonts w:ascii="Times New Roman" w:eastAsia="Times New Roman" w:hAnsi="Times New Roman" w:cs="Times New Roman"/>
          <w:sz w:val="24"/>
          <w:szCs w:val="24"/>
          <w:lang w:eastAsia="ru-RU"/>
        </w:rPr>
        <w:t xml:space="preserve">. Restul mijloacelor financiare în sumă de 844,5 mii lei planificate </w:t>
      </w:r>
      <w:r w:rsidR="00CA1FDD" w:rsidRPr="004D2FF7">
        <w:rPr>
          <w:rFonts w:ascii="Times New Roman" w:eastAsia="Times New Roman" w:hAnsi="Times New Roman" w:cs="Times New Roman"/>
          <w:sz w:val="24"/>
          <w:szCs w:val="24"/>
          <w:lang w:eastAsia="ru-RU"/>
        </w:rPr>
        <w:t>neregulamentar</w:t>
      </w:r>
      <w:r w:rsidR="00FB104C" w:rsidRPr="004D2FF7">
        <w:rPr>
          <w:rFonts w:ascii="Times New Roman" w:eastAsia="Times New Roman" w:hAnsi="Times New Roman" w:cs="Times New Roman"/>
          <w:sz w:val="24"/>
          <w:szCs w:val="24"/>
          <w:lang w:eastAsia="ru-RU"/>
        </w:rPr>
        <w:t xml:space="preserve"> la grupa de conturi nominalizată au fost distribuite la alte grupe de cheltuieli</w:t>
      </w:r>
      <w:r w:rsidR="00FB104C" w:rsidRPr="004D2FF7">
        <w:rPr>
          <w:rStyle w:val="FootnoteReference"/>
          <w:rFonts w:ascii="Times New Roman" w:eastAsia="Times New Roman" w:hAnsi="Times New Roman" w:cs="Times New Roman"/>
          <w:sz w:val="24"/>
          <w:szCs w:val="24"/>
          <w:lang w:eastAsia="ru-RU"/>
        </w:rPr>
        <w:footnoteReference w:id="141"/>
      </w:r>
      <w:r w:rsidR="00FB104C" w:rsidRPr="004D2FF7">
        <w:rPr>
          <w:rFonts w:ascii="Times New Roman" w:eastAsia="Times New Roman" w:hAnsi="Times New Roman" w:cs="Times New Roman"/>
          <w:sz w:val="24"/>
          <w:szCs w:val="24"/>
          <w:lang w:eastAsia="ru-RU"/>
        </w:rPr>
        <w:t xml:space="preserve"> ori nu au fost valorificate în anii bugetari (483,9 mii lei). </w:t>
      </w:r>
    </w:p>
    <w:p w14:paraId="384F7FA7" w14:textId="2746BE7E" w:rsidR="00411482" w:rsidRPr="004D2FF7" w:rsidRDefault="0084121A" w:rsidP="007B5623">
      <w:pPr>
        <w:spacing w:after="120" w:line="276" w:lineRule="auto"/>
        <w:jc w:val="both"/>
        <w:rPr>
          <w:rFonts w:ascii="Times New Roman" w:hAnsi="Times New Roman" w:cs="Times New Roman"/>
          <w:sz w:val="24"/>
          <w:szCs w:val="24"/>
        </w:rPr>
      </w:pPr>
      <w:r w:rsidRPr="004D2FF7">
        <w:rPr>
          <w:rFonts w:ascii="Times New Roman" w:hAnsi="Times New Roman" w:cs="Times New Roman"/>
          <w:sz w:val="24"/>
          <w:szCs w:val="24"/>
        </w:rPr>
        <w:t xml:space="preserve">Potrivit datelor evidenței contabile și datelor din </w:t>
      </w:r>
      <w:r w:rsidRPr="004D2FF7">
        <w:rPr>
          <w:rFonts w:ascii="Times New Roman" w:eastAsia="Times New Roman" w:hAnsi="Times New Roman" w:cs="Times New Roman"/>
          <w:color w:val="000000" w:themeColor="text1"/>
          <w:sz w:val="24"/>
          <w:szCs w:val="24"/>
          <w:lang w:eastAsia="ru-RU"/>
        </w:rPr>
        <w:t xml:space="preserve">Darea de seamă privind bunurile imobile proprietate publică a statului la situația din </w:t>
      </w:r>
      <w:r w:rsidR="009069B5" w:rsidRPr="004D2FF7">
        <w:rPr>
          <w:rFonts w:ascii="Times New Roman" w:hAnsi="Times New Roman" w:cs="Times New Roman"/>
          <w:sz w:val="24"/>
          <w:szCs w:val="24"/>
        </w:rPr>
        <w:t>31.12.2022, CNPDCP avea în gestiunea sa mijloace fixe cu valoarea de bilanț de 5</w:t>
      </w:r>
      <w:r w:rsidR="00997FD2">
        <w:rPr>
          <w:rFonts w:ascii="Times New Roman" w:hAnsi="Times New Roman" w:cs="Times New Roman"/>
          <w:sz w:val="24"/>
          <w:szCs w:val="24"/>
        </w:rPr>
        <w:t>.</w:t>
      </w:r>
      <w:r w:rsidR="009069B5" w:rsidRPr="004D2FF7">
        <w:rPr>
          <w:rFonts w:ascii="Times New Roman" w:hAnsi="Times New Roman" w:cs="Times New Roman"/>
          <w:sz w:val="24"/>
          <w:szCs w:val="24"/>
        </w:rPr>
        <w:t xml:space="preserve">155,0 mii lei, nivelul uzurii </w:t>
      </w:r>
      <w:r w:rsidR="00997FD2">
        <w:rPr>
          <w:rFonts w:ascii="Times New Roman" w:hAnsi="Times New Roman" w:cs="Times New Roman"/>
          <w:sz w:val="24"/>
          <w:szCs w:val="24"/>
        </w:rPr>
        <w:t>acestora</w:t>
      </w:r>
      <w:r w:rsidR="009069B5" w:rsidRPr="004D2FF7">
        <w:rPr>
          <w:rFonts w:ascii="Times New Roman" w:hAnsi="Times New Roman" w:cs="Times New Roman"/>
          <w:sz w:val="24"/>
          <w:szCs w:val="24"/>
        </w:rPr>
        <w:t xml:space="preserve"> constitui</w:t>
      </w:r>
      <w:r w:rsidR="00997FD2">
        <w:rPr>
          <w:rFonts w:ascii="Times New Roman" w:hAnsi="Times New Roman" w:cs="Times New Roman"/>
          <w:sz w:val="24"/>
          <w:szCs w:val="24"/>
        </w:rPr>
        <w:t>nd</w:t>
      </w:r>
      <w:r w:rsidR="009069B5" w:rsidRPr="004D2FF7">
        <w:rPr>
          <w:rFonts w:ascii="Times New Roman" w:hAnsi="Times New Roman" w:cs="Times New Roman"/>
          <w:sz w:val="24"/>
          <w:szCs w:val="24"/>
        </w:rPr>
        <w:t xml:space="preserve"> 68,0%</w:t>
      </w:r>
      <w:r w:rsidR="00997FD2">
        <w:rPr>
          <w:rFonts w:ascii="Times New Roman" w:hAnsi="Times New Roman" w:cs="Times New Roman"/>
          <w:sz w:val="24"/>
          <w:szCs w:val="24"/>
        </w:rPr>
        <w:t>,</w:t>
      </w:r>
      <w:r w:rsidR="00FD4790" w:rsidRPr="004D2FF7">
        <w:rPr>
          <w:rFonts w:ascii="Times New Roman" w:hAnsi="Times New Roman" w:cs="Times New Roman"/>
          <w:sz w:val="24"/>
          <w:szCs w:val="24"/>
          <w:lang w:val="ro-RO"/>
        </w:rPr>
        <w:t xml:space="preserve"> sau 3</w:t>
      </w:r>
      <w:r w:rsidR="00997FD2">
        <w:rPr>
          <w:rFonts w:ascii="Times New Roman" w:hAnsi="Times New Roman" w:cs="Times New Roman"/>
          <w:sz w:val="24"/>
          <w:szCs w:val="24"/>
          <w:lang w:val="ro-RO"/>
        </w:rPr>
        <w:t>.</w:t>
      </w:r>
      <w:r w:rsidR="00FD4790" w:rsidRPr="004D2FF7">
        <w:rPr>
          <w:rFonts w:ascii="Times New Roman" w:hAnsi="Times New Roman" w:cs="Times New Roman"/>
          <w:sz w:val="24"/>
          <w:szCs w:val="24"/>
          <w:lang w:val="ro-RO"/>
        </w:rPr>
        <w:t>509,2 mii lei</w:t>
      </w:r>
      <w:r w:rsidR="009069B5" w:rsidRPr="004D2FF7">
        <w:rPr>
          <w:rFonts w:ascii="Times New Roman" w:hAnsi="Times New Roman" w:cs="Times New Roman"/>
          <w:sz w:val="24"/>
          <w:szCs w:val="24"/>
        </w:rPr>
        <w:t xml:space="preserve">. </w:t>
      </w:r>
    </w:p>
    <w:p w14:paraId="5CE0FE56" w14:textId="6006B28D" w:rsidR="005A3645" w:rsidRDefault="00511322" w:rsidP="006E1144">
      <w:pPr>
        <w:spacing w:before="120" w:after="0" w:line="276" w:lineRule="auto"/>
        <w:jc w:val="both"/>
        <w:rPr>
          <w:rFonts w:ascii="Times New Roman" w:hAnsi="Times New Roman" w:cs="Times New Roman"/>
          <w:b/>
          <w:i/>
          <w:color w:val="000000" w:themeColor="text1"/>
          <w:sz w:val="24"/>
          <w:szCs w:val="24"/>
          <w:lang w:val="ro-RO"/>
        </w:rPr>
      </w:pPr>
      <w:r w:rsidRPr="004D2FF7">
        <w:rPr>
          <w:rFonts w:ascii="Times New Roman" w:hAnsi="Times New Roman" w:cs="Times New Roman"/>
          <w:b/>
          <w:i/>
          <w:color w:val="000000" w:themeColor="text1"/>
          <w:sz w:val="24"/>
          <w:szCs w:val="24"/>
          <w:lang w:val="ro-RO"/>
        </w:rPr>
        <w:t xml:space="preserve">a) </w:t>
      </w:r>
      <w:r w:rsidR="00941C65" w:rsidRPr="004D2FF7">
        <w:rPr>
          <w:rFonts w:ascii="Times New Roman" w:hAnsi="Times New Roman" w:cs="Times New Roman"/>
          <w:b/>
          <w:i/>
          <w:color w:val="000000" w:themeColor="text1"/>
          <w:sz w:val="24"/>
          <w:szCs w:val="24"/>
          <w:lang w:val="ro-RO"/>
        </w:rPr>
        <w:t>E</w:t>
      </w:r>
      <w:r w:rsidR="005A3645" w:rsidRPr="004D2FF7">
        <w:rPr>
          <w:rFonts w:ascii="Times New Roman" w:hAnsi="Times New Roman" w:cs="Times New Roman"/>
          <w:b/>
          <w:i/>
          <w:color w:val="000000" w:themeColor="text1"/>
          <w:sz w:val="24"/>
          <w:szCs w:val="24"/>
          <w:lang w:val="ro-RO"/>
        </w:rPr>
        <w:t xml:space="preserve">ntitatea nu a asigurat recunoașterea, evidența și raportarea mijloacelor fixe și </w:t>
      </w:r>
      <w:r w:rsidR="00997FD2">
        <w:rPr>
          <w:rFonts w:ascii="Times New Roman" w:hAnsi="Times New Roman" w:cs="Times New Roman"/>
          <w:b/>
          <w:i/>
          <w:color w:val="000000" w:themeColor="text1"/>
          <w:sz w:val="24"/>
          <w:szCs w:val="24"/>
          <w:lang w:val="ro-RO"/>
        </w:rPr>
        <w:t xml:space="preserve">a </w:t>
      </w:r>
      <w:r w:rsidR="005A3645" w:rsidRPr="004D2FF7">
        <w:rPr>
          <w:rFonts w:ascii="Times New Roman" w:hAnsi="Times New Roman" w:cs="Times New Roman"/>
          <w:b/>
          <w:i/>
          <w:color w:val="000000" w:themeColor="text1"/>
          <w:sz w:val="24"/>
          <w:szCs w:val="24"/>
          <w:lang w:val="ro-RO"/>
        </w:rPr>
        <w:t>cheltuielilor aferente în conformitate cu normele în vigoare, ceea ce denotă unele rezerve/deficiențe ale controlului intern</w:t>
      </w:r>
      <w:r w:rsidR="00997FD2">
        <w:rPr>
          <w:rFonts w:ascii="Times New Roman" w:hAnsi="Times New Roman" w:cs="Times New Roman"/>
          <w:b/>
          <w:i/>
          <w:color w:val="000000" w:themeColor="text1"/>
          <w:sz w:val="24"/>
          <w:szCs w:val="24"/>
          <w:lang w:val="ro-RO"/>
        </w:rPr>
        <w:t>.</w:t>
      </w:r>
    </w:p>
    <w:p w14:paraId="5F5AB6E3" w14:textId="61E8B53D" w:rsidR="00997FD2" w:rsidRPr="0077171B" w:rsidRDefault="00997FD2" w:rsidP="0077171B">
      <w:pPr>
        <w:spacing w:before="120" w:after="0" w:line="276" w:lineRule="auto"/>
        <w:ind w:firstLine="360"/>
        <w:jc w:val="both"/>
        <w:rPr>
          <w:rFonts w:ascii="Times New Roman" w:hAnsi="Times New Roman" w:cs="Times New Roman"/>
          <w:color w:val="000000" w:themeColor="text1"/>
          <w:sz w:val="24"/>
          <w:szCs w:val="24"/>
          <w:lang w:val="ro-RO"/>
        </w:rPr>
      </w:pPr>
      <w:r w:rsidRPr="0077171B">
        <w:rPr>
          <w:rFonts w:ascii="Times New Roman" w:hAnsi="Times New Roman" w:cs="Times New Roman"/>
          <w:color w:val="000000" w:themeColor="text1"/>
          <w:sz w:val="24"/>
          <w:szCs w:val="24"/>
          <w:lang w:val="ro-RO"/>
        </w:rPr>
        <w:t>Astfel,</w:t>
      </w:r>
    </w:p>
    <w:p w14:paraId="3E8A0CD3" w14:textId="27ED561F" w:rsidR="005A3645" w:rsidRPr="004D2FF7" w:rsidRDefault="00640B8F" w:rsidP="00ED5A00">
      <w:pPr>
        <w:pStyle w:val="ListParagraph"/>
        <w:numPr>
          <w:ilvl w:val="0"/>
          <w:numId w:val="18"/>
        </w:numPr>
        <w:spacing w:before="120" w:after="0" w:line="276" w:lineRule="auto"/>
        <w:ind w:left="0" w:firstLine="360"/>
        <w:jc w:val="both"/>
        <w:rPr>
          <w:rFonts w:ascii="Times New Roman" w:hAnsi="Times New Roman" w:cs="Times New Roman"/>
          <w:sz w:val="24"/>
          <w:szCs w:val="24"/>
          <w:lang w:val="ro-RO"/>
        </w:rPr>
      </w:pPr>
      <w:r w:rsidRPr="004D2FF7">
        <w:rPr>
          <w:rFonts w:ascii="Times New Roman" w:hAnsi="Times New Roman" w:cs="Times New Roman"/>
          <w:sz w:val="24"/>
          <w:szCs w:val="24"/>
          <w:lang w:val="ro-RO"/>
        </w:rPr>
        <w:t>Î</w:t>
      </w:r>
      <w:r w:rsidR="0081700F" w:rsidRPr="004D2FF7">
        <w:rPr>
          <w:rFonts w:ascii="Times New Roman" w:hAnsi="Times New Roman" w:cs="Times New Roman"/>
          <w:sz w:val="24"/>
          <w:szCs w:val="24"/>
          <w:lang w:val="ro-RO"/>
        </w:rPr>
        <w:t>n anul 2011</w:t>
      </w:r>
      <w:r w:rsidR="00997FD2">
        <w:rPr>
          <w:rFonts w:ascii="Times New Roman" w:hAnsi="Times New Roman" w:cs="Times New Roman"/>
          <w:sz w:val="24"/>
          <w:szCs w:val="24"/>
          <w:lang w:val="ro-RO"/>
        </w:rPr>
        <w:t>,</w:t>
      </w:r>
      <w:r w:rsidR="0081700F" w:rsidRPr="004D2FF7">
        <w:rPr>
          <w:rFonts w:ascii="Times New Roman" w:hAnsi="Times New Roman" w:cs="Times New Roman"/>
          <w:sz w:val="24"/>
          <w:szCs w:val="24"/>
          <w:lang w:val="ro-RO"/>
        </w:rPr>
        <w:t xml:space="preserve"> </w:t>
      </w:r>
      <w:r w:rsidR="006E1144" w:rsidRPr="004D2FF7">
        <w:rPr>
          <w:rFonts w:ascii="Times New Roman" w:hAnsi="Times New Roman" w:cs="Times New Roman"/>
          <w:sz w:val="24"/>
          <w:szCs w:val="24"/>
          <w:lang w:val="ro-RO"/>
        </w:rPr>
        <w:t>î</w:t>
      </w:r>
      <w:r w:rsidR="005A3645" w:rsidRPr="004D2FF7">
        <w:rPr>
          <w:rFonts w:ascii="Times New Roman" w:hAnsi="Times New Roman" w:cs="Times New Roman"/>
          <w:sz w:val="24"/>
          <w:szCs w:val="24"/>
          <w:lang w:val="ro-RO"/>
        </w:rPr>
        <w:t>n scopul asigurării evidenței prelucrării datelor cu caracter personal de către operatorii economici și automatizării activității</w:t>
      </w:r>
      <w:r w:rsidR="0081700F" w:rsidRPr="004D2FF7">
        <w:rPr>
          <w:rFonts w:ascii="Times New Roman" w:hAnsi="Times New Roman" w:cs="Times New Roman"/>
          <w:sz w:val="24"/>
          <w:szCs w:val="24"/>
          <w:lang w:val="ro-RO"/>
        </w:rPr>
        <w:t>,</w:t>
      </w:r>
      <w:r w:rsidR="005A3645" w:rsidRPr="004D2FF7">
        <w:rPr>
          <w:rFonts w:ascii="Times New Roman" w:hAnsi="Times New Roman" w:cs="Times New Roman"/>
          <w:sz w:val="24"/>
          <w:szCs w:val="24"/>
          <w:lang w:val="ro-RO"/>
        </w:rPr>
        <w:t xml:space="preserve"> </w:t>
      </w:r>
      <w:r w:rsidR="00D5743F" w:rsidRPr="004D2FF7">
        <w:rPr>
          <w:rFonts w:ascii="Times New Roman" w:hAnsi="Times New Roman" w:cs="Times New Roman"/>
          <w:sz w:val="24"/>
          <w:szCs w:val="24"/>
          <w:lang w:val="ro-RO"/>
        </w:rPr>
        <w:t>CNPDCP</w:t>
      </w:r>
      <w:r w:rsidR="005A3645" w:rsidRPr="004D2FF7">
        <w:rPr>
          <w:rFonts w:ascii="Times New Roman" w:hAnsi="Times New Roman" w:cs="Times New Roman"/>
          <w:sz w:val="24"/>
          <w:szCs w:val="24"/>
          <w:lang w:val="ro-RO"/>
        </w:rPr>
        <w:t xml:space="preserve"> </w:t>
      </w:r>
      <w:r w:rsidR="0081700F" w:rsidRPr="004D2FF7">
        <w:rPr>
          <w:rFonts w:ascii="Times New Roman" w:hAnsi="Times New Roman" w:cs="Times New Roman"/>
          <w:sz w:val="24"/>
          <w:szCs w:val="24"/>
          <w:lang w:val="ro-RO"/>
        </w:rPr>
        <w:t xml:space="preserve">a </w:t>
      </w:r>
      <w:r w:rsidR="005A3645" w:rsidRPr="004D2FF7">
        <w:rPr>
          <w:rFonts w:ascii="Times New Roman" w:hAnsi="Times New Roman" w:cs="Times New Roman"/>
          <w:sz w:val="24"/>
          <w:szCs w:val="24"/>
          <w:lang w:val="ro-RO"/>
        </w:rPr>
        <w:t>elaborat Conceptul tehnic al sistemului informațional</w:t>
      </w:r>
      <w:r w:rsidR="005A3645" w:rsidRPr="004D2FF7">
        <w:rPr>
          <w:rStyle w:val="FootnoteReference"/>
          <w:rFonts w:ascii="Times New Roman" w:hAnsi="Times New Roman" w:cs="Times New Roman"/>
          <w:lang w:val="ro-RO"/>
        </w:rPr>
        <w:footnoteReference w:id="142"/>
      </w:r>
      <w:r w:rsidR="005A3645" w:rsidRPr="004D2FF7">
        <w:rPr>
          <w:rFonts w:ascii="Times New Roman" w:hAnsi="Times New Roman" w:cs="Times New Roman"/>
          <w:sz w:val="24"/>
          <w:szCs w:val="24"/>
          <w:lang w:val="ro-RO"/>
        </w:rPr>
        <w:t>, care transpunea art.21 din Directiv</w:t>
      </w:r>
      <w:r w:rsidR="00D5743F" w:rsidRPr="004D2FF7">
        <w:rPr>
          <w:rFonts w:ascii="Times New Roman" w:hAnsi="Times New Roman" w:cs="Times New Roman"/>
          <w:sz w:val="24"/>
          <w:szCs w:val="24"/>
          <w:lang w:val="ro-RO"/>
        </w:rPr>
        <w:t>a</w:t>
      </w:r>
      <w:r w:rsidR="005A3645" w:rsidRPr="004D2FF7">
        <w:rPr>
          <w:rFonts w:ascii="Times New Roman" w:hAnsi="Times New Roman" w:cs="Times New Roman"/>
          <w:sz w:val="24"/>
          <w:szCs w:val="24"/>
          <w:lang w:val="ro-RO"/>
        </w:rPr>
        <w:t xml:space="preserve"> 95/46/CE </w:t>
      </w:r>
      <w:r w:rsidR="005A3645" w:rsidRPr="004D2FF7">
        <w:rPr>
          <w:rFonts w:ascii="Times New Roman" w:eastAsia="Times New Roman" w:hAnsi="Times New Roman" w:cs="Times New Roman"/>
          <w:sz w:val="24"/>
          <w:szCs w:val="24"/>
          <w:lang w:val="ro-RO"/>
        </w:rPr>
        <w:t>a Parlamentului European și a Consiliului din 24 octombrie 1995</w:t>
      </w:r>
      <w:r w:rsidR="005A3645" w:rsidRPr="004D2FF7">
        <w:rPr>
          <w:rStyle w:val="FootnoteReference"/>
          <w:rFonts w:ascii="Times New Roman" w:eastAsia="Times New Roman" w:hAnsi="Times New Roman" w:cs="Times New Roman"/>
          <w:lang w:val="ro-RO"/>
        </w:rPr>
        <w:footnoteReference w:id="143"/>
      </w:r>
      <w:r w:rsidR="005A3645" w:rsidRPr="004D2FF7">
        <w:rPr>
          <w:rFonts w:ascii="Times New Roman" w:eastAsia="Times New Roman" w:hAnsi="Times New Roman" w:cs="Times New Roman"/>
          <w:sz w:val="24"/>
          <w:szCs w:val="24"/>
          <w:lang w:val="ro-RO"/>
        </w:rPr>
        <w:t>.</w:t>
      </w:r>
      <w:r w:rsidR="005A3645" w:rsidRPr="004D2FF7">
        <w:rPr>
          <w:rFonts w:ascii="Times New Roman" w:hAnsi="Times New Roman" w:cs="Times New Roman"/>
          <w:sz w:val="24"/>
          <w:szCs w:val="24"/>
          <w:lang w:val="ro-RO"/>
        </w:rPr>
        <w:t xml:space="preserve"> </w:t>
      </w:r>
      <w:r w:rsidR="00D83A85" w:rsidRPr="004D2FF7">
        <w:rPr>
          <w:rFonts w:ascii="Times New Roman" w:hAnsi="Times New Roman" w:cs="Times New Roman"/>
          <w:sz w:val="24"/>
          <w:szCs w:val="24"/>
          <w:lang w:val="ro-RO"/>
        </w:rPr>
        <w:t>Sistemul informațional automatizat ,,Registru</w:t>
      </w:r>
      <w:r w:rsidR="00997FD2">
        <w:rPr>
          <w:rFonts w:ascii="Times New Roman" w:hAnsi="Times New Roman" w:cs="Times New Roman"/>
          <w:sz w:val="24"/>
          <w:szCs w:val="24"/>
          <w:lang w:val="ro-RO"/>
        </w:rPr>
        <w:t>l</w:t>
      </w:r>
      <w:r w:rsidR="00D83A85" w:rsidRPr="004D2FF7">
        <w:rPr>
          <w:rFonts w:ascii="Times New Roman" w:hAnsi="Times New Roman" w:cs="Times New Roman"/>
          <w:sz w:val="24"/>
          <w:szCs w:val="24"/>
          <w:lang w:val="ro-RO"/>
        </w:rPr>
        <w:t xml:space="preserve"> de evidență a operatorilor economici de date cu caracter personal”</w:t>
      </w:r>
      <w:r w:rsidR="00997FD2">
        <w:rPr>
          <w:rFonts w:ascii="Times New Roman" w:hAnsi="Times New Roman" w:cs="Times New Roman"/>
          <w:sz w:val="24"/>
          <w:szCs w:val="24"/>
          <w:lang w:val="ro-RO"/>
        </w:rPr>
        <w:t>,</w:t>
      </w:r>
      <w:r w:rsidR="00D83A85" w:rsidRPr="004D2FF7">
        <w:rPr>
          <w:rFonts w:ascii="Times New Roman" w:hAnsi="Times New Roman" w:cs="Times New Roman"/>
          <w:sz w:val="24"/>
          <w:szCs w:val="24"/>
          <w:lang w:val="ro-RO"/>
        </w:rPr>
        <w:t xml:space="preserve"> </w:t>
      </w:r>
      <w:r w:rsidR="009E72D4" w:rsidRPr="004D2FF7">
        <w:rPr>
          <w:rFonts w:ascii="Times New Roman" w:hAnsi="Times New Roman" w:cs="Times New Roman"/>
          <w:sz w:val="24"/>
          <w:szCs w:val="24"/>
          <w:lang w:val="ro-RO"/>
        </w:rPr>
        <w:t>în valoare de 1</w:t>
      </w:r>
      <w:r w:rsidR="00997FD2">
        <w:rPr>
          <w:rFonts w:ascii="Times New Roman" w:hAnsi="Times New Roman" w:cs="Times New Roman"/>
          <w:sz w:val="24"/>
          <w:szCs w:val="24"/>
          <w:lang w:val="ro-RO"/>
        </w:rPr>
        <w:t>.</w:t>
      </w:r>
      <w:r w:rsidR="009E72D4" w:rsidRPr="004D2FF7">
        <w:rPr>
          <w:rFonts w:ascii="Times New Roman" w:hAnsi="Times New Roman" w:cs="Times New Roman"/>
          <w:sz w:val="24"/>
          <w:szCs w:val="24"/>
          <w:lang w:val="ro-RO"/>
        </w:rPr>
        <w:t xml:space="preserve">122,0 mii lei </w:t>
      </w:r>
      <w:r w:rsidR="005A3645" w:rsidRPr="004D2FF7">
        <w:rPr>
          <w:rFonts w:ascii="Times New Roman" w:hAnsi="Times New Roman" w:cs="Times New Roman"/>
          <w:sz w:val="24"/>
          <w:szCs w:val="24"/>
          <w:lang w:val="ro-RO"/>
        </w:rPr>
        <w:t xml:space="preserve">a fost elaborat de către Instituția Publică Centrul de Guvernare </w:t>
      </w:r>
      <w:r w:rsidR="00997FD2">
        <w:rPr>
          <w:rFonts w:ascii="Times New Roman" w:hAnsi="Times New Roman" w:cs="Times New Roman"/>
          <w:sz w:val="24"/>
          <w:szCs w:val="24"/>
          <w:lang w:val="ro-RO"/>
        </w:rPr>
        <w:t>E</w:t>
      </w:r>
      <w:r w:rsidR="005A3645" w:rsidRPr="004D2FF7">
        <w:rPr>
          <w:rFonts w:ascii="Times New Roman" w:hAnsi="Times New Roman" w:cs="Times New Roman"/>
          <w:sz w:val="24"/>
          <w:szCs w:val="24"/>
          <w:lang w:val="ro-RO"/>
        </w:rPr>
        <w:t>lectronică</w:t>
      </w:r>
      <w:r w:rsidR="005A3645" w:rsidRPr="004D2FF7">
        <w:rPr>
          <w:rStyle w:val="FootnoteReference"/>
          <w:rFonts w:ascii="Times New Roman" w:hAnsi="Times New Roman" w:cs="Times New Roman"/>
          <w:lang w:val="ro-RO"/>
        </w:rPr>
        <w:footnoteReference w:id="144"/>
      </w:r>
      <w:r w:rsidR="005A3645" w:rsidRPr="004D2FF7">
        <w:rPr>
          <w:rFonts w:ascii="Times New Roman" w:hAnsi="Times New Roman" w:cs="Times New Roman"/>
          <w:sz w:val="24"/>
          <w:szCs w:val="24"/>
          <w:lang w:val="ro-RO"/>
        </w:rPr>
        <w:t xml:space="preserve"> și transmis</w:t>
      </w:r>
      <w:r w:rsidR="00651456" w:rsidRPr="004D2FF7">
        <w:rPr>
          <w:rFonts w:ascii="Times New Roman" w:hAnsi="Times New Roman" w:cs="Times New Roman"/>
          <w:sz w:val="24"/>
          <w:szCs w:val="24"/>
          <w:lang w:val="ro-RO"/>
        </w:rPr>
        <w:t xml:space="preserve"> la 30.12.2015</w:t>
      </w:r>
      <w:r w:rsidR="005A3645" w:rsidRPr="004D2FF7">
        <w:rPr>
          <w:rFonts w:ascii="Times New Roman" w:hAnsi="Times New Roman" w:cs="Times New Roman"/>
          <w:sz w:val="24"/>
          <w:szCs w:val="24"/>
          <w:lang w:val="ro-RO"/>
        </w:rPr>
        <w:t xml:space="preserve"> </w:t>
      </w:r>
      <w:r w:rsidR="009E72D4" w:rsidRPr="004D2FF7">
        <w:rPr>
          <w:rFonts w:ascii="Times New Roman" w:hAnsi="Times New Roman" w:cs="Times New Roman"/>
          <w:sz w:val="24"/>
          <w:szCs w:val="24"/>
          <w:lang w:val="ro-RO"/>
        </w:rPr>
        <w:t>cu titlu gratuit</w:t>
      </w:r>
      <w:r w:rsidR="009E72D4" w:rsidRPr="004D2FF7">
        <w:rPr>
          <w:rStyle w:val="FootnoteReference"/>
          <w:rFonts w:ascii="Times New Roman" w:hAnsi="Times New Roman" w:cs="Times New Roman"/>
          <w:sz w:val="24"/>
          <w:szCs w:val="24"/>
          <w:lang w:val="ro-RO"/>
        </w:rPr>
        <w:footnoteReference w:id="145"/>
      </w:r>
      <w:r w:rsidR="009E72D4" w:rsidRPr="004D2FF7">
        <w:rPr>
          <w:rFonts w:ascii="Times New Roman" w:hAnsi="Times New Roman" w:cs="Times New Roman"/>
          <w:sz w:val="24"/>
          <w:szCs w:val="24"/>
          <w:lang w:val="ro-RO"/>
        </w:rPr>
        <w:t xml:space="preserve"> </w:t>
      </w:r>
      <w:r w:rsidR="005A3645" w:rsidRPr="004D2FF7">
        <w:rPr>
          <w:rFonts w:ascii="Times New Roman" w:hAnsi="Times New Roman" w:cs="Times New Roman"/>
          <w:sz w:val="24"/>
          <w:szCs w:val="24"/>
          <w:lang w:val="ro-RO"/>
        </w:rPr>
        <w:t>în gestiune CNPDCP</w:t>
      </w:r>
      <w:r w:rsidR="009E72D4" w:rsidRPr="004D2FF7">
        <w:rPr>
          <w:rFonts w:ascii="Times New Roman" w:hAnsi="Times New Roman" w:cs="Times New Roman"/>
          <w:sz w:val="24"/>
          <w:szCs w:val="24"/>
          <w:lang w:val="ro-RO"/>
        </w:rPr>
        <w:t xml:space="preserve"> pentru a fi administrat</w:t>
      </w:r>
      <w:r w:rsidR="006E1144" w:rsidRPr="004D2FF7">
        <w:rPr>
          <w:rFonts w:ascii="Times New Roman" w:hAnsi="Times New Roman" w:cs="Times New Roman"/>
          <w:sz w:val="24"/>
          <w:szCs w:val="24"/>
          <w:lang w:val="ro-RO"/>
        </w:rPr>
        <w:t>;</w:t>
      </w:r>
    </w:p>
    <w:p w14:paraId="511ABD7D" w14:textId="439571B5" w:rsidR="00DF4ABD" w:rsidRPr="004D2FF7" w:rsidRDefault="00717A78" w:rsidP="00DF4ABD">
      <w:pPr>
        <w:pStyle w:val="ListParagraph"/>
        <w:numPr>
          <w:ilvl w:val="0"/>
          <w:numId w:val="18"/>
        </w:numPr>
        <w:spacing w:before="120" w:after="0" w:line="276" w:lineRule="auto"/>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00384C7E" w:rsidRPr="004D2FF7">
        <w:rPr>
          <w:rFonts w:ascii="Times New Roman" w:hAnsi="Times New Roman" w:cs="Times New Roman"/>
          <w:sz w:val="24"/>
          <w:szCs w:val="24"/>
          <w:lang w:val="ro-RO"/>
        </w:rPr>
        <w:t>ontrar prevederilor</w:t>
      </w:r>
      <w:r w:rsidR="005A3645" w:rsidRPr="004D2FF7">
        <w:rPr>
          <w:rFonts w:ascii="Times New Roman" w:hAnsi="Times New Roman" w:cs="Times New Roman"/>
          <w:sz w:val="24"/>
          <w:szCs w:val="24"/>
          <w:lang w:val="ro-RO"/>
        </w:rPr>
        <w:t xml:space="preserve"> </w:t>
      </w:r>
      <w:r w:rsidR="00384C7E" w:rsidRPr="004D2FF7">
        <w:rPr>
          <w:rFonts w:ascii="Times New Roman" w:hAnsi="Times New Roman" w:cs="Times New Roman"/>
          <w:sz w:val="24"/>
          <w:szCs w:val="24"/>
        </w:rPr>
        <w:t xml:space="preserve">Ordinului ministrului </w:t>
      </w:r>
      <w:r>
        <w:rPr>
          <w:rFonts w:ascii="Times New Roman" w:hAnsi="Times New Roman" w:cs="Times New Roman"/>
          <w:sz w:val="24"/>
          <w:szCs w:val="24"/>
        </w:rPr>
        <w:t>F</w:t>
      </w:r>
      <w:r w:rsidR="00384C7E" w:rsidRPr="004D2FF7">
        <w:rPr>
          <w:rFonts w:ascii="Times New Roman" w:hAnsi="Times New Roman" w:cs="Times New Roman"/>
          <w:sz w:val="24"/>
          <w:szCs w:val="24"/>
        </w:rPr>
        <w:t>inanțelor nr.216 din 28.12.2015</w:t>
      </w:r>
      <w:r w:rsidR="004D02BE" w:rsidRPr="004D2FF7">
        <w:rPr>
          <w:rStyle w:val="FootnoteReference"/>
          <w:rFonts w:ascii="Times New Roman" w:hAnsi="Times New Roman" w:cs="Times New Roman"/>
          <w:sz w:val="24"/>
          <w:szCs w:val="24"/>
        </w:rPr>
        <w:footnoteReference w:id="146"/>
      </w:r>
      <w:r w:rsidR="00384C7E" w:rsidRPr="004D2FF7">
        <w:rPr>
          <w:rFonts w:ascii="Times New Roman" w:hAnsi="Times New Roman" w:cs="Times New Roman"/>
          <w:sz w:val="24"/>
          <w:szCs w:val="24"/>
        </w:rPr>
        <w:t xml:space="preserve">, CNPDCP </w:t>
      </w:r>
      <w:r w:rsidR="005A3645" w:rsidRPr="004D2FF7">
        <w:rPr>
          <w:rFonts w:ascii="Times New Roman" w:hAnsi="Times New Roman" w:cs="Times New Roman"/>
          <w:sz w:val="24"/>
          <w:szCs w:val="24"/>
          <w:lang w:val="ro-RO"/>
        </w:rPr>
        <w:t>a clasificat/contabilizat</w:t>
      </w:r>
      <w:r w:rsidR="006E1144" w:rsidRPr="004D2FF7">
        <w:rPr>
          <w:rFonts w:ascii="Times New Roman" w:hAnsi="Times New Roman" w:cs="Times New Roman"/>
          <w:sz w:val="24"/>
          <w:szCs w:val="24"/>
          <w:lang w:val="ro-RO"/>
        </w:rPr>
        <w:t xml:space="preserve"> eronat </w:t>
      </w:r>
      <w:r w:rsidR="005A3645" w:rsidRPr="004D2FF7">
        <w:rPr>
          <w:rFonts w:ascii="Times New Roman" w:hAnsi="Times New Roman" w:cs="Times New Roman"/>
          <w:sz w:val="24"/>
          <w:szCs w:val="24"/>
          <w:lang w:val="ro-RO"/>
        </w:rPr>
        <w:t>sistemul informațional la grupa de conturi 318</w:t>
      </w:r>
      <w:r w:rsidR="006E1144" w:rsidRPr="004D2FF7">
        <w:rPr>
          <w:rFonts w:ascii="Times New Roman" w:hAnsi="Times New Roman" w:cs="Times New Roman"/>
          <w:sz w:val="24"/>
          <w:szCs w:val="24"/>
          <w:lang w:val="ro-RO"/>
        </w:rPr>
        <w:t xml:space="preserve"> </w:t>
      </w:r>
      <w:r w:rsidR="005A3645" w:rsidRPr="004D2FF7">
        <w:rPr>
          <w:rFonts w:ascii="Times New Roman" w:hAnsi="Times New Roman" w:cs="Times New Roman"/>
          <w:sz w:val="24"/>
          <w:szCs w:val="24"/>
          <w:lang w:val="ro-RO"/>
        </w:rPr>
        <w:t xml:space="preserve"> </w:t>
      </w:r>
      <w:r w:rsidR="006E1144" w:rsidRPr="004D2FF7">
        <w:rPr>
          <w:rFonts w:ascii="Times New Roman" w:hAnsi="Times New Roman" w:cs="Times New Roman"/>
          <w:sz w:val="24"/>
          <w:szCs w:val="24"/>
          <w:lang w:val="ro-RO"/>
        </w:rPr>
        <w:t>„</w:t>
      </w:r>
      <w:r w:rsidR="005A3645" w:rsidRPr="004D2FF7">
        <w:rPr>
          <w:rFonts w:ascii="Times New Roman" w:hAnsi="Times New Roman" w:cs="Times New Roman"/>
          <w:sz w:val="24"/>
          <w:szCs w:val="24"/>
          <w:lang w:val="ro-RO"/>
        </w:rPr>
        <w:t>Alte mijloace fixe</w:t>
      </w:r>
      <w:r w:rsidR="006E1144" w:rsidRPr="004D2FF7">
        <w:rPr>
          <w:rFonts w:ascii="Times New Roman" w:hAnsi="Times New Roman" w:cs="Times New Roman"/>
          <w:sz w:val="24"/>
          <w:szCs w:val="24"/>
          <w:lang w:val="ro-RO"/>
        </w:rPr>
        <w:t>”</w:t>
      </w:r>
      <w:r w:rsidR="005A3645" w:rsidRPr="004D2FF7">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acesta </w:t>
      </w:r>
      <w:r w:rsidR="005A3645" w:rsidRPr="004D2FF7">
        <w:rPr>
          <w:rFonts w:ascii="Times New Roman" w:hAnsi="Times New Roman" w:cs="Times New Roman"/>
          <w:sz w:val="24"/>
          <w:szCs w:val="24"/>
          <w:lang w:val="ro-RO"/>
        </w:rPr>
        <w:t>urmând a fi reflecta</w:t>
      </w:r>
      <w:r>
        <w:rPr>
          <w:rFonts w:ascii="Times New Roman" w:hAnsi="Times New Roman" w:cs="Times New Roman"/>
          <w:sz w:val="24"/>
          <w:szCs w:val="24"/>
          <w:lang w:val="ro-RO"/>
        </w:rPr>
        <w:t>t</w:t>
      </w:r>
      <w:r w:rsidR="005A3645" w:rsidRPr="004D2FF7">
        <w:rPr>
          <w:rFonts w:ascii="Times New Roman" w:hAnsi="Times New Roman" w:cs="Times New Roman"/>
          <w:sz w:val="24"/>
          <w:szCs w:val="24"/>
          <w:lang w:val="ro-RO"/>
        </w:rPr>
        <w:t xml:space="preserve"> regulamentar la grupa de conturi 317 </w:t>
      </w:r>
      <w:r w:rsidR="0070385B" w:rsidRPr="004D2FF7">
        <w:rPr>
          <w:rFonts w:ascii="Times New Roman" w:hAnsi="Times New Roman" w:cs="Times New Roman"/>
          <w:sz w:val="24"/>
          <w:szCs w:val="24"/>
          <w:lang w:val="ro-RO"/>
        </w:rPr>
        <w:t>„</w:t>
      </w:r>
      <w:r w:rsidR="005A3645" w:rsidRPr="004D2FF7">
        <w:rPr>
          <w:rFonts w:ascii="Times New Roman" w:hAnsi="Times New Roman" w:cs="Times New Roman"/>
          <w:sz w:val="24"/>
          <w:szCs w:val="24"/>
          <w:lang w:val="ro-RO"/>
        </w:rPr>
        <w:t>Active nemateriale</w:t>
      </w:r>
      <w:r w:rsidR="0070385B" w:rsidRPr="004D2FF7">
        <w:rPr>
          <w:rFonts w:ascii="Times New Roman" w:hAnsi="Times New Roman" w:cs="Times New Roman"/>
          <w:sz w:val="24"/>
          <w:szCs w:val="24"/>
          <w:lang w:val="ro-RO"/>
        </w:rPr>
        <w:t>”</w:t>
      </w:r>
      <w:r w:rsidR="005A3645" w:rsidRPr="004D2FF7">
        <w:rPr>
          <w:rStyle w:val="FootnoteReference"/>
          <w:rFonts w:ascii="Times New Roman" w:hAnsi="Times New Roman" w:cs="Times New Roman"/>
          <w:lang w:val="ro-RO"/>
        </w:rPr>
        <w:footnoteReference w:id="147"/>
      </w:r>
      <w:r w:rsidR="00DF4ABD" w:rsidRPr="004D2FF7">
        <w:rPr>
          <w:rFonts w:ascii="Times New Roman" w:hAnsi="Times New Roman" w:cs="Times New Roman"/>
          <w:sz w:val="24"/>
          <w:szCs w:val="24"/>
          <w:lang w:val="ro-RO"/>
        </w:rPr>
        <w:t>. Ulterior, în anul 2020 entitatea a reclasificat și a contabilizat activul în valoare de 1</w:t>
      </w:r>
      <w:r>
        <w:rPr>
          <w:rFonts w:ascii="Times New Roman" w:hAnsi="Times New Roman" w:cs="Times New Roman"/>
          <w:sz w:val="24"/>
          <w:szCs w:val="24"/>
          <w:lang w:val="ro-RO"/>
        </w:rPr>
        <w:t>.</w:t>
      </w:r>
      <w:r w:rsidR="00DF4ABD" w:rsidRPr="004D2FF7">
        <w:rPr>
          <w:rFonts w:ascii="Times New Roman" w:hAnsi="Times New Roman" w:cs="Times New Roman"/>
          <w:sz w:val="24"/>
          <w:szCs w:val="24"/>
          <w:lang w:val="ro-RO"/>
        </w:rPr>
        <w:t>122,0 mii lei la grupa de conuri 317 „Active nemateriale”;</w:t>
      </w:r>
    </w:p>
    <w:p w14:paraId="09E43F27" w14:textId="546EBCBD" w:rsidR="000012E5" w:rsidRPr="00717A78" w:rsidRDefault="00717A78" w:rsidP="00717A78">
      <w:pPr>
        <w:pStyle w:val="ListParagraph"/>
        <w:numPr>
          <w:ilvl w:val="0"/>
          <w:numId w:val="18"/>
        </w:numPr>
        <w:spacing w:before="120" w:after="0" w:line="276" w:lineRule="auto"/>
        <w:ind w:left="0" w:firstLine="360"/>
        <w:jc w:val="both"/>
        <w:rPr>
          <w:rFonts w:ascii="Times New Roman" w:hAnsi="Times New Roman" w:cs="Times New Roman"/>
          <w:sz w:val="24"/>
          <w:szCs w:val="24"/>
          <w:lang w:val="ro-RO"/>
        </w:rPr>
      </w:pPr>
      <w:r w:rsidRPr="00717A78">
        <w:rPr>
          <w:rFonts w:ascii="Times New Roman" w:hAnsi="Times New Roman" w:cs="Times New Roman"/>
          <w:sz w:val="24"/>
          <w:szCs w:val="24"/>
          <w:lang w:val="ro-RO"/>
        </w:rPr>
        <w:t>d</w:t>
      </w:r>
      <w:r w:rsidR="000012E5" w:rsidRPr="00717A78">
        <w:rPr>
          <w:rFonts w:ascii="Times New Roman" w:hAnsi="Times New Roman" w:cs="Times New Roman"/>
          <w:sz w:val="24"/>
          <w:szCs w:val="24"/>
          <w:lang w:val="ro-RO"/>
        </w:rPr>
        <w:t>eși sistemul informațional se utiliza de către CNPDCP în activitatea operațională din anul 2016, entitatea nu a stabilit regulamentar</w:t>
      </w:r>
      <w:r w:rsidR="000012E5" w:rsidRPr="004D2FF7">
        <w:rPr>
          <w:rStyle w:val="FootnoteReference"/>
          <w:rFonts w:ascii="Times New Roman" w:hAnsi="Times New Roman" w:cs="Times New Roman"/>
          <w:lang w:val="ro-RO"/>
        </w:rPr>
        <w:footnoteReference w:id="148"/>
      </w:r>
      <w:r w:rsidR="00C7718B" w:rsidRPr="00717A78">
        <w:rPr>
          <w:rFonts w:ascii="Times New Roman" w:hAnsi="Times New Roman" w:cs="Times New Roman"/>
          <w:sz w:val="24"/>
          <w:szCs w:val="24"/>
          <w:lang w:val="ro-RO"/>
        </w:rPr>
        <w:t xml:space="preserve"> </w:t>
      </w:r>
      <w:r w:rsidR="000012E5" w:rsidRPr="00717A78">
        <w:rPr>
          <w:rFonts w:ascii="Times New Roman" w:hAnsi="Times New Roman" w:cs="Times New Roman"/>
          <w:sz w:val="24"/>
          <w:szCs w:val="24"/>
          <w:lang w:val="ro-RO"/>
        </w:rPr>
        <w:t>durata de funcționare utilă, atribuind eronat</w:t>
      </w:r>
      <w:r w:rsidR="00DF4ABD" w:rsidRPr="00717A78">
        <w:rPr>
          <w:rFonts w:ascii="Times New Roman" w:hAnsi="Times New Roman" w:cs="Times New Roman"/>
          <w:sz w:val="24"/>
          <w:szCs w:val="24"/>
          <w:lang w:val="ro-RO"/>
        </w:rPr>
        <w:t xml:space="preserve"> în anii 2020-2021</w:t>
      </w:r>
      <w:r w:rsidR="000012E5" w:rsidRPr="00B0067B">
        <w:rPr>
          <w:rFonts w:ascii="Times New Roman" w:hAnsi="Times New Roman" w:cs="Times New Roman"/>
          <w:sz w:val="24"/>
          <w:szCs w:val="24"/>
          <w:lang w:val="ro-RO"/>
        </w:rPr>
        <w:t xml:space="preserve"> câte 561,0 mii lei</w:t>
      </w:r>
      <w:r w:rsidRPr="00B0067B">
        <w:rPr>
          <w:rFonts w:ascii="Times New Roman" w:hAnsi="Times New Roman" w:cs="Times New Roman"/>
          <w:sz w:val="24"/>
          <w:szCs w:val="24"/>
          <w:lang w:val="ro-RO"/>
        </w:rPr>
        <w:t>,</w:t>
      </w:r>
      <w:r w:rsidR="000012E5" w:rsidRPr="00021528">
        <w:rPr>
          <w:rFonts w:ascii="Times New Roman" w:hAnsi="Times New Roman" w:cs="Times New Roman"/>
          <w:sz w:val="24"/>
          <w:szCs w:val="24"/>
          <w:lang w:val="ro-RO"/>
        </w:rPr>
        <w:t xml:space="preserve"> sau 50% din valoarea amortizabilă a activului la contul 3920 „Amortizarea activelor nemateriale”, în loc de 187,0 mii lei </w:t>
      </w:r>
      <w:r w:rsidRPr="00717A78">
        <w:rPr>
          <w:rFonts w:ascii="Times New Roman" w:hAnsi="Times New Roman" w:cs="Times New Roman"/>
          <w:sz w:val="24"/>
          <w:szCs w:val="24"/>
          <w:lang w:val="ro-RO"/>
        </w:rPr>
        <w:t>–</w:t>
      </w:r>
      <w:r w:rsidR="00C7718B" w:rsidRPr="00717A78">
        <w:rPr>
          <w:rFonts w:ascii="Times New Roman" w:hAnsi="Times New Roman" w:cs="Times New Roman"/>
          <w:sz w:val="24"/>
          <w:szCs w:val="24"/>
          <w:lang w:val="ro-RO"/>
        </w:rPr>
        <w:t xml:space="preserve"> </w:t>
      </w:r>
      <w:r w:rsidR="000012E5" w:rsidRPr="00717A78">
        <w:rPr>
          <w:rFonts w:ascii="Times New Roman" w:hAnsi="Times New Roman" w:cs="Times New Roman"/>
          <w:sz w:val="24"/>
          <w:szCs w:val="24"/>
          <w:lang w:val="ro-RO"/>
        </w:rPr>
        <w:t>cheltuieli aferente amortizării anuale, majorând astfel neregulamentar</w:t>
      </w:r>
      <w:r w:rsidR="000012E5" w:rsidRPr="004D2FF7">
        <w:rPr>
          <w:rStyle w:val="FootnoteReference"/>
          <w:rFonts w:ascii="Times New Roman" w:hAnsi="Times New Roman" w:cs="Times New Roman"/>
          <w:lang w:val="ro-RO"/>
        </w:rPr>
        <w:footnoteReference w:id="149"/>
      </w:r>
      <w:r w:rsidR="000012E5" w:rsidRPr="00717A78">
        <w:rPr>
          <w:rFonts w:ascii="Times New Roman" w:hAnsi="Times New Roman" w:cs="Times New Roman"/>
          <w:sz w:val="24"/>
          <w:szCs w:val="24"/>
          <w:lang w:val="ro-RO"/>
        </w:rPr>
        <w:t xml:space="preserve"> cheltuielile perioadei și rezultatul financiar cu suma de 748,0 mii lei</w:t>
      </w:r>
      <w:r w:rsidR="000012E5" w:rsidRPr="004D2FF7">
        <w:rPr>
          <w:rStyle w:val="FootnoteReference"/>
          <w:rFonts w:ascii="Times New Roman" w:hAnsi="Times New Roman" w:cs="Times New Roman"/>
          <w:sz w:val="24"/>
          <w:szCs w:val="24"/>
          <w:lang w:val="ro-RO"/>
        </w:rPr>
        <w:footnoteReference w:id="150"/>
      </w:r>
      <w:r>
        <w:rPr>
          <w:rFonts w:ascii="Times New Roman" w:hAnsi="Times New Roman" w:cs="Times New Roman"/>
          <w:sz w:val="24"/>
          <w:szCs w:val="24"/>
          <w:lang w:val="ro-RO"/>
        </w:rPr>
        <w:t>;</w:t>
      </w:r>
      <w:r w:rsidR="000012E5" w:rsidRPr="00717A78">
        <w:rPr>
          <w:rFonts w:ascii="Times New Roman" w:hAnsi="Times New Roman" w:cs="Times New Roman"/>
          <w:sz w:val="24"/>
          <w:szCs w:val="24"/>
          <w:lang w:val="ro-RO"/>
        </w:rPr>
        <w:t xml:space="preserve"> </w:t>
      </w:r>
    </w:p>
    <w:p w14:paraId="14576D5F" w14:textId="08F479B8" w:rsidR="00531D04" w:rsidRPr="004D2FF7" w:rsidRDefault="00B44DFE" w:rsidP="00ED5A00">
      <w:pPr>
        <w:pStyle w:val="ListParagraph"/>
        <w:numPr>
          <w:ilvl w:val="0"/>
          <w:numId w:val="18"/>
        </w:numPr>
        <w:spacing w:before="120" w:after="0" w:line="276" w:lineRule="auto"/>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005A3645" w:rsidRPr="004D2FF7">
        <w:rPr>
          <w:rFonts w:ascii="Times New Roman" w:hAnsi="Times New Roman" w:cs="Times New Roman"/>
          <w:sz w:val="24"/>
          <w:szCs w:val="24"/>
          <w:lang w:val="ro-RO"/>
        </w:rPr>
        <w:t>n scopul eviden</w:t>
      </w:r>
      <w:r>
        <w:rPr>
          <w:rFonts w:ascii="Times New Roman" w:hAnsi="Times New Roman" w:cs="Times New Roman"/>
          <w:sz w:val="24"/>
          <w:szCs w:val="24"/>
          <w:lang w:val="ro-RO"/>
        </w:rPr>
        <w:t>ț</w:t>
      </w:r>
      <w:r w:rsidR="005A3645" w:rsidRPr="004D2FF7">
        <w:rPr>
          <w:rFonts w:ascii="Times New Roman" w:hAnsi="Times New Roman" w:cs="Times New Roman"/>
          <w:sz w:val="24"/>
          <w:szCs w:val="24"/>
          <w:lang w:val="ro-RO"/>
        </w:rPr>
        <w:t>ei prelucrărilor de date cu caracter personal,</w:t>
      </w:r>
      <w:r w:rsidR="00DF4ABD" w:rsidRPr="004D2FF7">
        <w:rPr>
          <w:rFonts w:ascii="Times New Roman" w:hAnsi="Times New Roman" w:cs="Times New Roman"/>
          <w:sz w:val="24"/>
          <w:szCs w:val="24"/>
          <w:lang w:val="ro-RO"/>
        </w:rPr>
        <w:t xml:space="preserve"> în perioada</w:t>
      </w:r>
      <w:r w:rsidR="00AA7AE6" w:rsidRPr="004D2FF7">
        <w:rPr>
          <w:rFonts w:ascii="Times New Roman" w:hAnsi="Times New Roman" w:cs="Times New Roman"/>
          <w:sz w:val="24"/>
          <w:szCs w:val="24"/>
          <w:lang w:val="ro-RO"/>
        </w:rPr>
        <w:t xml:space="preserve"> </w:t>
      </w:r>
      <w:r w:rsidR="00DF4ABD" w:rsidRPr="004D2FF7">
        <w:rPr>
          <w:rFonts w:ascii="Times New Roman" w:hAnsi="Times New Roman" w:cs="Times New Roman"/>
          <w:sz w:val="24"/>
          <w:szCs w:val="24"/>
          <w:lang w:val="ro-RO"/>
        </w:rPr>
        <w:t>2018-2021</w:t>
      </w:r>
      <w:r w:rsidR="005A3645" w:rsidRPr="004D2FF7">
        <w:rPr>
          <w:rFonts w:ascii="Times New Roman" w:hAnsi="Times New Roman" w:cs="Times New Roman"/>
          <w:sz w:val="24"/>
          <w:szCs w:val="24"/>
          <w:lang w:val="ro-RO"/>
        </w:rPr>
        <w:t xml:space="preserve"> </w:t>
      </w:r>
      <w:r w:rsidR="00573577" w:rsidRPr="004D2FF7">
        <w:rPr>
          <w:rFonts w:ascii="Times New Roman" w:hAnsi="Times New Roman" w:cs="Times New Roman"/>
          <w:sz w:val="24"/>
          <w:szCs w:val="24"/>
          <w:lang w:val="ro-RO"/>
        </w:rPr>
        <w:t>CNPDCP</w:t>
      </w:r>
      <w:r w:rsidR="005A3645" w:rsidRPr="004D2FF7">
        <w:rPr>
          <w:rFonts w:ascii="Times New Roman" w:hAnsi="Times New Roman" w:cs="Times New Roman"/>
          <w:sz w:val="24"/>
          <w:szCs w:val="24"/>
          <w:lang w:val="ro-RO"/>
        </w:rPr>
        <w:t xml:space="preserve"> a utilizat </w:t>
      </w:r>
      <w:r w:rsidR="00506159">
        <w:rPr>
          <w:rFonts w:ascii="Times New Roman" w:hAnsi="Times New Roman" w:cs="Times New Roman"/>
          <w:sz w:val="24"/>
          <w:szCs w:val="24"/>
          <w:lang w:val="ro-RO"/>
        </w:rPr>
        <w:t xml:space="preserve">SIA REODCP </w:t>
      </w:r>
      <w:r w:rsidR="005A3645" w:rsidRPr="004D2FF7">
        <w:rPr>
          <w:rFonts w:ascii="Times New Roman" w:hAnsi="Times New Roman" w:cs="Times New Roman"/>
          <w:sz w:val="24"/>
          <w:szCs w:val="24"/>
          <w:lang w:val="ro-RO"/>
        </w:rPr>
        <w:t>în activitatea operațională, fiind cheltuite mijloace bugetare pentru mentenanț</w:t>
      </w:r>
      <w:r w:rsidR="00DC3036" w:rsidRPr="004D2FF7">
        <w:rPr>
          <w:rFonts w:ascii="Times New Roman" w:hAnsi="Times New Roman" w:cs="Times New Roman"/>
          <w:sz w:val="24"/>
          <w:szCs w:val="24"/>
          <w:lang w:val="ro-RO"/>
        </w:rPr>
        <w:t>a</w:t>
      </w:r>
      <w:r w:rsidR="005A3645" w:rsidRPr="004D2FF7">
        <w:rPr>
          <w:rFonts w:ascii="Times New Roman" w:hAnsi="Times New Roman" w:cs="Times New Roman"/>
          <w:sz w:val="24"/>
          <w:szCs w:val="24"/>
          <w:lang w:val="ro-RO"/>
        </w:rPr>
        <w:t xml:space="preserve"> sistemul</w:t>
      </w:r>
      <w:r w:rsidR="00DC3036" w:rsidRPr="004D2FF7">
        <w:rPr>
          <w:rFonts w:ascii="Times New Roman" w:hAnsi="Times New Roman" w:cs="Times New Roman"/>
          <w:sz w:val="24"/>
          <w:szCs w:val="24"/>
          <w:lang w:val="ro-RO"/>
        </w:rPr>
        <w:t>ui</w:t>
      </w:r>
      <w:r w:rsidR="005A3645" w:rsidRPr="004D2FF7">
        <w:rPr>
          <w:rFonts w:ascii="Times New Roman" w:hAnsi="Times New Roman" w:cs="Times New Roman"/>
          <w:sz w:val="24"/>
          <w:szCs w:val="24"/>
          <w:lang w:val="ro-RO"/>
        </w:rPr>
        <w:t xml:space="preserve"> informațional în sumă de </w:t>
      </w:r>
      <w:r w:rsidR="00166FCF" w:rsidRPr="004D2FF7">
        <w:rPr>
          <w:rFonts w:ascii="Times New Roman" w:hAnsi="Times New Roman" w:cs="Times New Roman"/>
          <w:sz w:val="24"/>
          <w:szCs w:val="24"/>
        </w:rPr>
        <w:t>984,8</w:t>
      </w:r>
      <w:r w:rsidR="005A3645" w:rsidRPr="004D2FF7">
        <w:rPr>
          <w:rFonts w:ascii="Times New Roman" w:hAnsi="Times New Roman" w:cs="Times New Roman"/>
          <w:sz w:val="24"/>
          <w:szCs w:val="24"/>
          <w:lang w:val="ro-RO"/>
        </w:rPr>
        <w:t xml:space="preserve"> mii lei</w:t>
      </w:r>
      <w:r w:rsidR="00531D04" w:rsidRPr="004D2FF7">
        <w:rPr>
          <w:rFonts w:ascii="Times New Roman" w:hAnsi="Times New Roman" w:cs="Times New Roman"/>
          <w:sz w:val="24"/>
          <w:szCs w:val="24"/>
          <w:lang w:val="ro-RO"/>
        </w:rPr>
        <w:t>;</w:t>
      </w:r>
    </w:p>
    <w:p w14:paraId="790BA3CF" w14:textId="7C96FC35" w:rsidR="005476D2" w:rsidRPr="0072102A" w:rsidRDefault="00B44DFE" w:rsidP="00823746">
      <w:pPr>
        <w:pStyle w:val="ListParagraph"/>
        <w:numPr>
          <w:ilvl w:val="0"/>
          <w:numId w:val="18"/>
        </w:numPr>
        <w:spacing w:before="120" w:after="120" w:line="276" w:lineRule="auto"/>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o</w:t>
      </w:r>
      <w:r w:rsidR="00531D04" w:rsidRPr="0072102A">
        <w:rPr>
          <w:rFonts w:ascii="Times New Roman" w:hAnsi="Times New Roman" w:cs="Times New Roman"/>
          <w:sz w:val="24"/>
          <w:szCs w:val="24"/>
          <w:lang w:val="ro-RO"/>
        </w:rPr>
        <w:t>dată cu</w:t>
      </w:r>
      <w:r w:rsidR="005A3645" w:rsidRPr="0072102A">
        <w:rPr>
          <w:rFonts w:ascii="Times New Roman" w:hAnsi="Times New Roman" w:cs="Times New Roman"/>
          <w:sz w:val="24"/>
          <w:szCs w:val="24"/>
          <w:lang w:val="ro-RO"/>
        </w:rPr>
        <w:t xml:space="preserve"> </w:t>
      </w:r>
      <w:r w:rsidR="00777824" w:rsidRPr="0072102A">
        <w:rPr>
          <w:rFonts w:ascii="Times New Roman" w:hAnsi="Times New Roman" w:cs="Times New Roman"/>
          <w:sz w:val="24"/>
          <w:szCs w:val="24"/>
          <w:lang w:val="ro-RO"/>
        </w:rPr>
        <w:t xml:space="preserve">transmiterea la 30.12.2015 în gestiunea CNPDCP </w:t>
      </w:r>
      <w:r w:rsidR="005A3645" w:rsidRPr="0072102A">
        <w:rPr>
          <w:rFonts w:ascii="Times New Roman" w:hAnsi="Times New Roman" w:cs="Times New Roman"/>
          <w:sz w:val="24"/>
          <w:szCs w:val="24"/>
          <w:lang w:val="ro-RO"/>
        </w:rPr>
        <w:t xml:space="preserve">a SIA </w:t>
      </w:r>
      <w:r w:rsidR="001826F6" w:rsidRPr="0072102A">
        <w:rPr>
          <w:rFonts w:ascii="Times New Roman" w:hAnsi="Times New Roman" w:cs="Times New Roman"/>
          <w:sz w:val="24"/>
          <w:szCs w:val="24"/>
          <w:lang w:val="ro-RO"/>
        </w:rPr>
        <w:t>REODCP</w:t>
      </w:r>
      <w:r w:rsidR="00D37F91">
        <w:rPr>
          <w:rFonts w:ascii="Times New Roman" w:hAnsi="Times New Roman" w:cs="Times New Roman"/>
          <w:sz w:val="24"/>
          <w:szCs w:val="24"/>
          <w:lang w:val="ro-RO"/>
        </w:rPr>
        <w:t>,</w:t>
      </w:r>
      <w:r w:rsidR="00BD0AC8" w:rsidRPr="0072102A">
        <w:rPr>
          <w:rFonts w:ascii="Times New Roman" w:hAnsi="Times New Roman" w:cs="Times New Roman"/>
          <w:sz w:val="24"/>
          <w:szCs w:val="24"/>
          <w:lang w:val="ro-RO"/>
        </w:rPr>
        <w:t xml:space="preserve"> în valoare de 1</w:t>
      </w:r>
      <w:r>
        <w:rPr>
          <w:rFonts w:ascii="Times New Roman" w:hAnsi="Times New Roman" w:cs="Times New Roman"/>
          <w:sz w:val="24"/>
          <w:szCs w:val="24"/>
          <w:lang w:val="ro-RO"/>
        </w:rPr>
        <w:t>.</w:t>
      </w:r>
      <w:r w:rsidR="00BD0AC8" w:rsidRPr="0072102A">
        <w:rPr>
          <w:rFonts w:ascii="Times New Roman" w:hAnsi="Times New Roman" w:cs="Times New Roman"/>
          <w:sz w:val="24"/>
          <w:szCs w:val="24"/>
          <w:lang w:val="ro-RO"/>
        </w:rPr>
        <w:t>122,0 mii lei</w:t>
      </w:r>
      <w:r w:rsidR="005A3645" w:rsidRPr="0072102A">
        <w:rPr>
          <w:rFonts w:ascii="Times New Roman" w:hAnsi="Times New Roman" w:cs="Times New Roman"/>
          <w:sz w:val="24"/>
          <w:szCs w:val="24"/>
          <w:lang w:val="ro-RO"/>
        </w:rPr>
        <w:t>,</w:t>
      </w:r>
      <w:r w:rsidR="00311176" w:rsidRPr="0072102A">
        <w:rPr>
          <w:rFonts w:ascii="Times New Roman" w:hAnsi="Times New Roman" w:cs="Times New Roman"/>
          <w:sz w:val="24"/>
          <w:szCs w:val="24"/>
          <w:lang w:val="ro-RO"/>
        </w:rPr>
        <w:t xml:space="preserve"> concomitent </w:t>
      </w:r>
      <w:r w:rsidR="005A3645" w:rsidRPr="0072102A">
        <w:rPr>
          <w:rFonts w:ascii="Times New Roman" w:hAnsi="Times New Roman" w:cs="Times New Roman"/>
          <w:sz w:val="24"/>
          <w:szCs w:val="24"/>
          <w:lang w:val="ro-RO"/>
        </w:rPr>
        <w:t>prin Regulamentul UE nr.679 din 27 aprilie 2016</w:t>
      </w:r>
      <w:r w:rsidR="00531D04" w:rsidRPr="0072102A">
        <w:rPr>
          <w:rFonts w:ascii="Times New Roman" w:hAnsi="Times New Roman" w:cs="Times New Roman"/>
          <w:sz w:val="24"/>
          <w:szCs w:val="24"/>
          <w:lang w:val="ro-RO"/>
        </w:rPr>
        <w:t xml:space="preserve">, </w:t>
      </w:r>
      <w:r w:rsidR="005A3645" w:rsidRPr="0072102A">
        <w:rPr>
          <w:rFonts w:ascii="Times New Roman" w:hAnsi="Times New Roman" w:cs="Times New Roman"/>
          <w:sz w:val="24"/>
          <w:szCs w:val="24"/>
          <w:lang w:val="ro-RO"/>
        </w:rPr>
        <w:t>în vigoare din 2018</w:t>
      </w:r>
      <w:r w:rsidR="005A3645" w:rsidRPr="004D2FF7">
        <w:rPr>
          <w:rStyle w:val="FootnoteReference"/>
          <w:rFonts w:ascii="Times New Roman" w:hAnsi="Times New Roman" w:cs="Times New Roman"/>
          <w:lang w:val="ro-RO"/>
        </w:rPr>
        <w:footnoteReference w:id="151"/>
      </w:r>
      <w:r>
        <w:rPr>
          <w:rFonts w:ascii="Times New Roman" w:hAnsi="Times New Roman" w:cs="Times New Roman"/>
          <w:sz w:val="24"/>
          <w:szCs w:val="24"/>
          <w:lang w:val="ro-RO"/>
        </w:rPr>
        <w:t>,</w:t>
      </w:r>
      <w:r w:rsidR="005A3645" w:rsidRPr="0072102A">
        <w:rPr>
          <w:rFonts w:ascii="Times New Roman" w:hAnsi="Times New Roman" w:cs="Times New Roman"/>
          <w:sz w:val="24"/>
          <w:szCs w:val="24"/>
          <w:lang w:val="ro-RO"/>
        </w:rPr>
        <w:t xml:space="preserve"> a fost abrogată Directiva UE 95/46/CE</w:t>
      </w:r>
      <w:r w:rsidR="00550C17" w:rsidRPr="0072102A">
        <w:rPr>
          <w:rFonts w:ascii="Times New Roman" w:eastAsia="Times New Roman" w:hAnsi="Times New Roman" w:cs="Times New Roman"/>
          <w:sz w:val="24"/>
          <w:szCs w:val="24"/>
          <w:lang w:val="ro-RO"/>
        </w:rPr>
        <w:t xml:space="preserve"> a Parlamentului European și a Consiliului din 24 octombrie 1995</w:t>
      </w:r>
      <w:r w:rsidR="005A3645" w:rsidRPr="0072102A">
        <w:rPr>
          <w:rFonts w:ascii="Times New Roman" w:hAnsi="Times New Roman" w:cs="Times New Roman"/>
          <w:sz w:val="24"/>
          <w:szCs w:val="24"/>
          <w:lang w:val="ro-RO"/>
        </w:rPr>
        <w:t>, care prevedea</w:t>
      </w:r>
      <w:r w:rsidR="00A4619C" w:rsidRPr="0072102A">
        <w:rPr>
          <w:rFonts w:ascii="Times New Roman" w:hAnsi="Times New Roman" w:cs="Times New Roman"/>
          <w:sz w:val="24"/>
          <w:szCs w:val="24"/>
          <w:lang w:val="ro-RO"/>
        </w:rPr>
        <w:t xml:space="preserve"> ținerea Registrului nominalizat. P</w:t>
      </w:r>
      <w:r w:rsidR="005A3645" w:rsidRPr="0072102A">
        <w:rPr>
          <w:rFonts w:ascii="Times New Roman" w:hAnsi="Times New Roman" w:cs="Times New Roman"/>
          <w:sz w:val="24"/>
          <w:szCs w:val="24"/>
          <w:lang w:val="ro-RO"/>
        </w:rPr>
        <w:t xml:space="preserve">rin </w:t>
      </w:r>
      <w:r w:rsidR="009E72D4" w:rsidRPr="0072102A">
        <w:rPr>
          <w:rFonts w:ascii="Times New Roman" w:hAnsi="Times New Roman" w:cs="Times New Roman"/>
          <w:sz w:val="24"/>
          <w:szCs w:val="24"/>
          <w:lang w:val="ro-RO"/>
        </w:rPr>
        <w:t>L</w:t>
      </w:r>
      <w:r w:rsidR="005A3645" w:rsidRPr="0072102A">
        <w:rPr>
          <w:rFonts w:ascii="Times New Roman" w:hAnsi="Times New Roman" w:cs="Times New Roman"/>
          <w:sz w:val="24"/>
          <w:szCs w:val="24"/>
          <w:lang w:val="ro-RO"/>
        </w:rPr>
        <w:t xml:space="preserve">egea </w:t>
      </w:r>
      <w:r w:rsidR="00550C17" w:rsidRPr="0072102A">
        <w:rPr>
          <w:rFonts w:ascii="Times New Roman" w:hAnsi="Times New Roman" w:cs="Times New Roman"/>
          <w:sz w:val="24"/>
          <w:szCs w:val="24"/>
          <w:lang w:val="ro-RO"/>
        </w:rPr>
        <w:t xml:space="preserve">nr. </w:t>
      </w:r>
      <w:r w:rsidR="005A3645" w:rsidRPr="0072102A">
        <w:rPr>
          <w:rFonts w:ascii="Times New Roman" w:hAnsi="Times New Roman" w:cs="Times New Roman"/>
          <w:sz w:val="24"/>
          <w:szCs w:val="24"/>
          <w:lang w:val="ro-RO"/>
        </w:rPr>
        <w:t xml:space="preserve">175/2021 pentru modificarea </w:t>
      </w:r>
      <w:r w:rsidR="009E72D4" w:rsidRPr="0072102A">
        <w:rPr>
          <w:rFonts w:ascii="Times New Roman" w:hAnsi="Times New Roman" w:cs="Times New Roman"/>
          <w:sz w:val="24"/>
          <w:szCs w:val="24"/>
          <w:lang w:val="ro-RO"/>
        </w:rPr>
        <w:t>L</w:t>
      </w:r>
      <w:r w:rsidR="005A3645" w:rsidRPr="0072102A">
        <w:rPr>
          <w:rFonts w:ascii="Times New Roman" w:hAnsi="Times New Roman" w:cs="Times New Roman"/>
          <w:sz w:val="24"/>
          <w:szCs w:val="24"/>
          <w:lang w:val="ro-RO"/>
        </w:rPr>
        <w:t xml:space="preserve">egii nr.133/2011 și punerii în aplicare a Hotărârii Guvernului nr.282 din 27.04.2022, SIA </w:t>
      </w:r>
      <w:r w:rsidR="0072102A" w:rsidRPr="0072102A">
        <w:rPr>
          <w:rFonts w:ascii="Times New Roman" w:hAnsi="Times New Roman" w:cs="Times New Roman"/>
          <w:sz w:val="24"/>
          <w:szCs w:val="24"/>
          <w:lang w:val="ro-RO"/>
        </w:rPr>
        <w:t>REODCP</w:t>
      </w:r>
      <w:r w:rsidR="00C23240" w:rsidRPr="0072102A">
        <w:rPr>
          <w:rFonts w:ascii="Times New Roman" w:hAnsi="Times New Roman" w:cs="Times New Roman"/>
          <w:sz w:val="24"/>
          <w:szCs w:val="24"/>
          <w:lang w:val="ro-RO"/>
        </w:rPr>
        <w:t xml:space="preserve"> a fost lichidat. </w:t>
      </w:r>
      <w:r w:rsidR="00640B8F" w:rsidRPr="0072102A">
        <w:rPr>
          <w:rFonts w:ascii="Times New Roman" w:hAnsi="Times New Roman" w:cs="Times New Roman"/>
          <w:sz w:val="24"/>
          <w:szCs w:val="24"/>
          <w:lang w:val="ro-RO"/>
        </w:rPr>
        <w:t>A</w:t>
      </w:r>
      <w:r w:rsidR="005A3645" w:rsidRPr="0072102A">
        <w:rPr>
          <w:rFonts w:ascii="Times New Roman" w:hAnsi="Times New Roman" w:cs="Times New Roman"/>
          <w:sz w:val="24"/>
          <w:szCs w:val="24"/>
          <w:lang w:val="ro-RO"/>
        </w:rPr>
        <w:t xml:space="preserve">linierea tardivă a legislației naționale în domeniul datelor cu caracter personal la acquis-ul comunitar </w:t>
      </w:r>
      <w:r w:rsidR="00C23240" w:rsidRPr="0072102A">
        <w:rPr>
          <w:rFonts w:ascii="Times New Roman" w:hAnsi="Times New Roman" w:cs="Times New Roman"/>
          <w:sz w:val="24"/>
          <w:szCs w:val="24"/>
          <w:lang w:val="ro-RO"/>
        </w:rPr>
        <w:t>prin</w:t>
      </w:r>
      <w:r w:rsidR="005A3645" w:rsidRPr="0072102A">
        <w:rPr>
          <w:rFonts w:ascii="Times New Roman" w:hAnsi="Times New Roman" w:cs="Times New Roman"/>
          <w:sz w:val="24"/>
          <w:szCs w:val="24"/>
          <w:lang w:val="ro-RO"/>
        </w:rPr>
        <w:t xml:space="preserve"> transpun</w:t>
      </w:r>
      <w:r w:rsidR="00C23240" w:rsidRPr="0072102A">
        <w:rPr>
          <w:rFonts w:ascii="Times New Roman" w:hAnsi="Times New Roman" w:cs="Times New Roman"/>
          <w:sz w:val="24"/>
          <w:szCs w:val="24"/>
          <w:lang w:val="ro-RO"/>
        </w:rPr>
        <w:t xml:space="preserve">erea parțială a Directivelor UE, </w:t>
      </w:r>
      <w:r w:rsidR="00D37F91">
        <w:rPr>
          <w:rFonts w:ascii="Times New Roman" w:hAnsi="Times New Roman" w:cs="Times New Roman"/>
          <w:sz w:val="24"/>
          <w:szCs w:val="24"/>
          <w:lang w:val="ro-RO"/>
        </w:rPr>
        <w:t>dar și</w:t>
      </w:r>
      <w:r w:rsidR="00C23240" w:rsidRPr="0072102A">
        <w:rPr>
          <w:rFonts w:ascii="Times New Roman" w:hAnsi="Times New Roman" w:cs="Times New Roman"/>
          <w:sz w:val="24"/>
          <w:szCs w:val="24"/>
          <w:lang w:val="ro-RO"/>
        </w:rPr>
        <w:t xml:space="preserve"> lipsa adoptării </w:t>
      </w:r>
      <w:r w:rsidR="00FB4741" w:rsidRPr="0072102A">
        <w:rPr>
          <w:rFonts w:ascii="Times New Roman" w:hAnsi="Times New Roman" w:cs="Times New Roman"/>
          <w:sz w:val="24"/>
          <w:szCs w:val="24"/>
          <w:lang w:val="ro-RO"/>
        </w:rPr>
        <w:t>unui cadru normativ nou</w:t>
      </w:r>
      <w:r w:rsidR="00C23240" w:rsidRPr="0072102A">
        <w:rPr>
          <w:rFonts w:ascii="Times New Roman" w:hAnsi="Times New Roman" w:cs="Times New Roman"/>
          <w:sz w:val="24"/>
          <w:szCs w:val="24"/>
          <w:lang w:val="ro-RO"/>
        </w:rPr>
        <w:t xml:space="preserve"> privind protecția datelor cu caracter personal</w:t>
      </w:r>
      <w:r w:rsidR="00FB4741" w:rsidRPr="0072102A">
        <w:rPr>
          <w:rFonts w:ascii="Times New Roman" w:hAnsi="Times New Roman" w:cs="Times New Roman"/>
          <w:sz w:val="24"/>
          <w:szCs w:val="24"/>
          <w:lang w:val="ro-RO"/>
        </w:rPr>
        <w:t>, precum</w:t>
      </w:r>
      <w:r w:rsidR="00C23240" w:rsidRPr="0072102A">
        <w:rPr>
          <w:rFonts w:ascii="Times New Roman" w:hAnsi="Times New Roman" w:cs="Times New Roman"/>
          <w:sz w:val="24"/>
          <w:szCs w:val="24"/>
          <w:lang w:val="ro-RO"/>
        </w:rPr>
        <w:t xml:space="preserve"> și </w:t>
      </w:r>
      <w:r w:rsidR="00D37F91">
        <w:rPr>
          <w:rFonts w:ascii="Times New Roman" w:hAnsi="Times New Roman" w:cs="Times New Roman"/>
          <w:sz w:val="24"/>
          <w:szCs w:val="24"/>
          <w:lang w:val="ro-RO"/>
        </w:rPr>
        <w:t>a</w:t>
      </w:r>
      <w:r w:rsidR="00C23240" w:rsidRPr="0072102A">
        <w:rPr>
          <w:rFonts w:ascii="Times New Roman" w:hAnsi="Times New Roman" w:cs="Times New Roman"/>
          <w:sz w:val="24"/>
          <w:szCs w:val="24"/>
          <w:lang w:val="ro-RO"/>
        </w:rPr>
        <w:t xml:space="preserve"> unei</w:t>
      </w:r>
      <w:r w:rsidR="005A3645" w:rsidRPr="0072102A">
        <w:rPr>
          <w:rFonts w:ascii="Times New Roman" w:hAnsi="Times New Roman" w:cs="Times New Roman"/>
          <w:sz w:val="24"/>
          <w:szCs w:val="24"/>
          <w:lang w:val="ro-RO"/>
        </w:rPr>
        <w:t xml:space="preserve"> Strategi</w:t>
      </w:r>
      <w:r w:rsidR="00C23240" w:rsidRPr="0072102A">
        <w:rPr>
          <w:rFonts w:ascii="Times New Roman" w:hAnsi="Times New Roman" w:cs="Times New Roman"/>
          <w:sz w:val="24"/>
          <w:szCs w:val="24"/>
          <w:lang w:val="ro-RO"/>
        </w:rPr>
        <w:t>i</w:t>
      </w:r>
      <w:r w:rsidR="005A3645" w:rsidRPr="0072102A">
        <w:rPr>
          <w:rFonts w:ascii="Times New Roman" w:hAnsi="Times New Roman" w:cs="Times New Roman"/>
          <w:sz w:val="24"/>
          <w:szCs w:val="24"/>
          <w:lang w:val="ro-RO"/>
        </w:rPr>
        <w:t xml:space="preserve"> de dezvoltare a C</w:t>
      </w:r>
      <w:r w:rsidR="00FB4741" w:rsidRPr="0072102A">
        <w:rPr>
          <w:rFonts w:ascii="Times New Roman" w:hAnsi="Times New Roman" w:cs="Times New Roman"/>
          <w:sz w:val="24"/>
          <w:szCs w:val="24"/>
          <w:lang w:val="ro-RO"/>
        </w:rPr>
        <w:t>NPDCP</w:t>
      </w:r>
      <w:r w:rsidR="005A3645" w:rsidRPr="0072102A">
        <w:rPr>
          <w:rFonts w:ascii="Times New Roman" w:hAnsi="Times New Roman" w:cs="Times New Roman"/>
          <w:sz w:val="24"/>
          <w:szCs w:val="24"/>
          <w:lang w:val="ro-RO"/>
        </w:rPr>
        <w:t xml:space="preserve"> au generat cheltuieli bugetare ineficiente/suplimentare</w:t>
      </w:r>
      <w:r w:rsidR="00777824" w:rsidRPr="0072102A">
        <w:rPr>
          <w:rFonts w:ascii="Times New Roman" w:hAnsi="Times New Roman" w:cs="Times New Roman"/>
          <w:sz w:val="24"/>
          <w:szCs w:val="24"/>
          <w:lang w:val="ro-RO"/>
        </w:rPr>
        <w:t xml:space="preserve"> pentru mentenanț</w:t>
      </w:r>
      <w:r w:rsidR="00D37F91">
        <w:rPr>
          <w:rFonts w:ascii="Times New Roman" w:hAnsi="Times New Roman" w:cs="Times New Roman"/>
          <w:sz w:val="24"/>
          <w:szCs w:val="24"/>
          <w:lang w:val="ro-RO"/>
        </w:rPr>
        <w:t>a</w:t>
      </w:r>
      <w:r w:rsidR="00392486" w:rsidRPr="00392486">
        <w:rPr>
          <w:rFonts w:ascii="Times New Roman" w:hAnsi="Times New Roman" w:cs="Times New Roman"/>
          <w:sz w:val="24"/>
          <w:szCs w:val="24"/>
          <w:lang w:val="ro-RO"/>
        </w:rPr>
        <w:t xml:space="preserve"> </w:t>
      </w:r>
      <w:r w:rsidR="00392486" w:rsidRPr="0072102A">
        <w:rPr>
          <w:rFonts w:ascii="Times New Roman" w:hAnsi="Times New Roman" w:cs="Times New Roman"/>
          <w:sz w:val="24"/>
          <w:szCs w:val="24"/>
          <w:lang w:val="ro-RO"/>
        </w:rPr>
        <w:t>SIA REODCP</w:t>
      </w:r>
      <w:r w:rsidR="009A4E2E" w:rsidRPr="0072102A">
        <w:rPr>
          <w:rFonts w:ascii="Times New Roman" w:hAnsi="Times New Roman" w:cs="Times New Roman"/>
          <w:sz w:val="24"/>
          <w:szCs w:val="24"/>
          <w:lang w:val="ro-RO"/>
        </w:rPr>
        <w:t xml:space="preserve"> în sumă de </w:t>
      </w:r>
      <w:r w:rsidR="00F470FB" w:rsidRPr="0072102A">
        <w:rPr>
          <w:rFonts w:ascii="Times New Roman" w:hAnsi="Times New Roman" w:cs="Times New Roman"/>
          <w:sz w:val="24"/>
          <w:szCs w:val="24"/>
        </w:rPr>
        <w:t>984,8</w:t>
      </w:r>
      <w:r w:rsidR="00F470FB" w:rsidRPr="0072102A">
        <w:rPr>
          <w:rFonts w:ascii="Times New Roman" w:hAnsi="Times New Roman" w:cs="Times New Roman"/>
          <w:sz w:val="24"/>
          <w:szCs w:val="24"/>
          <w:lang w:val="ro-RO"/>
        </w:rPr>
        <w:t xml:space="preserve"> mii lei</w:t>
      </w:r>
      <w:r w:rsidR="005A3645" w:rsidRPr="0072102A">
        <w:rPr>
          <w:rFonts w:ascii="Times New Roman" w:hAnsi="Times New Roman" w:cs="Times New Roman"/>
          <w:sz w:val="24"/>
          <w:szCs w:val="24"/>
          <w:lang w:val="ro-RO"/>
        </w:rPr>
        <w:t>.</w:t>
      </w:r>
    </w:p>
    <w:p w14:paraId="4E983548" w14:textId="378D59EB" w:rsidR="005476D2" w:rsidRPr="004D2FF7" w:rsidRDefault="005476D2" w:rsidP="005476D2">
      <w:pPr>
        <w:spacing w:after="120" w:line="276" w:lineRule="auto"/>
        <w:jc w:val="both"/>
        <w:rPr>
          <w:rFonts w:ascii="Times New Roman" w:hAnsi="Times New Roman" w:cs="Times New Roman"/>
          <w:sz w:val="24"/>
          <w:szCs w:val="24"/>
          <w:lang w:val="ro-RO"/>
        </w:rPr>
      </w:pPr>
      <w:r w:rsidRPr="004D2FF7">
        <w:rPr>
          <w:rFonts w:ascii="Times New Roman" w:hAnsi="Times New Roman" w:cs="Times New Roman"/>
          <w:color w:val="000000" w:themeColor="text1"/>
          <w:sz w:val="24"/>
          <w:szCs w:val="24"/>
          <w:lang w:val="ro-RO"/>
        </w:rPr>
        <w:t xml:space="preserve">Nerespectând </w:t>
      </w:r>
      <w:r w:rsidRPr="004D2FF7">
        <w:rPr>
          <w:rFonts w:ascii="Times New Roman" w:hAnsi="Times New Roman" w:cs="Times New Roman"/>
          <w:sz w:val="24"/>
          <w:szCs w:val="24"/>
        </w:rPr>
        <w:t xml:space="preserve">Ordinul ministrului </w:t>
      </w:r>
      <w:r w:rsidR="00D37F91">
        <w:rPr>
          <w:rFonts w:ascii="Times New Roman" w:hAnsi="Times New Roman" w:cs="Times New Roman"/>
          <w:sz w:val="24"/>
          <w:szCs w:val="24"/>
        </w:rPr>
        <w:t>F</w:t>
      </w:r>
      <w:r w:rsidRPr="004D2FF7">
        <w:rPr>
          <w:rFonts w:ascii="Times New Roman" w:hAnsi="Times New Roman" w:cs="Times New Roman"/>
          <w:sz w:val="24"/>
          <w:szCs w:val="24"/>
        </w:rPr>
        <w:t>inanțelor nr.216 din 28.12.2015</w:t>
      </w:r>
      <w:r w:rsidRPr="004D2FF7">
        <w:rPr>
          <w:rStyle w:val="FootnoteReference"/>
          <w:rFonts w:ascii="Times New Roman" w:hAnsi="Times New Roman" w:cs="Times New Roman"/>
          <w:color w:val="000000" w:themeColor="text1"/>
          <w:sz w:val="24"/>
          <w:szCs w:val="24"/>
          <w:lang w:val="ro-RO"/>
        </w:rPr>
        <w:footnoteReference w:id="152"/>
      </w:r>
      <w:r w:rsidRPr="004D2FF7">
        <w:rPr>
          <w:rFonts w:ascii="Times New Roman" w:hAnsi="Times New Roman" w:cs="Times New Roman"/>
          <w:color w:val="000000" w:themeColor="text1"/>
          <w:sz w:val="24"/>
          <w:szCs w:val="24"/>
          <w:lang w:val="ro-RO"/>
        </w:rPr>
        <w:t xml:space="preserve">, care prevede repartizarea în mod sistematic a valorii uzurabile a activului pe parcursul duratei de funcționare utilă, entitatea nu a calculat uzura/amortizarea pentru 251 de mijloace fixe/active nemateriale la valoarea de intrare în sumă de  575,6 mii lei, ca rezultat </w:t>
      </w:r>
      <w:r w:rsidR="00D37F91">
        <w:rPr>
          <w:rFonts w:ascii="Times New Roman" w:hAnsi="Times New Roman" w:cs="Times New Roman"/>
          <w:color w:val="000000" w:themeColor="text1"/>
          <w:sz w:val="24"/>
          <w:szCs w:val="24"/>
          <w:lang w:val="ro-RO"/>
        </w:rPr>
        <w:t>fiind</w:t>
      </w:r>
      <w:r w:rsidRPr="004D2FF7">
        <w:rPr>
          <w:rFonts w:ascii="Times New Roman" w:hAnsi="Times New Roman" w:cs="Times New Roman"/>
          <w:color w:val="000000" w:themeColor="text1"/>
          <w:sz w:val="24"/>
          <w:szCs w:val="24"/>
          <w:lang w:val="ro-RO"/>
        </w:rPr>
        <w:t xml:space="preserve"> diminuate cheltuielile perioadei</w:t>
      </w:r>
      <w:r w:rsidR="000C7D38">
        <w:rPr>
          <w:rFonts w:ascii="Times New Roman" w:hAnsi="Times New Roman" w:cs="Times New Roman"/>
          <w:color w:val="000000" w:themeColor="text1"/>
          <w:sz w:val="24"/>
          <w:szCs w:val="24"/>
          <w:lang w:val="ro-RO"/>
        </w:rPr>
        <w:t xml:space="preserve"> cu suma nominalizată</w:t>
      </w:r>
      <w:r w:rsidR="00D37F91">
        <w:rPr>
          <w:rFonts w:ascii="Times New Roman" w:hAnsi="Times New Roman" w:cs="Times New Roman"/>
          <w:color w:val="000000" w:themeColor="text1"/>
          <w:sz w:val="24"/>
          <w:szCs w:val="24"/>
          <w:lang w:val="ro-RO"/>
        </w:rPr>
        <w:t>, ceea ce a avut</w:t>
      </w:r>
      <w:r w:rsidR="000C7D38">
        <w:rPr>
          <w:rFonts w:ascii="Times New Roman" w:hAnsi="Times New Roman" w:cs="Times New Roman"/>
          <w:color w:val="000000" w:themeColor="text1"/>
          <w:sz w:val="24"/>
          <w:szCs w:val="24"/>
          <w:lang w:val="ro-RO"/>
        </w:rPr>
        <w:t xml:space="preserve"> impact asupra </w:t>
      </w:r>
      <w:r w:rsidRPr="004D2FF7">
        <w:rPr>
          <w:rFonts w:ascii="Times New Roman" w:hAnsi="Times New Roman" w:cs="Times New Roman"/>
          <w:color w:val="000000" w:themeColor="text1"/>
          <w:sz w:val="24"/>
          <w:szCs w:val="24"/>
          <w:lang w:val="ro-RO"/>
        </w:rPr>
        <w:t>rezultatul</w:t>
      </w:r>
      <w:r w:rsidR="000C7D38">
        <w:rPr>
          <w:rFonts w:ascii="Times New Roman" w:hAnsi="Times New Roman" w:cs="Times New Roman"/>
          <w:color w:val="000000" w:themeColor="text1"/>
          <w:sz w:val="24"/>
          <w:szCs w:val="24"/>
          <w:lang w:val="ro-RO"/>
        </w:rPr>
        <w:t>ui</w:t>
      </w:r>
      <w:r w:rsidRPr="004D2FF7">
        <w:rPr>
          <w:rFonts w:ascii="Times New Roman" w:hAnsi="Times New Roman" w:cs="Times New Roman"/>
          <w:color w:val="000000" w:themeColor="text1"/>
          <w:sz w:val="24"/>
          <w:szCs w:val="24"/>
          <w:lang w:val="ro-RO"/>
        </w:rPr>
        <w:t xml:space="preserve"> financiar</w:t>
      </w:r>
      <w:r w:rsidR="00D37F91">
        <w:rPr>
          <w:rFonts w:ascii="Times New Roman" w:hAnsi="Times New Roman" w:cs="Times New Roman"/>
          <w:color w:val="000000" w:themeColor="text1"/>
          <w:sz w:val="24"/>
          <w:szCs w:val="24"/>
          <w:lang w:val="ro-RO"/>
        </w:rPr>
        <w:t>.</w:t>
      </w:r>
    </w:p>
    <w:p w14:paraId="4040F960" w14:textId="1B015EF9" w:rsidR="005476D2" w:rsidRPr="004D2FF7" w:rsidRDefault="005476D2" w:rsidP="005476D2">
      <w:pPr>
        <w:tabs>
          <w:tab w:val="left" w:pos="426"/>
        </w:tabs>
        <w:spacing w:before="120" w:after="0" w:line="276" w:lineRule="auto"/>
        <w:jc w:val="both"/>
        <w:rPr>
          <w:rFonts w:ascii="Times New Roman" w:hAnsi="Times New Roman" w:cs="Times New Roman"/>
          <w:sz w:val="24"/>
          <w:szCs w:val="24"/>
          <w:lang w:val="ro-RO"/>
        </w:rPr>
      </w:pPr>
      <w:r w:rsidRPr="004D2FF7">
        <w:rPr>
          <w:rFonts w:ascii="Times New Roman" w:hAnsi="Times New Roman" w:cs="Times New Roman"/>
          <w:color w:val="000000" w:themeColor="text1"/>
          <w:sz w:val="24"/>
          <w:szCs w:val="24"/>
          <w:lang w:val="ro-RO"/>
        </w:rPr>
        <w:t>Potrivit normelor</w:t>
      </w:r>
      <w:r w:rsidRPr="004D2FF7">
        <w:rPr>
          <w:rStyle w:val="FootnoteReference"/>
          <w:rFonts w:ascii="Times New Roman" w:hAnsi="Times New Roman" w:cs="Times New Roman"/>
          <w:color w:val="000000" w:themeColor="text1"/>
          <w:lang w:val="ro-RO"/>
        </w:rPr>
        <w:footnoteReference w:id="153"/>
      </w:r>
      <w:r w:rsidRPr="004D2FF7">
        <w:rPr>
          <w:rFonts w:ascii="Times New Roman" w:hAnsi="Times New Roman" w:cs="Times New Roman"/>
          <w:color w:val="000000" w:themeColor="text1"/>
          <w:sz w:val="24"/>
          <w:szCs w:val="24"/>
          <w:lang w:val="ro-RO"/>
        </w:rPr>
        <w:t>, reparațiile mijloacelor fixe, care măresc durata de funcționare utilă</w:t>
      </w:r>
      <w:r w:rsidR="00D37F91">
        <w:rPr>
          <w:rFonts w:ascii="Times New Roman" w:hAnsi="Times New Roman" w:cs="Times New Roman"/>
          <w:color w:val="000000" w:themeColor="text1"/>
          <w:sz w:val="24"/>
          <w:szCs w:val="24"/>
          <w:lang w:val="ro-RO"/>
        </w:rPr>
        <w:t>,</w:t>
      </w:r>
      <w:r w:rsidRPr="004D2FF7">
        <w:rPr>
          <w:rFonts w:ascii="Times New Roman" w:hAnsi="Times New Roman" w:cs="Times New Roman"/>
          <w:color w:val="000000" w:themeColor="text1"/>
          <w:sz w:val="24"/>
          <w:szCs w:val="24"/>
          <w:lang w:val="ro-RO"/>
        </w:rPr>
        <w:t xml:space="preserve"> urmează a fi atribuite la majorarea valorii de bilanț a activelor. Entitatea nu s-a conformat normelor menționate, raportând la cheltuielile perioadei valoarea reparațiilor</w:t>
      </w:r>
      <w:r w:rsidR="00663EC2" w:rsidRPr="004D2FF7">
        <w:rPr>
          <w:rFonts w:ascii="Times New Roman" w:hAnsi="Times New Roman" w:cs="Times New Roman"/>
          <w:color w:val="000000" w:themeColor="text1"/>
          <w:sz w:val="24"/>
          <w:szCs w:val="24"/>
          <w:lang w:val="ro-RO"/>
        </w:rPr>
        <w:t xml:space="preserve"> în sumă de 7</w:t>
      </w:r>
      <w:r w:rsidR="001F790B" w:rsidRPr="004D2FF7">
        <w:rPr>
          <w:rFonts w:ascii="Times New Roman" w:hAnsi="Times New Roman" w:cs="Times New Roman"/>
          <w:color w:val="000000" w:themeColor="text1"/>
          <w:sz w:val="24"/>
          <w:szCs w:val="24"/>
          <w:lang w:val="ro-RO"/>
        </w:rPr>
        <w:t>3</w:t>
      </w:r>
      <w:r w:rsidR="00663EC2" w:rsidRPr="004D2FF7">
        <w:rPr>
          <w:rFonts w:ascii="Times New Roman" w:hAnsi="Times New Roman" w:cs="Times New Roman"/>
          <w:color w:val="000000" w:themeColor="text1"/>
          <w:sz w:val="24"/>
          <w:szCs w:val="24"/>
          <w:lang w:val="ro-RO"/>
        </w:rPr>
        <w:t>,</w:t>
      </w:r>
      <w:r w:rsidR="001F790B" w:rsidRPr="004D2FF7">
        <w:rPr>
          <w:rFonts w:ascii="Times New Roman" w:hAnsi="Times New Roman" w:cs="Times New Roman"/>
          <w:color w:val="000000" w:themeColor="text1"/>
          <w:sz w:val="24"/>
          <w:szCs w:val="24"/>
          <w:lang w:val="ro-RO"/>
        </w:rPr>
        <w:t>4</w:t>
      </w:r>
      <w:r w:rsidR="00663EC2" w:rsidRPr="004D2FF7">
        <w:rPr>
          <w:rFonts w:ascii="Times New Roman" w:hAnsi="Times New Roman" w:cs="Times New Roman"/>
          <w:color w:val="000000" w:themeColor="text1"/>
          <w:sz w:val="24"/>
          <w:szCs w:val="24"/>
          <w:lang w:val="ro-RO"/>
        </w:rPr>
        <w:t xml:space="preserve"> mii lei, inclusiv 59,1 mii lei</w:t>
      </w:r>
      <w:r w:rsidR="00D37F91">
        <w:rPr>
          <w:rFonts w:ascii="Times New Roman" w:hAnsi="Times New Roman" w:cs="Times New Roman"/>
          <w:color w:val="000000" w:themeColor="text1"/>
          <w:sz w:val="24"/>
          <w:szCs w:val="24"/>
          <w:lang w:val="ro-RO"/>
        </w:rPr>
        <w:t xml:space="preserve"> –</w:t>
      </w:r>
      <w:r w:rsidR="00663EC2" w:rsidRPr="004D2FF7">
        <w:rPr>
          <w:rFonts w:ascii="Times New Roman" w:hAnsi="Times New Roman" w:cs="Times New Roman"/>
          <w:color w:val="000000" w:themeColor="text1"/>
          <w:sz w:val="24"/>
          <w:szCs w:val="24"/>
          <w:lang w:val="ro-RO"/>
        </w:rPr>
        <w:t xml:space="preserve"> </w:t>
      </w:r>
      <w:r w:rsidR="00D37F91">
        <w:rPr>
          <w:rFonts w:ascii="Times New Roman" w:hAnsi="Times New Roman" w:cs="Times New Roman"/>
          <w:color w:val="000000" w:themeColor="text1"/>
          <w:sz w:val="24"/>
          <w:szCs w:val="24"/>
          <w:lang w:val="ro-RO"/>
        </w:rPr>
        <w:t xml:space="preserve">pentru </w:t>
      </w:r>
      <w:r w:rsidR="00663EC2" w:rsidRPr="004D2FF7">
        <w:rPr>
          <w:rFonts w:ascii="Times New Roman" w:hAnsi="Times New Roman" w:cs="Times New Roman"/>
          <w:color w:val="000000" w:themeColor="text1"/>
          <w:sz w:val="24"/>
          <w:szCs w:val="24"/>
          <w:lang w:val="ro-RO"/>
        </w:rPr>
        <w:t>reparați</w:t>
      </w:r>
      <w:r w:rsidR="00D37F91">
        <w:rPr>
          <w:rFonts w:ascii="Times New Roman" w:hAnsi="Times New Roman" w:cs="Times New Roman"/>
          <w:color w:val="000000" w:themeColor="text1"/>
          <w:sz w:val="24"/>
          <w:szCs w:val="24"/>
          <w:lang w:val="ro-RO"/>
        </w:rPr>
        <w:t>a</w:t>
      </w:r>
      <w:r w:rsidR="00663EC2" w:rsidRPr="004D2FF7">
        <w:rPr>
          <w:rFonts w:ascii="Times New Roman" w:hAnsi="Times New Roman" w:cs="Times New Roman"/>
          <w:color w:val="000000" w:themeColor="text1"/>
          <w:sz w:val="24"/>
          <w:szCs w:val="24"/>
          <w:lang w:val="ro-RO"/>
        </w:rPr>
        <w:t xml:space="preserve"> </w:t>
      </w:r>
      <w:r w:rsidRPr="004D2FF7">
        <w:rPr>
          <w:rFonts w:ascii="Times New Roman" w:hAnsi="Times New Roman" w:cs="Times New Roman"/>
          <w:color w:val="000000" w:themeColor="text1"/>
          <w:sz w:val="24"/>
          <w:szCs w:val="24"/>
          <w:lang w:val="ro-RO"/>
        </w:rPr>
        <w:t>auto</w:t>
      </w:r>
      <w:r w:rsidR="00663EC2" w:rsidRPr="004D2FF7">
        <w:rPr>
          <w:rFonts w:ascii="Times New Roman" w:hAnsi="Times New Roman" w:cs="Times New Roman"/>
          <w:color w:val="000000" w:themeColor="text1"/>
          <w:sz w:val="24"/>
          <w:szCs w:val="24"/>
          <w:lang w:val="ro-RO"/>
        </w:rPr>
        <w:t>turismului de serviciu</w:t>
      </w:r>
      <w:r w:rsidR="00D37F91">
        <w:rPr>
          <w:rFonts w:ascii="Times New Roman" w:hAnsi="Times New Roman" w:cs="Times New Roman"/>
          <w:color w:val="000000" w:themeColor="text1"/>
          <w:sz w:val="24"/>
          <w:szCs w:val="24"/>
          <w:lang w:val="ro-RO"/>
        </w:rPr>
        <w:t>,</w:t>
      </w:r>
      <w:r w:rsidR="00663EC2" w:rsidRPr="004D2FF7">
        <w:rPr>
          <w:rFonts w:ascii="Times New Roman" w:hAnsi="Times New Roman" w:cs="Times New Roman"/>
          <w:color w:val="000000" w:themeColor="text1"/>
          <w:sz w:val="24"/>
          <w:szCs w:val="24"/>
          <w:lang w:val="ro-RO"/>
        </w:rPr>
        <w:t xml:space="preserve"> și </w:t>
      </w:r>
      <w:r w:rsidR="00663EC2" w:rsidRPr="004D2FF7">
        <w:rPr>
          <w:rFonts w:ascii="Times New Roman" w:hAnsi="Times New Roman" w:cs="Times New Roman"/>
          <w:sz w:val="24"/>
          <w:szCs w:val="24"/>
          <w:lang w:val="ro-RO"/>
        </w:rPr>
        <w:t>1</w:t>
      </w:r>
      <w:r w:rsidR="001F790B" w:rsidRPr="004D2FF7">
        <w:rPr>
          <w:rFonts w:ascii="Times New Roman" w:hAnsi="Times New Roman" w:cs="Times New Roman"/>
          <w:sz w:val="24"/>
          <w:szCs w:val="24"/>
          <w:lang w:val="ro-RO"/>
        </w:rPr>
        <w:t>4</w:t>
      </w:r>
      <w:r w:rsidR="00663EC2" w:rsidRPr="004D2FF7">
        <w:rPr>
          <w:rFonts w:ascii="Times New Roman" w:hAnsi="Times New Roman" w:cs="Times New Roman"/>
          <w:sz w:val="24"/>
          <w:szCs w:val="24"/>
          <w:lang w:val="ro-RO"/>
        </w:rPr>
        <w:t>,</w:t>
      </w:r>
      <w:r w:rsidR="001F790B" w:rsidRPr="004D2FF7">
        <w:rPr>
          <w:rFonts w:ascii="Times New Roman" w:hAnsi="Times New Roman" w:cs="Times New Roman"/>
          <w:sz w:val="24"/>
          <w:szCs w:val="24"/>
          <w:lang w:val="ro-RO"/>
        </w:rPr>
        <w:t>3</w:t>
      </w:r>
      <w:r w:rsidR="00663EC2" w:rsidRPr="004D2FF7">
        <w:rPr>
          <w:rFonts w:ascii="Times New Roman" w:hAnsi="Times New Roman" w:cs="Times New Roman"/>
          <w:sz w:val="24"/>
          <w:szCs w:val="24"/>
          <w:lang w:val="ro-RO"/>
        </w:rPr>
        <w:t xml:space="preserve"> mii lei </w:t>
      </w:r>
      <w:r w:rsidR="00D37F91">
        <w:rPr>
          <w:rFonts w:ascii="Times New Roman" w:hAnsi="Times New Roman" w:cs="Times New Roman"/>
          <w:sz w:val="24"/>
          <w:szCs w:val="24"/>
          <w:lang w:val="ro-RO"/>
        </w:rPr>
        <w:t>–</w:t>
      </w:r>
      <w:r w:rsidRPr="004D2FF7">
        <w:rPr>
          <w:rFonts w:ascii="Times New Roman" w:hAnsi="Times New Roman" w:cs="Times New Roman"/>
          <w:color w:val="000000" w:themeColor="text1"/>
          <w:sz w:val="24"/>
          <w:szCs w:val="24"/>
          <w:lang w:val="ro-RO"/>
        </w:rPr>
        <w:t xml:space="preserve"> </w:t>
      </w:r>
      <w:r w:rsidR="00D37F91">
        <w:rPr>
          <w:rFonts w:ascii="Times New Roman" w:hAnsi="Times New Roman" w:cs="Times New Roman"/>
          <w:color w:val="000000" w:themeColor="text1"/>
          <w:sz w:val="24"/>
          <w:szCs w:val="24"/>
          <w:lang w:val="ro-RO"/>
        </w:rPr>
        <w:t xml:space="preserve">pentru </w:t>
      </w:r>
      <w:r w:rsidRPr="004D2FF7">
        <w:rPr>
          <w:rFonts w:ascii="Times New Roman" w:hAnsi="Times New Roman" w:cs="Times New Roman"/>
          <w:color w:val="000000" w:themeColor="text1"/>
          <w:sz w:val="24"/>
          <w:szCs w:val="24"/>
          <w:lang w:val="ro-RO"/>
        </w:rPr>
        <w:t>reparați</w:t>
      </w:r>
      <w:r w:rsidR="00663EC2" w:rsidRPr="004D2FF7">
        <w:rPr>
          <w:rFonts w:ascii="Times New Roman" w:hAnsi="Times New Roman" w:cs="Times New Roman"/>
          <w:color w:val="000000" w:themeColor="text1"/>
          <w:sz w:val="24"/>
          <w:szCs w:val="24"/>
          <w:lang w:val="ro-RO"/>
        </w:rPr>
        <w:t>a</w:t>
      </w:r>
      <w:r w:rsidRPr="004D2FF7">
        <w:rPr>
          <w:rFonts w:ascii="Times New Roman" w:hAnsi="Times New Roman" w:cs="Times New Roman"/>
          <w:color w:val="000000" w:themeColor="text1"/>
          <w:sz w:val="24"/>
          <w:szCs w:val="24"/>
          <w:lang w:val="ro-RO"/>
        </w:rPr>
        <w:t xml:space="preserve"> tehnicii de calcul</w:t>
      </w:r>
      <w:r w:rsidR="00D37F91">
        <w:rPr>
          <w:rFonts w:ascii="Times New Roman" w:hAnsi="Times New Roman" w:cs="Times New Roman"/>
          <w:color w:val="000000" w:themeColor="text1"/>
          <w:sz w:val="24"/>
          <w:szCs w:val="24"/>
          <w:lang w:val="ro-RO"/>
        </w:rPr>
        <w:t>.</w:t>
      </w:r>
      <w:r w:rsidRPr="004D2FF7">
        <w:rPr>
          <w:rFonts w:ascii="Times New Roman" w:hAnsi="Times New Roman" w:cs="Times New Roman"/>
          <w:sz w:val="24"/>
          <w:szCs w:val="24"/>
          <w:lang w:val="ro-RO"/>
        </w:rPr>
        <w:t xml:space="preserve"> </w:t>
      </w:r>
    </w:p>
    <w:p w14:paraId="17ABB922" w14:textId="1EA52DC2" w:rsidR="005476D2" w:rsidRPr="004D2FF7" w:rsidRDefault="005476D2" w:rsidP="005476D2">
      <w:pPr>
        <w:tabs>
          <w:tab w:val="left" w:pos="426"/>
        </w:tabs>
        <w:spacing w:before="120" w:after="0" w:line="276" w:lineRule="auto"/>
        <w:jc w:val="both"/>
        <w:rPr>
          <w:rFonts w:ascii="Times New Roman" w:hAnsi="Times New Roman" w:cs="Times New Roman"/>
          <w:sz w:val="24"/>
          <w:szCs w:val="24"/>
          <w:lang w:val="ro-RO"/>
        </w:rPr>
      </w:pPr>
      <w:r w:rsidRPr="004D2FF7">
        <w:rPr>
          <w:rFonts w:ascii="Times New Roman" w:hAnsi="Times New Roman" w:cs="Times New Roman"/>
          <w:sz w:val="24"/>
          <w:szCs w:val="24"/>
          <w:lang w:val="ro-RO"/>
        </w:rPr>
        <w:t>Nu au fost respectate regulile de recunoaștere a activelor</w:t>
      </w:r>
      <w:r w:rsidRPr="004D2FF7">
        <w:rPr>
          <w:rStyle w:val="FootnoteReference"/>
          <w:rFonts w:ascii="Times New Roman" w:hAnsi="Times New Roman" w:cs="Times New Roman"/>
          <w:lang w:val="ro-RO"/>
        </w:rPr>
        <w:footnoteReference w:id="154"/>
      </w:r>
      <w:r w:rsidRPr="004D2FF7">
        <w:rPr>
          <w:rFonts w:ascii="Times New Roman" w:hAnsi="Times New Roman" w:cs="Times New Roman"/>
          <w:sz w:val="24"/>
          <w:szCs w:val="24"/>
          <w:lang w:val="ro-RO"/>
        </w:rPr>
        <w:t xml:space="preserve">, atribuind neregulamentar la subclasa 31 </w:t>
      </w:r>
      <w:r w:rsidRPr="004D2FF7">
        <w:rPr>
          <w:rFonts w:ascii="Times New Roman" w:hAnsi="Times New Roman" w:cs="Times New Roman"/>
          <w:sz w:val="24"/>
          <w:szCs w:val="24"/>
        </w:rPr>
        <w:t>„</w:t>
      </w:r>
      <w:r w:rsidRPr="004D2FF7">
        <w:rPr>
          <w:rFonts w:ascii="Times New Roman" w:hAnsi="Times New Roman" w:cs="Times New Roman"/>
          <w:sz w:val="24"/>
          <w:szCs w:val="24"/>
          <w:lang w:val="ro-RO"/>
        </w:rPr>
        <w:t>Mijloace fixe” bunuri materiale în sumă de 159,3 mii lei, care de fapt urmau a fi contabilizate la subclasa 33 „Stocuri de materiale circulante”</w:t>
      </w:r>
      <w:r w:rsidR="00D37F91">
        <w:rPr>
          <w:rFonts w:ascii="Times New Roman" w:hAnsi="Times New Roman" w:cs="Times New Roman"/>
          <w:sz w:val="24"/>
          <w:szCs w:val="24"/>
          <w:lang w:val="ro-RO"/>
        </w:rPr>
        <w:t>.</w:t>
      </w:r>
    </w:p>
    <w:p w14:paraId="31EA1E5A" w14:textId="77777777" w:rsidR="005476D2" w:rsidRPr="004D2FF7" w:rsidRDefault="005476D2" w:rsidP="005476D2">
      <w:pPr>
        <w:tabs>
          <w:tab w:val="left" w:pos="426"/>
        </w:tabs>
        <w:spacing w:before="120" w:after="0" w:line="276" w:lineRule="auto"/>
        <w:jc w:val="both"/>
        <w:rPr>
          <w:rFonts w:ascii="Times New Roman" w:hAnsi="Times New Roman" w:cs="Times New Roman"/>
          <w:sz w:val="24"/>
          <w:szCs w:val="24"/>
          <w:lang w:val="ro-RO"/>
        </w:rPr>
      </w:pPr>
      <w:r w:rsidRPr="004D2FF7">
        <w:rPr>
          <w:rFonts w:ascii="Times New Roman" w:hAnsi="Times New Roman" w:cs="Times New Roman"/>
          <w:sz w:val="24"/>
          <w:szCs w:val="24"/>
          <w:lang w:val="ro-RO"/>
        </w:rPr>
        <w:t>Nu a fost asigurată regulamentar</w:t>
      </w:r>
      <w:r w:rsidRPr="004D2FF7">
        <w:rPr>
          <w:rStyle w:val="FootnoteReference"/>
          <w:rFonts w:ascii="Times New Roman" w:hAnsi="Times New Roman" w:cs="Times New Roman"/>
          <w:lang w:val="ro-RO"/>
        </w:rPr>
        <w:footnoteReference w:id="155"/>
      </w:r>
      <w:r w:rsidRPr="004D2FF7">
        <w:rPr>
          <w:rFonts w:ascii="Times New Roman" w:hAnsi="Times New Roman" w:cs="Times New Roman"/>
          <w:sz w:val="24"/>
          <w:szCs w:val="24"/>
          <w:lang w:val="ro-RO"/>
        </w:rPr>
        <w:t xml:space="preserve"> evaluarea bunurilor materiale primite cu titlu gratuit (1 telefon mobil, 1 Modem ZTE pentru Notebook), care sunt reflectate cantitativ în evidența contabilă.</w:t>
      </w:r>
    </w:p>
    <w:p w14:paraId="7D9B23BB" w14:textId="77777777" w:rsidR="00531D04" w:rsidRPr="004D2FF7" w:rsidRDefault="00531D04" w:rsidP="00531D04">
      <w:pPr>
        <w:pStyle w:val="ListParagraph"/>
        <w:spacing w:after="0" w:line="276" w:lineRule="auto"/>
        <w:ind w:left="360"/>
        <w:jc w:val="both"/>
        <w:rPr>
          <w:rFonts w:ascii="Times New Roman" w:hAnsi="Times New Roman" w:cs="Times New Roman"/>
          <w:sz w:val="24"/>
          <w:szCs w:val="24"/>
          <w:lang w:val="ro-RO"/>
        </w:rPr>
      </w:pPr>
    </w:p>
    <w:p w14:paraId="43B6B040" w14:textId="41D920E7" w:rsidR="009D7A55" w:rsidRPr="004D2FF7" w:rsidRDefault="009D7A55" w:rsidP="009D7A55">
      <w:pPr>
        <w:tabs>
          <w:tab w:val="left" w:pos="284"/>
        </w:tabs>
        <w:spacing w:after="80" w:line="276" w:lineRule="auto"/>
        <w:jc w:val="both"/>
        <w:rPr>
          <w:rFonts w:ascii="Times New Roman" w:hAnsi="Times New Roman" w:cs="Times New Roman"/>
          <w:b/>
          <w:i/>
          <w:sz w:val="24"/>
          <w:szCs w:val="24"/>
        </w:rPr>
      </w:pPr>
      <w:r w:rsidRPr="004D2FF7">
        <w:rPr>
          <w:rFonts w:ascii="Times New Roman" w:hAnsi="Times New Roman" w:cs="Times New Roman"/>
          <w:b/>
          <w:i/>
          <w:sz w:val="24"/>
          <w:szCs w:val="24"/>
        </w:rPr>
        <w:t>b) Nu a fost asigurată organizarea și desfășurarea regulamentară a inventarierii bunurilor materiale, fapt ce condiționează incertitudini privind valoarea bunurilor gestionate de CNPDCP</w:t>
      </w:r>
      <w:r w:rsidR="00F96CA0">
        <w:rPr>
          <w:rFonts w:ascii="Times New Roman" w:hAnsi="Times New Roman" w:cs="Times New Roman"/>
          <w:b/>
          <w:i/>
          <w:sz w:val="24"/>
          <w:szCs w:val="24"/>
        </w:rPr>
        <w:t>.</w:t>
      </w:r>
    </w:p>
    <w:p w14:paraId="52944FB4" w14:textId="41D004F3" w:rsidR="00A14FF0" w:rsidRPr="004D2FF7" w:rsidRDefault="00381C53" w:rsidP="003D4791">
      <w:pPr>
        <w:spacing w:after="0" w:line="276" w:lineRule="auto"/>
        <w:jc w:val="both"/>
        <w:rPr>
          <w:rFonts w:ascii="Times New Roman" w:hAnsi="Times New Roman" w:cs="Times New Roman"/>
          <w:sz w:val="24"/>
          <w:szCs w:val="24"/>
          <w:lang w:val="ro-RO"/>
        </w:rPr>
      </w:pPr>
      <w:r w:rsidRPr="004D2FF7">
        <w:rPr>
          <w:rFonts w:ascii="Times New Roman" w:eastAsia="Times New Roman" w:hAnsi="Times New Roman" w:cs="Times New Roman"/>
          <w:color w:val="333333"/>
          <w:sz w:val="24"/>
          <w:szCs w:val="24"/>
          <w:shd w:val="clear" w:color="auto" w:fill="FFFFFF"/>
        </w:rPr>
        <w:t xml:space="preserve">Potrivit art.24 din Legea </w:t>
      </w:r>
      <w:r w:rsidRPr="004D2FF7">
        <w:rPr>
          <w:rFonts w:ascii="Times New Roman" w:eastAsia="Times New Roman" w:hAnsi="Times New Roman" w:cs="Times New Roman"/>
          <w:bCs/>
          <w:color w:val="333333"/>
          <w:sz w:val="24"/>
          <w:szCs w:val="24"/>
        </w:rPr>
        <w:t xml:space="preserve">contabilității nr.113-XVI din 24.07.2007, </w:t>
      </w:r>
      <w:r w:rsidRPr="004D2FF7">
        <w:rPr>
          <w:rFonts w:ascii="Times New Roman" w:eastAsia="Times New Roman" w:hAnsi="Times New Roman" w:cs="Times New Roman"/>
          <w:bCs/>
          <w:sz w:val="24"/>
          <w:szCs w:val="24"/>
        </w:rPr>
        <w:t>e</w:t>
      </w:r>
      <w:r w:rsidRPr="004D2FF7">
        <w:rPr>
          <w:rFonts w:ascii="Times New Roman" w:eastAsia="Times New Roman" w:hAnsi="Times New Roman" w:cs="Times New Roman"/>
          <w:bCs/>
          <w:color w:val="333333"/>
          <w:sz w:val="24"/>
          <w:szCs w:val="24"/>
          <w:shd w:val="clear" w:color="auto" w:fill="FFFFFF"/>
        </w:rPr>
        <w:t>ntitatea are obligația să efectueze inventarierea generală a elementelor de activ și pasiv cel puțin o dată pe an pe parcursul desfășurării activității sale, în cazul reorganizării sau încetării activității, precum și în cazurile prevăzute de Regulamentul privind inventarierea, aprobat de Ministerul Finanțelor.</w:t>
      </w:r>
      <w:r w:rsidR="003D4791">
        <w:rPr>
          <w:rFonts w:ascii="Times New Roman" w:eastAsia="Times New Roman" w:hAnsi="Times New Roman" w:cs="Times New Roman"/>
          <w:bCs/>
          <w:color w:val="333333"/>
          <w:sz w:val="24"/>
          <w:szCs w:val="24"/>
          <w:shd w:val="clear" w:color="auto" w:fill="FFFFFF"/>
        </w:rPr>
        <w:t xml:space="preserve"> </w:t>
      </w:r>
      <w:r w:rsidR="00A14FF0" w:rsidRPr="004D2FF7">
        <w:rPr>
          <w:rFonts w:ascii="Times New Roman" w:eastAsia="Times New Roman" w:hAnsi="Times New Roman" w:cs="Times New Roman"/>
          <w:bCs/>
          <w:sz w:val="24"/>
          <w:szCs w:val="24"/>
        </w:rPr>
        <w:t>Examinarea materialelor inventarierii denotă că</w:t>
      </w:r>
      <w:r w:rsidR="00F96CA0">
        <w:rPr>
          <w:rFonts w:ascii="Times New Roman" w:eastAsia="Times New Roman" w:hAnsi="Times New Roman" w:cs="Times New Roman"/>
          <w:bCs/>
          <w:sz w:val="24"/>
          <w:szCs w:val="24"/>
        </w:rPr>
        <w:t>,</w:t>
      </w:r>
      <w:r w:rsidR="00A14FF0" w:rsidRPr="004D2FF7">
        <w:rPr>
          <w:rFonts w:ascii="Times New Roman" w:eastAsia="Times New Roman" w:hAnsi="Times New Roman" w:cs="Times New Roman"/>
          <w:bCs/>
          <w:sz w:val="24"/>
          <w:szCs w:val="24"/>
        </w:rPr>
        <w:t xml:space="preserve"> la efectuarea acesteia nu au fost respectate prevederile  Regulamentului privind inventarierea, iar rezultatele nu pot fi </w:t>
      </w:r>
      <w:r w:rsidR="00F96CA0">
        <w:rPr>
          <w:rFonts w:ascii="Times New Roman" w:eastAsia="Times New Roman" w:hAnsi="Times New Roman" w:cs="Times New Roman"/>
          <w:bCs/>
          <w:sz w:val="24"/>
          <w:szCs w:val="24"/>
        </w:rPr>
        <w:t>evaluate</w:t>
      </w:r>
      <w:r w:rsidR="00F96CA0" w:rsidRPr="004D2FF7">
        <w:rPr>
          <w:rFonts w:ascii="Times New Roman" w:eastAsia="Times New Roman" w:hAnsi="Times New Roman" w:cs="Times New Roman"/>
          <w:bCs/>
          <w:sz w:val="24"/>
          <w:szCs w:val="24"/>
        </w:rPr>
        <w:t xml:space="preserve"> </w:t>
      </w:r>
      <w:r w:rsidR="00A14FF0" w:rsidRPr="004D2FF7">
        <w:rPr>
          <w:rFonts w:ascii="Times New Roman" w:eastAsia="Times New Roman" w:hAnsi="Times New Roman" w:cs="Times New Roman"/>
          <w:bCs/>
          <w:sz w:val="24"/>
          <w:szCs w:val="24"/>
        </w:rPr>
        <w:t>de audit ca fiind corecte și exacte. Prin urmare, se constată următoarele:</w:t>
      </w:r>
    </w:p>
    <w:p w14:paraId="1EC29F09" w14:textId="22E09F7F" w:rsidR="007B5623" w:rsidRPr="003D4791" w:rsidRDefault="00F96CA0" w:rsidP="003D4791">
      <w:pPr>
        <w:pStyle w:val="ListParagraph"/>
        <w:numPr>
          <w:ilvl w:val="0"/>
          <w:numId w:val="17"/>
        </w:numPr>
        <w:tabs>
          <w:tab w:val="left" w:pos="426"/>
        </w:tabs>
        <w:spacing w:before="120" w:after="0" w:line="276" w:lineRule="auto"/>
        <w:ind w:left="0" w:firstLine="142"/>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00A14FF0" w:rsidRPr="003D4791">
        <w:rPr>
          <w:rFonts w:ascii="Times New Roman" w:hAnsi="Times New Roman" w:cs="Times New Roman"/>
          <w:sz w:val="24"/>
          <w:szCs w:val="24"/>
          <w:lang w:val="ro-RO"/>
        </w:rPr>
        <w:t xml:space="preserve">otrivit datelor evidenței contabile, la grupa de conturi </w:t>
      </w:r>
      <w:r w:rsidR="00386380" w:rsidRPr="003D4791">
        <w:rPr>
          <w:rFonts w:ascii="Times New Roman" w:hAnsi="Times New Roman" w:cs="Times New Roman"/>
          <w:sz w:val="24"/>
          <w:szCs w:val="24"/>
          <w:lang w:val="ro-RO"/>
        </w:rPr>
        <w:t xml:space="preserve">316 </w:t>
      </w:r>
      <w:r w:rsidR="00A14FF0" w:rsidRPr="003D4791">
        <w:rPr>
          <w:rFonts w:ascii="Times New Roman" w:hAnsi="Times New Roman" w:cs="Times New Roman"/>
          <w:sz w:val="24"/>
          <w:szCs w:val="24"/>
          <w:lang w:val="ro-RO"/>
        </w:rPr>
        <w:t>„Unelte și scule, inventar de producere și gospodăresc” sunt reflectate 14 uși în sumă de 41,0 mii lei</w:t>
      </w:r>
      <w:r>
        <w:rPr>
          <w:rFonts w:ascii="Times New Roman" w:hAnsi="Times New Roman" w:cs="Times New Roman"/>
          <w:sz w:val="24"/>
          <w:szCs w:val="24"/>
          <w:lang w:val="ro-RO"/>
        </w:rPr>
        <w:t>,</w:t>
      </w:r>
      <w:r w:rsidR="0044666F" w:rsidRPr="003D4791">
        <w:rPr>
          <w:rFonts w:ascii="Times New Roman" w:hAnsi="Times New Roman" w:cs="Times New Roman"/>
          <w:sz w:val="24"/>
          <w:szCs w:val="24"/>
          <w:lang w:val="ro-RO"/>
        </w:rPr>
        <w:t xml:space="preserve"> care au fost</w:t>
      </w:r>
      <w:r w:rsidR="00A14FF0" w:rsidRPr="003D4791">
        <w:rPr>
          <w:rFonts w:ascii="Times New Roman" w:hAnsi="Times New Roman" w:cs="Times New Roman"/>
          <w:sz w:val="24"/>
          <w:szCs w:val="24"/>
          <w:lang w:val="ro-RO"/>
        </w:rPr>
        <w:t xml:space="preserve"> procurate în anul 2010 </w:t>
      </w:r>
      <w:r w:rsidR="00A14FF0" w:rsidRPr="003D4791">
        <w:rPr>
          <w:rFonts w:ascii="Times New Roman" w:hAnsi="Times New Roman" w:cs="Times New Roman"/>
          <w:sz w:val="24"/>
          <w:szCs w:val="24"/>
          <w:lang w:val="ro-RO"/>
        </w:rPr>
        <w:lastRenderedPageBreak/>
        <w:t>pentru reparația</w:t>
      </w:r>
      <w:r w:rsidR="00A14FF0" w:rsidRPr="003D4791">
        <w:rPr>
          <w:rFonts w:ascii="Times New Roman" w:hAnsi="Times New Roman" w:cs="Times New Roman"/>
          <w:sz w:val="24"/>
          <w:szCs w:val="24"/>
        </w:rPr>
        <w:t xml:space="preserve"> încăperilor nelocuibile luate în comodat</w:t>
      </w:r>
      <w:r>
        <w:rPr>
          <w:rFonts w:ascii="Times New Roman" w:hAnsi="Times New Roman" w:cs="Times New Roman"/>
          <w:sz w:val="24"/>
          <w:szCs w:val="24"/>
        </w:rPr>
        <w:t>,</w:t>
      </w:r>
      <w:r w:rsidR="00A14FF0" w:rsidRPr="003D4791">
        <w:rPr>
          <w:rFonts w:ascii="Times New Roman" w:hAnsi="Times New Roman" w:cs="Times New Roman"/>
          <w:sz w:val="24"/>
          <w:szCs w:val="24"/>
        </w:rPr>
        <w:t xml:space="preserve"> din str. Serghei Lazo</w:t>
      </w:r>
      <w:r>
        <w:rPr>
          <w:rFonts w:ascii="Times New Roman" w:hAnsi="Times New Roman" w:cs="Times New Roman"/>
          <w:sz w:val="24"/>
          <w:szCs w:val="24"/>
        </w:rPr>
        <w:t xml:space="preserve"> nr.</w:t>
      </w:r>
      <w:r w:rsidR="00A14FF0" w:rsidRPr="003D4791">
        <w:rPr>
          <w:rFonts w:ascii="Times New Roman" w:hAnsi="Times New Roman" w:cs="Times New Roman"/>
          <w:sz w:val="24"/>
          <w:szCs w:val="24"/>
        </w:rPr>
        <w:t xml:space="preserve"> 48, </w:t>
      </w:r>
      <w:r w:rsidR="00A14FF0" w:rsidRPr="003D4791">
        <w:rPr>
          <w:rFonts w:ascii="Times New Roman" w:hAnsi="Times New Roman" w:cs="Times New Roman"/>
          <w:sz w:val="24"/>
          <w:szCs w:val="24"/>
          <w:lang w:val="ro-RO"/>
        </w:rPr>
        <w:t>în cadrul proiectului de asistență tehnică</w:t>
      </w:r>
      <w:r w:rsidR="00A14FF0" w:rsidRPr="003D4791">
        <w:rPr>
          <w:rStyle w:val="FootnoteReference"/>
          <w:rFonts w:ascii="Times New Roman" w:hAnsi="Times New Roman" w:cs="Times New Roman"/>
          <w:sz w:val="24"/>
          <w:szCs w:val="24"/>
          <w:lang w:val="ro-RO"/>
        </w:rPr>
        <w:footnoteReference w:id="156"/>
      </w:r>
      <w:r w:rsidR="00A14FF0" w:rsidRPr="003D4791">
        <w:rPr>
          <w:rFonts w:ascii="Times New Roman" w:hAnsi="Times New Roman" w:cs="Times New Roman"/>
          <w:sz w:val="24"/>
          <w:szCs w:val="24"/>
          <w:lang w:val="ro-RO"/>
        </w:rPr>
        <w:t xml:space="preserve">. </w:t>
      </w:r>
      <w:r w:rsidR="008F056F" w:rsidRPr="003D4791">
        <w:rPr>
          <w:rFonts w:ascii="Times New Roman" w:hAnsi="Times New Roman" w:cs="Times New Roman"/>
          <w:sz w:val="24"/>
          <w:szCs w:val="24"/>
          <w:lang w:val="ro-RO"/>
        </w:rPr>
        <w:t>Contrar prevederilor legale</w:t>
      </w:r>
      <w:r w:rsidR="008F056F" w:rsidRPr="003D4791">
        <w:rPr>
          <w:rStyle w:val="FootnoteReference"/>
          <w:rFonts w:ascii="Times New Roman" w:hAnsi="Times New Roman" w:cs="Times New Roman"/>
          <w:sz w:val="24"/>
          <w:szCs w:val="24"/>
          <w:lang w:val="ro-RO"/>
        </w:rPr>
        <w:footnoteReference w:id="157"/>
      </w:r>
      <w:r>
        <w:rPr>
          <w:rFonts w:ascii="Times New Roman" w:hAnsi="Times New Roman" w:cs="Times New Roman"/>
          <w:sz w:val="24"/>
          <w:szCs w:val="24"/>
          <w:lang w:val="ro-RO"/>
        </w:rPr>
        <w:t>,</w:t>
      </w:r>
      <w:r w:rsidR="008F056F" w:rsidRPr="003D4791">
        <w:rPr>
          <w:rFonts w:ascii="Times New Roman" w:hAnsi="Times New Roman" w:cs="Times New Roman"/>
          <w:sz w:val="24"/>
          <w:szCs w:val="24"/>
          <w:lang w:val="ro-RO"/>
        </w:rPr>
        <w:t xml:space="preserve"> până în prezent </w:t>
      </w:r>
      <w:r w:rsidR="00A14FF0" w:rsidRPr="003D4791">
        <w:rPr>
          <w:rFonts w:ascii="Times New Roman" w:hAnsi="Times New Roman" w:cs="Times New Roman"/>
          <w:sz w:val="24"/>
          <w:szCs w:val="24"/>
          <w:lang w:val="ro-RO"/>
        </w:rPr>
        <w:t xml:space="preserve">cheltuielile de reparație a edificiului </w:t>
      </w:r>
      <w:r w:rsidR="008F056F" w:rsidRPr="003D4791">
        <w:rPr>
          <w:rFonts w:ascii="Times New Roman" w:hAnsi="Times New Roman" w:cs="Times New Roman"/>
          <w:sz w:val="24"/>
          <w:szCs w:val="24"/>
          <w:lang w:val="ro-RO"/>
        </w:rPr>
        <w:t>n</w:t>
      </w:r>
      <w:r w:rsidR="00A14FF0" w:rsidRPr="003D4791">
        <w:rPr>
          <w:rFonts w:ascii="Times New Roman" w:hAnsi="Times New Roman" w:cs="Times New Roman"/>
          <w:sz w:val="24"/>
          <w:szCs w:val="24"/>
          <w:lang w:val="ro-RO"/>
        </w:rPr>
        <w:t>u</w:t>
      </w:r>
      <w:r w:rsidR="000715EB" w:rsidRPr="003D4791">
        <w:rPr>
          <w:rFonts w:ascii="Times New Roman" w:hAnsi="Times New Roman" w:cs="Times New Roman"/>
          <w:sz w:val="24"/>
          <w:szCs w:val="24"/>
          <w:lang w:val="ro-RO"/>
        </w:rPr>
        <w:t xml:space="preserve"> au</w:t>
      </w:r>
      <w:r w:rsidR="00A14FF0" w:rsidRPr="003D4791">
        <w:rPr>
          <w:rFonts w:ascii="Times New Roman" w:hAnsi="Times New Roman" w:cs="Times New Roman"/>
          <w:sz w:val="24"/>
          <w:szCs w:val="24"/>
          <w:lang w:val="ro-RO"/>
        </w:rPr>
        <w:t xml:space="preserve"> fost transmise Direcției pentru administrarea </w:t>
      </w:r>
      <w:r>
        <w:rPr>
          <w:rFonts w:ascii="Times New Roman" w:hAnsi="Times New Roman" w:cs="Times New Roman"/>
          <w:sz w:val="24"/>
          <w:szCs w:val="24"/>
          <w:lang w:val="ro-RO"/>
        </w:rPr>
        <w:t>c</w:t>
      </w:r>
      <w:r w:rsidR="00A14FF0" w:rsidRPr="003D4791">
        <w:rPr>
          <w:rFonts w:ascii="Times New Roman" w:hAnsi="Times New Roman" w:cs="Times New Roman"/>
          <w:sz w:val="24"/>
          <w:szCs w:val="24"/>
          <w:lang w:val="ro-RO"/>
        </w:rPr>
        <w:t>lădirilor Guvernului,</w:t>
      </w:r>
      <w:r w:rsidR="008F056F" w:rsidRPr="003D4791">
        <w:rPr>
          <w:rFonts w:ascii="Times New Roman" w:hAnsi="Times New Roman" w:cs="Times New Roman"/>
          <w:sz w:val="24"/>
          <w:szCs w:val="24"/>
          <w:lang w:val="ro-RO"/>
        </w:rPr>
        <w:t xml:space="preserve"> iar</w:t>
      </w:r>
      <w:r w:rsidR="00A14FF0" w:rsidRPr="003D4791">
        <w:rPr>
          <w:rFonts w:ascii="Times New Roman" w:hAnsi="Times New Roman" w:cs="Times New Roman"/>
          <w:sz w:val="24"/>
          <w:szCs w:val="24"/>
          <w:lang w:val="ro-RO"/>
        </w:rPr>
        <w:t xml:space="preserve"> entitatea nu a efectuat modificările de rigoare în e</w:t>
      </w:r>
      <w:r w:rsidR="00A42CEC" w:rsidRPr="003D4791">
        <w:rPr>
          <w:rFonts w:ascii="Times New Roman" w:hAnsi="Times New Roman" w:cs="Times New Roman"/>
          <w:sz w:val="24"/>
          <w:szCs w:val="24"/>
          <w:lang w:val="ro-RO"/>
        </w:rPr>
        <w:t>vidența contabilă, fiind raportată</w:t>
      </w:r>
      <w:r w:rsidR="00A14FF0" w:rsidRPr="003D4791">
        <w:rPr>
          <w:rFonts w:ascii="Times New Roman" w:hAnsi="Times New Roman" w:cs="Times New Roman"/>
          <w:sz w:val="24"/>
          <w:szCs w:val="24"/>
          <w:lang w:val="ro-RO"/>
        </w:rPr>
        <w:t xml:space="preserve"> eronat</w:t>
      </w:r>
      <w:r w:rsidR="00BD52C7" w:rsidRPr="003D4791">
        <w:rPr>
          <w:rFonts w:ascii="Times New Roman" w:hAnsi="Times New Roman" w:cs="Times New Roman"/>
          <w:sz w:val="24"/>
          <w:szCs w:val="24"/>
          <w:lang w:val="ro-RO"/>
        </w:rPr>
        <w:t xml:space="preserve"> </w:t>
      </w:r>
      <w:r w:rsidR="00A14FF0" w:rsidRPr="003D4791">
        <w:rPr>
          <w:rFonts w:ascii="Times New Roman" w:hAnsi="Times New Roman" w:cs="Times New Roman"/>
          <w:sz w:val="24"/>
          <w:szCs w:val="24"/>
          <w:lang w:val="ro-RO"/>
        </w:rPr>
        <w:t>valoarea mijloacelor fixe</w:t>
      </w:r>
      <w:r w:rsidR="00386380" w:rsidRPr="003D4791">
        <w:rPr>
          <w:rFonts w:ascii="Times New Roman" w:hAnsi="Times New Roman" w:cs="Times New Roman"/>
          <w:sz w:val="24"/>
          <w:szCs w:val="24"/>
          <w:lang w:val="ro-RO"/>
        </w:rPr>
        <w:t xml:space="preserve"> la grupa de conturi nominalizată</w:t>
      </w:r>
      <w:r w:rsidR="006D60EB" w:rsidRPr="003D4791">
        <w:rPr>
          <w:rStyle w:val="FootnoteReference"/>
          <w:rFonts w:ascii="Times New Roman" w:hAnsi="Times New Roman" w:cs="Times New Roman"/>
          <w:sz w:val="24"/>
          <w:szCs w:val="24"/>
          <w:lang w:val="ro-RO"/>
        </w:rPr>
        <w:footnoteReference w:id="158"/>
      </w:r>
      <w:r w:rsidR="00A14FF0" w:rsidRPr="003D4791">
        <w:rPr>
          <w:rFonts w:ascii="Times New Roman" w:hAnsi="Times New Roman" w:cs="Times New Roman"/>
          <w:sz w:val="24"/>
          <w:szCs w:val="24"/>
          <w:lang w:val="ro-RO"/>
        </w:rPr>
        <w:t xml:space="preserve"> </w:t>
      </w:r>
      <w:r w:rsidR="00A42CEC" w:rsidRPr="003D4791">
        <w:rPr>
          <w:rFonts w:ascii="Times New Roman" w:hAnsi="Times New Roman" w:cs="Times New Roman"/>
          <w:sz w:val="24"/>
          <w:szCs w:val="24"/>
          <w:lang w:val="ro-RO"/>
        </w:rPr>
        <w:t xml:space="preserve">cu suma </w:t>
      </w:r>
      <w:r w:rsidR="00A14FF0" w:rsidRPr="003D4791">
        <w:rPr>
          <w:rFonts w:ascii="Times New Roman" w:hAnsi="Times New Roman" w:cs="Times New Roman"/>
          <w:sz w:val="24"/>
          <w:szCs w:val="24"/>
          <w:lang w:val="ro-RO"/>
        </w:rPr>
        <w:t>de 41,0 mii lei</w:t>
      </w:r>
      <w:r w:rsidR="00391C49" w:rsidRPr="003D4791">
        <w:rPr>
          <w:rFonts w:ascii="Times New Roman" w:hAnsi="Times New Roman" w:cs="Times New Roman"/>
          <w:sz w:val="24"/>
          <w:szCs w:val="24"/>
          <w:lang w:val="ro-RO"/>
        </w:rPr>
        <w:t>;</w:t>
      </w:r>
    </w:p>
    <w:p w14:paraId="2B5BCC4D" w14:textId="080CD218" w:rsidR="00A42CEC" w:rsidRPr="004D2FF7" w:rsidRDefault="00F96CA0" w:rsidP="00ED5A00">
      <w:pPr>
        <w:pStyle w:val="ListParagraph"/>
        <w:numPr>
          <w:ilvl w:val="0"/>
          <w:numId w:val="17"/>
        </w:numPr>
        <w:tabs>
          <w:tab w:val="left" w:pos="426"/>
        </w:tabs>
        <w:spacing w:before="120" w:after="0" w:line="276" w:lineRule="auto"/>
        <w:ind w:left="0" w:firstLine="142"/>
        <w:jc w:val="both"/>
        <w:rPr>
          <w:rFonts w:ascii="Times New Roman" w:hAnsi="Times New Roman" w:cs="Times New Roman"/>
          <w:sz w:val="24"/>
          <w:szCs w:val="24"/>
          <w:lang w:val="ro-RO"/>
        </w:rPr>
      </w:pPr>
      <w:r>
        <w:rPr>
          <w:rFonts w:ascii="Times New Roman" w:hAnsi="Times New Roman" w:cs="Times New Roman"/>
          <w:color w:val="000000" w:themeColor="text1"/>
          <w:sz w:val="24"/>
          <w:szCs w:val="24"/>
          <w:lang w:val="ro-RO"/>
        </w:rPr>
        <w:t>n</w:t>
      </w:r>
      <w:r w:rsidR="00A14FF0" w:rsidRPr="004D2FF7">
        <w:rPr>
          <w:rFonts w:ascii="Times New Roman" w:hAnsi="Times New Roman" w:cs="Times New Roman"/>
          <w:color w:val="000000" w:themeColor="text1"/>
          <w:sz w:val="24"/>
          <w:szCs w:val="24"/>
          <w:lang w:val="ro-RO"/>
        </w:rPr>
        <w:t xml:space="preserve">u </w:t>
      </w:r>
      <w:r w:rsidR="007B5623" w:rsidRPr="004D2FF7">
        <w:rPr>
          <w:rFonts w:ascii="Times New Roman" w:hAnsi="Times New Roman" w:cs="Times New Roman"/>
          <w:color w:val="000000" w:themeColor="text1"/>
          <w:sz w:val="24"/>
          <w:szCs w:val="24"/>
          <w:lang w:val="ro-RO"/>
        </w:rPr>
        <w:t xml:space="preserve">a </w:t>
      </w:r>
      <w:r w:rsidR="001B5922" w:rsidRPr="004D2FF7">
        <w:rPr>
          <w:rFonts w:ascii="Times New Roman" w:hAnsi="Times New Roman" w:cs="Times New Roman"/>
          <w:color w:val="000000" w:themeColor="text1"/>
          <w:sz w:val="24"/>
          <w:szCs w:val="24"/>
          <w:lang w:val="ro-RO"/>
        </w:rPr>
        <w:t xml:space="preserve">fost </w:t>
      </w:r>
      <w:r w:rsidR="00A14FF0" w:rsidRPr="004D2FF7">
        <w:rPr>
          <w:rFonts w:ascii="Times New Roman" w:hAnsi="Times New Roman" w:cs="Times New Roman"/>
          <w:color w:val="000000" w:themeColor="text1"/>
          <w:sz w:val="24"/>
          <w:szCs w:val="24"/>
          <w:lang w:val="ro-RO"/>
        </w:rPr>
        <w:t>asigur</w:t>
      </w:r>
      <w:r w:rsidR="007B5623" w:rsidRPr="004D2FF7">
        <w:rPr>
          <w:rFonts w:ascii="Times New Roman" w:hAnsi="Times New Roman" w:cs="Times New Roman"/>
          <w:color w:val="000000" w:themeColor="text1"/>
          <w:sz w:val="24"/>
          <w:szCs w:val="24"/>
          <w:lang w:val="ro-RO"/>
        </w:rPr>
        <w:t>at</w:t>
      </w:r>
      <w:r w:rsidR="001B5922" w:rsidRPr="004D2FF7">
        <w:rPr>
          <w:rFonts w:ascii="Times New Roman" w:hAnsi="Times New Roman" w:cs="Times New Roman"/>
          <w:color w:val="000000" w:themeColor="text1"/>
          <w:sz w:val="24"/>
          <w:szCs w:val="24"/>
          <w:lang w:val="ro-RO"/>
        </w:rPr>
        <w:t>ă</w:t>
      </w:r>
      <w:r w:rsidR="00A14FF0" w:rsidRPr="004D2FF7">
        <w:rPr>
          <w:rFonts w:ascii="Times New Roman" w:hAnsi="Times New Roman" w:cs="Times New Roman"/>
          <w:color w:val="000000" w:themeColor="text1"/>
          <w:sz w:val="24"/>
          <w:szCs w:val="24"/>
          <w:lang w:val="ro-RO"/>
        </w:rPr>
        <w:t xml:space="preserve"> casarea regulamentară</w:t>
      </w:r>
      <w:r w:rsidR="00EA532B">
        <w:rPr>
          <w:rFonts w:ascii="Times New Roman" w:hAnsi="Times New Roman" w:cs="Times New Roman"/>
          <w:color w:val="000000" w:themeColor="text1"/>
          <w:sz w:val="24"/>
          <w:szCs w:val="24"/>
          <w:lang w:val="ro-RO"/>
        </w:rPr>
        <w:t xml:space="preserve"> a</w:t>
      </w:r>
      <w:r w:rsidR="00A14FF0" w:rsidRPr="004D2FF7">
        <w:rPr>
          <w:rFonts w:ascii="Times New Roman" w:hAnsi="Times New Roman" w:cs="Times New Roman"/>
          <w:color w:val="000000" w:themeColor="text1"/>
          <w:sz w:val="24"/>
          <w:szCs w:val="24"/>
          <w:lang w:val="ro-RO"/>
        </w:rPr>
        <w:t xml:space="preserve"> bunurilor materiale</w:t>
      </w:r>
      <w:r w:rsidR="0044666F" w:rsidRPr="004D2FF7">
        <w:rPr>
          <w:rFonts w:ascii="Times New Roman" w:hAnsi="Times New Roman" w:cs="Times New Roman"/>
          <w:color w:val="000000" w:themeColor="text1"/>
          <w:sz w:val="24"/>
          <w:szCs w:val="24"/>
          <w:lang w:val="ro-RO"/>
        </w:rPr>
        <w:t xml:space="preserve"> moral și fizic uzate la</w:t>
      </w:r>
      <w:r>
        <w:rPr>
          <w:rFonts w:ascii="Times New Roman" w:hAnsi="Times New Roman" w:cs="Times New Roman"/>
          <w:color w:val="000000" w:themeColor="text1"/>
          <w:sz w:val="24"/>
          <w:szCs w:val="24"/>
          <w:lang w:val="ro-RO"/>
        </w:rPr>
        <w:t xml:space="preserve"> situația din</w:t>
      </w:r>
      <w:r w:rsidR="0044666F" w:rsidRPr="004D2FF7">
        <w:rPr>
          <w:rFonts w:ascii="Times New Roman" w:hAnsi="Times New Roman" w:cs="Times New Roman"/>
          <w:color w:val="000000" w:themeColor="text1"/>
          <w:sz w:val="24"/>
          <w:szCs w:val="24"/>
          <w:lang w:val="ro-RO"/>
        </w:rPr>
        <w:t xml:space="preserve"> 31.12.2022</w:t>
      </w:r>
      <w:r w:rsidR="00A14FF0" w:rsidRPr="004D2FF7">
        <w:rPr>
          <w:rFonts w:ascii="Times New Roman" w:hAnsi="Times New Roman" w:cs="Times New Roman"/>
          <w:color w:val="000000" w:themeColor="text1"/>
          <w:sz w:val="24"/>
          <w:szCs w:val="24"/>
          <w:lang w:val="ro-RO"/>
        </w:rPr>
        <w:t xml:space="preserve">, ceea ce </w:t>
      </w:r>
      <w:r>
        <w:rPr>
          <w:rFonts w:ascii="Times New Roman" w:hAnsi="Times New Roman" w:cs="Times New Roman"/>
          <w:color w:val="000000" w:themeColor="text1"/>
          <w:sz w:val="24"/>
          <w:szCs w:val="24"/>
          <w:lang w:val="ro-RO"/>
        </w:rPr>
        <w:t xml:space="preserve">a </w:t>
      </w:r>
      <w:r w:rsidR="00A14FF0" w:rsidRPr="004D2FF7">
        <w:rPr>
          <w:rFonts w:ascii="Times New Roman" w:hAnsi="Times New Roman" w:cs="Times New Roman"/>
          <w:color w:val="000000" w:themeColor="text1"/>
          <w:sz w:val="24"/>
          <w:szCs w:val="24"/>
          <w:lang w:val="ro-RO"/>
        </w:rPr>
        <w:t>cauz</w:t>
      </w:r>
      <w:r>
        <w:rPr>
          <w:rFonts w:ascii="Times New Roman" w:hAnsi="Times New Roman" w:cs="Times New Roman"/>
          <w:color w:val="000000" w:themeColor="text1"/>
          <w:sz w:val="24"/>
          <w:szCs w:val="24"/>
          <w:lang w:val="ro-RO"/>
        </w:rPr>
        <w:t>at</w:t>
      </w:r>
      <w:r w:rsidR="00A14FF0" w:rsidRPr="004D2FF7">
        <w:rPr>
          <w:rFonts w:ascii="Times New Roman" w:hAnsi="Times New Roman" w:cs="Times New Roman"/>
          <w:color w:val="000000" w:themeColor="text1"/>
          <w:sz w:val="24"/>
          <w:szCs w:val="24"/>
          <w:lang w:val="ro-RO"/>
        </w:rPr>
        <w:t xml:space="preserve"> raportarea supraevaluată a valorii mijloacelor fixe și </w:t>
      </w:r>
      <w:r>
        <w:rPr>
          <w:rFonts w:ascii="Times New Roman" w:hAnsi="Times New Roman" w:cs="Times New Roman"/>
          <w:color w:val="000000" w:themeColor="text1"/>
          <w:sz w:val="24"/>
          <w:szCs w:val="24"/>
          <w:lang w:val="ro-RO"/>
        </w:rPr>
        <w:t xml:space="preserve">a </w:t>
      </w:r>
      <w:r w:rsidR="00A14FF0" w:rsidRPr="004D2FF7">
        <w:rPr>
          <w:rFonts w:ascii="Times New Roman" w:hAnsi="Times New Roman" w:cs="Times New Roman"/>
          <w:color w:val="000000" w:themeColor="text1"/>
          <w:sz w:val="24"/>
          <w:szCs w:val="24"/>
          <w:lang w:val="ro-RO"/>
        </w:rPr>
        <w:t>activelor nemateriale în sumă de 234,0 mii lei (43 de unități)</w:t>
      </w:r>
      <w:r w:rsidR="00391C49" w:rsidRPr="004D2FF7">
        <w:rPr>
          <w:rFonts w:ascii="Times New Roman" w:hAnsi="Times New Roman" w:cs="Times New Roman"/>
          <w:color w:val="000000" w:themeColor="text1"/>
          <w:sz w:val="24"/>
          <w:szCs w:val="24"/>
          <w:lang w:val="ro-RO"/>
        </w:rPr>
        <w:t>;</w:t>
      </w:r>
    </w:p>
    <w:p w14:paraId="7BB96A01" w14:textId="55D773C9" w:rsidR="00391C49" w:rsidRPr="004D2FF7" w:rsidRDefault="00F96CA0" w:rsidP="00ED5A00">
      <w:pPr>
        <w:pStyle w:val="ListParagraph"/>
        <w:numPr>
          <w:ilvl w:val="0"/>
          <w:numId w:val="17"/>
        </w:numPr>
        <w:tabs>
          <w:tab w:val="left" w:pos="426"/>
        </w:tabs>
        <w:spacing w:before="120" w:after="0" w:line="276" w:lineRule="auto"/>
        <w:ind w:left="0" w:firstLine="142"/>
        <w:jc w:val="both"/>
        <w:rPr>
          <w:rFonts w:ascii="Times New Roman" w:hAnsi="Times New Roman" w:cs="Times New Roman"/>
          <w:sz w:val="24"/>
          <w:szCs w:val="24"/>
          <w:lang w:val="ro-RO"/>
        </w:rPr>
      </w:pPr>
      <w:r>
        <w:rPr>
          <w:rFonts w:ascii="Times New Roman" w:hAnsi="Times New Roman" w:cs="Times New Roman"/>
          <w:color w:val="000000" w:themeColor="text1"/>
          <w:sz w:val="24"/>
          <w:szCs w:val="24"/>
          <w:lang w:val="ro-RO"/>
        </w:rPr>
        <w:t>s</w:t>
      </w:r>
      <w:r w:rsidR="006C0ECB" w:rsidRPr="004D2FF7">
        <w:rPr>
          <w:rFonts w:ascii="Times New Roman" w:hAnsi="Times New Roman" w:cs="Times New Roman"/>
          <w:color w:val="000000" w:themeColor="text1"/>
          <w:sz w:val="24"/>
          <w:szCs w:val="24"/>
          <w:lang w:val="ro-RO"/>
        </w:rPr>
        <w:t>-</w:t>
      </w:r>
      <w:r w:rsidR="00A42CEC" w:rsidRPr="004D2FF7">
        <w:rPr>
          <w:rFonts w:ascii="Times New Roman" w:hAnsi="Times New Roman" w:cs="Times New Roman"/>
          <w:color w:val="000000" w:themeColor="text1"/>
          <w:sz w:val="24"/>
          <w:szCs w:val="24"/>
          <w:lang w:val="ro-RO"/>
        </w:rPr>
        <w:t xml:space="preserve">a admis clasificarea neconformă a mijloacelor fixe și </w:t>
      </w:r>
      <w:r>
        <w:rPr>
          <w:rFonts w:ascii="Times New Roman" w:hAnsi="Times New Roman" w:cs="Times New Roman"/>
          <w:color w:val="000000" w:themeColor="text1"/>
          <w:sz w:val="24"/>
          <w:szCs w:val="24"/>
          <w:lang w:val="ro-RO"/>
        </w:rPr>
        <w:t xml:space="preserve">a </w:t>
      </w:r>
      <w:r w:rsidR="00A42CEC" w:rsidRPr="004D2FF7">
        <w:rPr>
          <w:rFonts w:ascii="Times New Roman" w:hAnsi="Times New Roman" w:cs="Times New Roman"/>
          <w:color w:val="000000" w:themeColor="text1"/>
          <w:sz w:val="24"/>
          <w:szCs w:val="24"/>
          <w:lang w:val="ro-RO"/>
        </w:rPr>
        <w:t xml:space="preserve">activelor nemateriale în cadrul grupelor de conturi. </w:t>
      </w:r>
      <w:r w:rsidR="00A42CEC" w:rsidRPr="004D2FF7">
        <w:rPr>
          <w:rFonts w:ascii="Times New Roman" w:hAnsi="Times New Roman" w:cs="Times New Roman"/>
          <w:sz w:val="24"/>
          <w:szCs w:val="24"/>
          <w:lang w:val="ro-RO"/>
        </w:rPr>
        <w:t>Potrivit normelor contabile</w:t>
      </w:r>
      <w:r w:rsidR="00A42CEC" w:rsidRPr="004D2FF7">
        <w:rPr>
          <w:rStyle w:val="FootnoteReference"/>
          <w:rFonts w:ascii="Times New Roman" w:hAnsi="Times New Roman" w:cs="Times New Roman"/>
          <w:lang w:val="ro-RO"/>
        </w:rPr>
        <w:footnoteReference w:id="159"/>
      </w:r>
      <w:r w:rsidR="00A42CEC" w:rsidRPr="004D2FF7">
        <w:rPr>
          <w:rFonts w:ascii="Times New Roman" w:hAnsi="Times New Roman" w:cs="Times New Roman"/>
          <w:sz w:val="24"/>
          <w:szCs w:val="24"/>
          <w:lang w:val="ro-RO"/>
        </w:rPr>
        <w:t xml:space="preserve">, evidența mijloacelor fixe arendate se ține la </w:t>
      </w:r>
      <w:r w:rsidR="00A42CEC" w:rsidRPr="004D2FF7">
        <w:rPr>
          <w:rFonts w:ascii="Times New Roman" w:hAnsi="Times New Roman" w:cs="Times New Roman"/>
          <w:sz w:val="24"/>
          <w:szCs w:val="24"/>
        </w:rPr>
        <w:t>subcontul extrabilanțier</w:t>
      </w:r>
      <w:r w:rsidR="00A42CEC" w:rsidRPr="004D2FF7">
        <w:rPr>
          <w:rFonts w:ascii="Times New Roman" w:hAnsi="Times New Roman" w:cs="Times New Roman"/>
          <w:sz w:val="24"/>
          <w:szCs w:val="24"/>
          <w:lang w:val="ro-RO"/>
        </w:rPr>
        <w:t xml:space="preserve"> 822100 ,,Active luate în locațiune/arendă/comodat”. </w:t>
      </w:r>
      <w:r w:rsidR="00C522BD" w:rsidRPr="004D2FF7">
        <w:rPr>
          <w:rFonts w:ascii="Times New Roman" w:hAnsi="Times New Roman" w:cs="Times New Roman"/>
          <w:sz w:val="24"/>
          <w:szCs w:val="24"/>
          <w:lang w:val="ro-RO"/>
        </w:rPr>
        <w:t>Însă</w:t>
      </w:r>
      <w:r>
        <w:rPr>
          <w:rFonts w:ascii="Times New Roman" w:hAnsi="Times New Roman" w:cs="Times New Roman"/>
          <w:sz w:val="24"/>
          <w:szCs w:val="24"/>
          <w:lang w:val="ro-RO"/>
        </w:rPr>
        <w:t>,</w:t>
      </w:r>
      <w:r w:rsidR="00C522BD" w:rsidRPr="004D2FF7">
        <w:rPr>
          <w:rFonts w:ascii="Times New Roman" w:hAnsi="Times New Roman" w:cs="Times New Roman"/>
          <w:sz w:val="24"/>
          <w:szCs w:val="24"/>
          <w:lang w:val="ro-RO"/>
        </w:rPr>
        <w:t xml:space="preserve"> de fapt</w:t>
      </w:r>
      <w:r w:rsidR="00A42CEC" w:rsidRPr="004D2FF7">
        <w:rPr>
          <w:rFonts w:ascii="Times New Roman" w:hAnsi="Times New Roman" w:cs="Times New Roman"/>
          <w:sz w:val="24"/>
          <w:szCs w:val="24"/>
          <w:lang w:val="ro-RO"/>
        </w:rPr>
        <w:t xml:space="preserve"> </w:t>
      </w:r>
      <w:r w:rsidR="00C522BD" w:rsidRPr="004D2FF7">
        <w:rPr>
          <w:rFonts w:ascii="Times New Roman" w:hAnsi="Times New Roman" w:cs="Times New Roman"/>
          <w:color w:val="000000" w:themeColor="text1"/>
          <w:sz w:val="24"/>
          <w:szCs w:val="24"/>
          <w:lang w:val="ro-RO"/>
        </w:rPr>
        <w:t>entitatea ține la grupa de conturi</w:t>
      </w:r>
      <w:r w:rsidR="001F7959" w:rsidRPr="004D2FF7">
        <w:rPr>
          <w:rFonts w:ascii="Times New Roman" w:hAnsi="Times New Roman" w:cs="Times New Roman"/>
          <w:color w:val="000000" w:themeColor="text1"/>
          <w:sz w:val="24"/>
          <w:szCs w:val="24"/>
          <w:lang w:val="ro-RO"/>
        </w:rPr>
        <w:t xml:space="preserve"> 315</w:t>
      </w:r>
      <w:r w:rsidR="00C522BD" w:rsidRPr="004D2FF7">
        <w:rPr>
          <w:rFonts w:ascii="Times New Roman" w:hAnsi="Times New Roman" w:cs="Times New Roman"/>
          <w:color w:val="000000" w:themeColor="text1"/>
          <w:sz w:val="24"/>
          <w:szCs w:val="24"/>
          <w:lang w:val="ro-RO"/>
        </w:rPr>
        <w:t xml:space="preserve"> „Mijloace de transport” evidența cantitativă</w:t>
      </w:r>
      <w:r w:rsidR="006053B9" w:rsidRPr="004D2FF7">
        <w:rPr>
          <w:rFonts w:ascii="Times New Roman" w:hAnsi="Times New Roman" w:cs="Times New Roman"/>
          <w:color w:val="000000" w:themeColor="text1"/>
          <w:sz w:val="24"/>
          <w:szCs w:val="24"/>
          <w:lang w:val="ro-RO"/>
        </w:rPr>
        <w:t xml:space="preserve"> a</w:t>
      </w:r>
      <w:r w:rsidR="00C522BD" w:rsidRPr="004D2FF7">
        <w:rPr>
          <w:rFonts w:ascii="Times New Roman" w:hAnsi="Times New Roman" w:cs="Times New Roman"/>
          <w:color w:val="000000" w:themeColor="text1"/>
          <w:sz w:val="24"/>
          <w:szCs w:val="24"/>
          <w:lang w:val="ro-RO"/>
        </w:rPr>
        <w:t xml:space="preserve"> un</w:t>
      </w:r>
      <w:r w:rsidR="006053B9" w:rsidRPr="004D2FF7">
        <w:rPr>
          <w:rFonts w:ascii="Times New Roman" w:hAnsi="Times New Roman" w:cs="Times New Roman"/>
          <w:color w:val="000000" w:themeColor="text1"/>
          <w:sz w:val="24"/>
          <w:szCs w:val="24"/>
          <w:lang w:val="ro-RO"/>
        </w:rPr>
        <w:t>ui</w:t>
      </w:r>
      <w:r w:rsidR="00C522BD" w:rsidRPr="004D2FF7">
        <w:rPr>
          <w:rFonts w:ascii="Times New Roman" w:hAnsi="Times New Roman" w:cs="Times New Roman"/>
          <w:color w:val="000000" w:themeColor="text1"/>
          <w:sz w:val="24"/>
          <w:szCs w:val="24"/>
          <w:lang w:val="ro-RO"/>
        </w:rPr>
        <w:t xml:space="preserve"> automobil folosit anterior în baza unui contract de comodat, încheiat la 04.01.2016</w:t>
      </w:r>
      <w:r w:rsidR="00173168" w:rsidRPr="004D2FF7">
        <w:rPr>
          <w:rFonts w:ascii="Times New Roman" w:hAnsi="Times New Roman" w:cs="Times New Roman"/>
          <w:color w:val="000000" w:themeColor="text1"/>
          <w:sz w:val="24"/>
          <w:szCs w:val="24"/>
          <w:lang w:val="ro-RO"/>
        </w:rPr>
        <w:t xml:space="preserve">, </w:t>
      </w:r>
      <w:r w:rsidR="00A42CEC" w:rsidRPr="004D2FF7">
        <w:rPr>
          <w:rFonts w:ascii="Times New Roman" w:hAnsi="Times New Roman" w:cs="Times New Roman"/>
          <w:color w:val="000000" w:themeColor="text1"/>
          <w:sz w:val="24"/>
          <w:szCs w:val="24"/>
          <w:lang w:val="ro-RO"/>
        </w:rPr>
        <w:t xml:space="preserve">care a fost reziliat în aprilie același an. La situația din 31.12.2022, automobilul menționat este reflectat la balanța entității cu un sold neutilizat de </w:t>
      </w:r>
      <w:r w:rsidR="00F81701">
        <w:rPr>
          <w:rFonts w:ascii="Times New Roman" w:hAnsi="Times New Roman" w:cs="Times New Roman"/>
          <w:color w:val="000000" w:themeColor="text1"/>
          <w:sz w:val="24"/>
          <w:szCs w:val="24"/>
          <w:lang w:val="ro-RO"/>
        </w:rPr>
        <w:t>carburanți</w:t>
      </w:r>
      <w:r w:rsidR="00A42CEC" w:rsidRPr="004D2FF7">
        <w:rPr>
          <w:rFonts w:ascii="Times New Roman" w:hAnsi="Times New Roman" w:cs="Times New Roman"/>
          <w:color w:val="000000" w:themeColor="text1"/>
          <w:sz w:val="24"/>
          <w:szCs w:val="24"/>
          <w:lang w:val="ro-RO"/>
        </w:rPr>
        <w:t xml:space="preserve"> </w:t>
      </w:r>
      <w:r w:rsidR="00A42CEC" w:rsidRPr="004D2FF7">
        <w:rPr>
          <w:rFonts w:ascii="Times New Roman" w:hAnsi="Times New Roman" w:cs="Times New Roman"/>
          <w:sz w:val="24"/>
          <w:szCs w:val="24"/>
          <w:lang w:val="ro-RO"/>
        </w:rPr>
        <w:t>în can</w:t>
      </w:r>
      <w:r w:rsidR="00E22170" w:rsidRPr="004D2FF7">
        <w:rPr>
          <w:rFonts w:ascii="Times New Roman" w:hAnsi="Times New Roman" w:cs="Times New Roman"/>
          <w:sz w:val="24"/>
          <w:szCs w:val="24"/>
          <w:lang w:val="ro-RO"/>
        </w:rPr>
        <w:t>titate de 54,6 litri/702,6 lei.</w:t>
      </w:r>
    </w:p>
    <w:p w14:paraId="1324A5DF" w14:textId="77777777" w:rsidR="00F41142" w:rsidRPr="004D2FF7" w:rsidRDefault="00F41142" w:rsidP="00F41142">
      <w:pPr>
        <w:spacing w:after="0" w:line="240" w:lineRule="auto"/>
        <w:rPr>
          <w:rFonts w:ascii="Times New Roman" w:hAnsi="Times New Roman" w:cs="Times New Roman"/>
          <w:b/>
          <w:color w:val="000000" w:themeColor="text1"/>
          <w:sz w:val="24"/>
          <w:szCs w:val="24"/>
        </w:rPr>
      </w:pPr>
    </w:p>
    <w:p w14:paraId="7FFC1913" w14:textId="77777777" w:rsidR="00F41142" w:rsidRPr="004D2FF7" w:rsidRDefault="00F41142" w:rsidP="00F41142">
      <w:pPr>
        <w:spacing w:after="0" w:line="240" w:lineRule="auto"/>
        <w:rPr>
          <w:rFonts w:ascii="Times New Roman" w:hAnsi="Times New Roman" w:cs="Times New Roman"/>
          <w:b/>
          <w:color w:val="000000" w:themeColor="text1"/>
          <w:sz w:val="24"/>
          <w:szCs w:val="24"/>
        </w:rPr>
      </w:pPr>
      <w:r w:rsidRPr="004D2FF7">
        <w:rPr>
          <w:rFonts w:ascii="Times New Roman" w:hAnsi="Times New Roman" w:cs="Times New Roman"/>
          <w:b/>
          <w:color w:val="000000" w:themeColor="text1"/>
          <w:sz w:val="24"/>
          <w:szCs w:val="24"/>
        </w:rPr>
        <w:t>În perioada misiunii de audit:</w:t>
      </w:r>
    </w:p>
    <w:p w14:paraId="055AEF88" w14:textId="1FDD9340" w:rsidR="006F38C3" w:rsidRPr="004D2FF7" w:rsidRDefault="00F96CA0" w:rsidP="006F38C3">
      <w:pPr>
        <w:pStyle w:val="ListParagraph"/>
        <w:numPr>
          <w:ilvl w:val="0"/>
          <w:numId w:val="17"/>
        </w:numPr>
        <w:spacing w:after="0" w:line="276" w:lineRule="auto"/>
        <w:ind w:left="0" w:firstLine="3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a</w:t>
      </w:r>
      <w:r w:rsidR="00F41142" w:rsidRPr="004D2FF7">
        <w:rPr>
          <w:rFonts w:ascii="Times New Roman" w:hAnsi="Times New Roman" w:cs="Times New Roman"/>
          <w:i/>
          <w:color w:val="000000" w:themeColor="text1"/>
          <w:sz w:val="24"/>
          <w:szCs w:val="24"/>
        </w:rPr>
        <w:t>utoturismul Chevrolet Captiva nr. CPV 010 al fostului director al CNPDP</w:t>
      </w:r>
      <w:r>
        <w:rPr>
          <w:rFonts w:ascii="Times New Roman" w:hAnsi="Times New Roman" w:cs="Times New Roman"/>
          <w:i/>
          <w:color w:val="000000" w:themeColor="text1"/>
          <w:sz w:val="24"/>
          <w:szCs w:val="24"/>
        </w:rPr>
        <w:t>,</w:t>
      </w:r>
      <w:r w:rsidR="00F41142" w:rsidRPr="004D2FF7">
        <w:rPr>
          <w:rFonts w:ascii="Times New Roman" w:hAnsi="Times New Roman" w:cs="Times New Roman"/>
          <w:i/>
          <w:color w:val="000000" w:themeColor="text1"/>
          <w:sz w:val="24"/>
          <w:szCs w:val="24"/>
        </w:rPr>
        <w:t xml:space="preserve"> luat în comodat </w:t>
      </w:r>
      <w:r w:rsidR="006D5A21" w:rsidRPr="004D2FF7">
        <w:rPr>
          <w:rFonts w:ascii="Times New Roman" w:hAnsi="Times New Roman" w:cs="Times New Roman"/>
          <w:i/>
          <w:color w:val="000000" w:themeColor="text1"/>
          <w:sz w:val="24"/>
          <w:szCs w:val="24"/>
        </w:rPr>
        <w:t>î</w:t>
      </w:r>
      <w:r w:rsidR="00F41142" w:rsidRPr="004D2FF7">
        <w:rPr>
          <w:rFonts w:ascii="Times New Roman" w:hAnsi="Times New Roman" w:cs="Times New Roman"/>
          <w:i/>
          <w:color w:val="000000" w:themeColor="text1"/>
          <w:sz w:val="24"/>
          <w:szCs w:val="24"/>
        </w:rPr>
        <w:t>n anul 2016</w:t>
      </w:r>
      <w:r>
        <w:rPr>
          <w:rFonts w:ascii="Times New Roman" w:hAnsi="Times New Roman" w:cs="Times New Roman"/>
          <w:i/>
          <w:color w:val="000000" w:themeColor="text1"/>
          <w:sz w:val="24"/>
          <w:szCs w:val="24"/>
        </w:rPr>
        <w:t>,</w:t>
      </w:r>
      <w:r w:rsidR="00F41142" w:rsidRPr="004D2FF7">
        <w:rPr>
          <w:rFonts w:ascii="Times New Roman" w:hAnsi="Times New Roman" w:cs="Times New Roman"/>
          <w:i/>
          <w:color w:val="000000" w:themeColor="text1"/>
          <w:sz w:val="24"/>
          <w:szCs w:val="24"/>
        </w:rPr>
        <w:t xml:space="preserve"> a fost scos din evidența contabilă, iar soldul de </w:t>
      </w:r>
      <w:r w:rsidR="00F81701">
        <w:rPr>
          <w:rFonts w:ascii="Times New Roman" w:hAnsi="Times New Roman" w:cs="Times New Roman"/>
          <w:i/>
          <w:color w:val="000000" w:themeColor="text1"/>
          <w:sz w:val="24"/>
          <w:szCs w:val="24"/>
        </w:rPr>
        <w:t>carburanți</w:t>
      </w:r>
      <w:r w:rsidR="00F41142" w:rsidRPr="004D2FF7">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de </w:t>
      </w:r>
      <w:r w:rsidR="00F41142" w:rsidRPr="004D2FF7">
        <w:rPr>
          <w:rFonts w:ascii="Times New Roman" w:hAnsi="Times New Roman" w:cs="Times New Roman"/>
          <w:i/>
          <w:color w:val="000000" w:themeColor="text1"/>
          <w:sz w:val="24"/>
          <w:szCs w:val="24"/>
        </w:rPr>
        <w:t>54,6 litri/702,6 lei, al cărui termen de prescripție a expirat va fi casat la finele anului curent</w:t>
      </w:r>
      <w:r>
        <w:rPr>
          <w:rFonts w:ascii="Times New Roman" w:hAnsi="Times New Roman" w:cs="Times New Roman"/>
          <w:i/>
          <w:color w:val="000000" w:themeColor="text1"/>
          <w:sz w:val="24"/>
          <w:szCs w:val="24"/>
        </w:rPr>
        <w:t>;</w:t>
      </w:r>
    </w:p>
    <w:p w14:paraId="0CA3F12D" w14:textId="39C85DF5" w:rsidR="00E01955" w:rsidRPr="004D2FF7" w:rsidRDefault="00F96CA0" w:rsidP="006F38C3">
      <w:pPr>
        <w:pStyle w:val="ListParagraph"/>
        <w:numPr>
          <w:ilvl w:val="0"/>
          <w:numId w:val="17"/>
        </w:numPr>
        <w:spacing w:after="0" w:line="276" w:lineRule="auto"/>
        <w:ind w:left="0" w:firstLine="360"/>
        <w:jc w:val="both"/>
        <w:rPr>
          <w:rFonts w:ascii="Times New Roman" w:hAnsi="Times New Roman" w:cs="Times New Roman"/>
          <w:i/>
          <w:color w:val="000000" w:themeColor="text1"/>
          <w:sz w:val="24"/>
          <w:szCs w:val="24"/>
        </w:rPr>
      </w:pPr>
      <w:r>
        <w:rPr>
          <w:rFonts w:ascii="Times New Roman" w:hAnsi="Times New Roman" w:cs="Times New Roman"/>
          <w:i/>
          <w:sz w:val="24"/>
          <w:szCs w:val="24"/>
        </w:rPr>
        <w:t>v</w:t>
      </w:r>
      <w:r w:rsidR="006F38C3" w:rsidRPr="004D2FF7">
        <w:rPr>
          <w:rFonts w:ascii="Times New Roman" w:hAnsi="Times New Roman" w:cs="Times New Roman"/>
          <w:i/>
          <w:sz w:val="24"/>
          <w:szCs w:val="24"/>
        </w:rPr>
        <w:t xml:space="preserve">aloarea ușilor </w:t>
      </w:r>
      <w:r w:rsidR="006F38C3" w:rsidRPr="004D2FF7">
        <w:rPr>
          <w:rFonts w:ascii="Times New Roman" w:hAnsi="Times New Roman" w:cs="Times New Roman"/>
          <w:i/>
          <w:sz w:val="24"/>
          <w:szCs w:val="24"/>
          <w:lang w:val="ro-RO"/>
        </w:rPr>
        <w:t>în sumă de 41,0 mii lei</w:t>
      </w:r>
      <w:r>
        <w:rPr>
          <w:rFonts w:ascii="Times New Roman" w:hAnsi="Times New Roman" w:cs="Times New Roman"/>
          <w:i/>
          <w:sz w:val="24"/>
          <w:szCs w:val="24"/>
          <w:lang w:val="ro-RO"/>
        </w:rPr>
        <w:t>,</w:t>
      </w:r>
      <w:r w:rsidR="006F38C3" w:rsidRPr="004D2FF7">
        <w:rPr>
          <w:rFonts w:ascii="Times New Roman" w:hAnsi="Times New Roman" w:cs="Times New Roman"/>
          <w:sz w:val="24"/>
          <w:szCs w:val="24"/>
          <w:lang w:val="ro-RO"/>
        </w:rPr>
        <w:t xml:space="preserve"> </w:t>
      </w:r>
      <w:r w:rsidR="00E01955" w:rsidRPr="004D2FF7">
        <w:rPr>
          <w:rFonts w:ascii="Times New Roman" w:hAnsi="Times New Roman" w:cs="Times New Roman"/>
          <w:i/>
          <w:sz w:val="24"/>
          <w:szCs w:val="24"/>
        </w:rPr>
        <w:t>aflate la balanța CNPDCP</w:t>
      </w:r>
      <w:r w:rsidR="00E01955" w:rsidRPr="004D2FF7">
        <w:rPr>
          <w:rFonts w:ascii="Times New Roman" w:hAnsi="Times New Roman" w:cs="Times New Roman"/>
          <w:sz w:val="24"/>
          <w:szCs w:val="24"/>
          <w:lang w:val="ro-RO"/>
        </w:rPr>
        <w:t xml:space="preserve"> </w:t>
      </w:r>
      <w:r w:rsidR="00E01955" w:rsidRPr="004D2FF7">
        <w:rPr>
          <w:rFonts w:ascii="Times New Roman" w:hAnsi="Times New Roman" w:cs="Times New Roman"/>
          <w:i/>
          <w:sz w:val="24"/>
          <w:szCs w:val="24"/>
          <w:lang w:val="ro-RO"/>
        </w:rPr>
        <w:t>și utilizate pentru reparația</w:t>
      </w:r>
      <w:r w:rsidR="00E01955" w:rsidRPr="004D2FF7">
        <w:rPr>
          <w:rFonts w:ascii="Times New Roman" w:hAnsi="Times New Roman" w:cs="Times New Roman"/>
          <w:i/>
          <w:sz w:val="24"/>
          <w:szCs w:val="24"/>
        </w:rPr>
        <w:t xml:space="preserve"> încăperilor nelocuibile luate în comodat</w:t>
      </w:r>
      <w:r w:rsidR="006F38C3" w:rsidRPr="004D2FF7">
        <w:rPr>
          <w:rFonts w:ascii="Times New Roman" w:hAnsi="Times New Roman" w:cs="Times New Roman"/>
          <w:i/>
          <w:sz w:val="24"/>
          <w:szCs w:val="24"/>
        </w:rPr>
        <w:t xml:space="preserve">, </w:t>
      </w:r>
      <w:r w:rsidR="00725904">
        <w:rPr>
          <w:rFonts w:ascii="Times New Roman" w:hAnsi="Times New Roman" w:cs="Times New Roman"/>
          <w:i/>
          <w:sz w:val="24"/>
          <w:szCs w:val="24"/>
        </w:rPr>
        <w:t>urmează a</w:t>
      </w:r>
      <w:r w:rsidR="006F38C3" w:rsidRPr="004D2FF7">
        <w:rPr>
          <w:rFonts w:ascii="Times New Roman" w:hAnsi="Times New Roman" w:cs="Times New Roman"/>
          <w:i/>
          <w:sz w:val="24"/>
          <w:szCs w:val="24"/>
        </w:rPr>
        <w:t xml:space="preserve"> fi transmisă</w:t>
      </w:r>
      <w:r w:rsidR="00725904">
        <w:rPr>
          <w:rFonts w:ascii="Times New Roman" w:hAnsi="Times New Roman" w:cs="Times New Roman"/>
          <w:i/>
          <w:sz w:val="24"/>
          <w:szCs w:val="24"/>
        </w:rPr>
        <w:t xml:space="preserve"> în timpul apropiat</w:t>
      </w:r>
      <w:r w:rsidR="006F38C3" w:rsidRPr="004D2FF7">
        <w:rPr>
          <w:rFonts w:ascii="Times New Roman" w:hAnsi="Times New Roman" w:cs="Times New Roman"/>
          <w:i/>
          <w:sz w:val="24"/>
          <w:szCs w:val="24"/>
        </w:rPr>
        <w:t xml:space="preserve"> către Direcția pentru administrarea </w:t>
      </w:r>
      <w:r>
        <w:rPr>
          <w:rFonts w:ascii="Times New Roman" w:hAnsi="Times New Roman" w:cs="Times New Roman"/>
          <w:i/>
          <w:sz w:val="24"/>
          <w:szCs w:val="24"/>
        </w:rPr>
        <w:t>c</w:t>
      </w:r>
      <w:r w:rsidR="006F38C3" w:rsidRPr="004D2FF7">
        <w:rPr>
          <w:rFonts w:ascii="Times New Roman" w:hAnsi="Times New Roman" w:cs="Times New Roman"/>
          <w:i/>
          <w:sz w:val="24"/>
          <w:szCs w:val="24"/>
        </w:rPr>
        <w:t xml:space="preserve">lădirilor Guvernului, prin actul de predare-primire. </w:t>
      </w:r>
    </w:p>
    <w:p w14:paraId="08680ABE" w14:textId="77777777" w:rsidR="00806AD8" w:rsidRPr="00725904" w:rsidRDefault="00806AD8" w:rsidP="00A42CEC">
      <w:pPr>
        <w:spacing w:after="0"/>
        <w:jc w:val="both"/>
        <w:rPr>
          <w:rFonts w:ascii="Times New Roman" w:hAnsi="Times New Roman" w:cs="Times New Roman"/>
          <w:sz w:val="24"/>
          <w:szCs w:val="24"/>
        </w:rPr>
      </w:pPr>
    </w:p>
    <w:p w14:paraId="1A70C1C4" w14:textId="2CC48B3F" w:rsidR="00941C65" w:rsidRPr="004D2FF7" w:rsidRDefault="00941C65" w:rsidP="00B05D60">
      <w:pPr>
        <w:spacing w:after="120" w:line="240" w:lineRule="auto"/>
        <w:jc w:val="both"/>
        <w:rPr>
          <w:rFonts w:ascii="Times New Roman" w:hAnsi="Times New Roman" w:cs="Times New Roman"/>
          <w:b/>
          <w:i/>
          <w:sz w:val="24"/>
          <w:szCs w:val="24"/>
          <w:lang w:val="ro-RO"/>
        </w:rPr>
      </w:pPr>
      <w:r w:rsidRPr="004D2FF7">
        <w:rPr>
          <w:rFonts w:ascii="Times New Roman" w:hAnsi="Times New Roman" w:cs="Times New Roman"/>
          <w:b/>
          <w:i/>
          <w:sz w:val="24"/>
          <w:szCs w:val="24"/>
          <w:lang w:val="ro-RO"/>
        </w:rPr>
        <w:t>c)</w:t>
      </w:r>
      <w:r w:rsidRPr="004D2FF7">
        <w:rPr>
          <w:rFonts w:ascii="Times New Roman" w:hAnsi="Times New Roman" w:cs="Times New Roman"/>
          <w:sz w:val="24"/>
          <w:szCs w:val="24"/>
          <w:lang w:val="ro-RO"/>
        </w:rPr>
        <w:t xml:space="preserve"> </w:t>
      </w:r>
      <w:r w:rsidRPr="004D2FF7">
        <w:rPr>
          <w:rFonts w:ascii="Times New Roman" w:hAnsi="Times New Roman" w:cs="Times New Roman"/>
          <w:b/>
          <w:i/>
          <w:sz w:val="24"/>
          <w:szCs w:val="24"/>
          <w:lang w:val="ro-RO"/>
        </w:rPr>
        <w:t>Verificările privind plenitudinea raportării stocurilor de materiale circulante la finele perioadei de gestiune, denotă supraevaluarea valorii stocurilor și nu reflectă o situație reală a soldurilor aportate la finele anului</w:t>
      </w:r>
      <w:r w:rsidR="00A62786" w:rsidRPr="004D2FF7">
        <w:rPr>
          <w:rFonts w:ascii="Times New Roman" w:hAnsi="Times New Roman" w:cs="Times New Roman"/>
          <w:b/>
          <w:i/>
          <w:sz w:val="24"/>
          <w:szCs w:val="24"/>
          <w:lang w:val="ro-RO"/>
        </w:rPr>
        <w:t xml:space="preserve"> bugetar</w:t>
      </w:r>
      <w:r w:rsidR="00F96CA0">
        <w:rPr>
          <w:rFonts w:ascii="Times New Roman" w:hAnsi="Times New Roman" w:cs="Times New Roman"/>
          <w:b/>
          <w:i/>
          <w:sz w:val="24"/>
          <w:szCs w:val="24"/>
          <w:lang w:val="ro-RO"/>
        </w:rPr>
        <w:t>.</w:t>
      </w:r>
      <w:r w:rsidRPr="004D2FF7">
        <w:rPr>
          <w:rFonts w:ascii="Times New Roman" w:hAnsi="Times New Roman" w:cs="Times New Roman"/>
          <w:b/>
          <w:i/>
          <w:sz w:val="24"/>
          <w:szCs w:val="24"/>
          <w:lang w:val="ro-RO"/>
        </w:rPr>
        <w:t xml:space="preserve"> </w:t>
      </w:r>
    </w:p>
    <w:p w14:paraId="72C62C28" w14:textId="00EDAB28" w:rsidR="00941C65" w:rsidRPr="004D2FF7" w:rsidRDefault="005B15EC" w:rsidP="00B05D60">
      <w:pPr>
        <w:spacing w:after="120"/>
        <w:jc w:val="both"/>
        <w:rPr>
          <w:rFonts w:ascii="Times New Roman" w:hAnsi="Times New Roman" w:cs="Times New Roman"/>
          <w:sz w:val="24"/>
          <w:szCs w:val="24"/>
          <w:lang w:val="ro-RO"/>
        </w:rPr>
      </w:pPr>
      <w:r w:rsidRPr="004D2FF7">
        <w:rPr>
          <w:rFonts w:ascii="Times New Roman" w:hAnsi="Times New Roman" w:cs="Times New Roman"/>
          <w:sz w:val="24"/>
          <w:szCs w:val="24"/>
        </w:rPr>
        <w:t>Conform datelor din evidența contabilă</w:t>
      </w:r>
      <w:r w:rsidR="006B26AD" w:rsidRPr="004D2FF7">
        <w:rPr>
          <w:rFonts w:ascii="Times New Roman" w:hAnsi="Times New Roman" w:cs="Times New Roman"/>
          <w:sz w:val="24"/>
          <w:szCs w:val="24"/>
        </w:rPr>
        <w:t>, CNPDCP avea în gestiune</w:t>
      </w:r>
      <w:r w:rsidR="00C916E8" w:rsidRPr="004D2FF7">
        <w:rPr>
          <w:rFonts w:ascii="Times New Roman" w:hAnsi="Times New Roman" w:cs="Times New Roman"/>
          <w:sz w:val="24"/>
          <w:szCs w:val="24"/>
        </w:rPr>
        <w:t xml:space="preserve"> la 31.12.2022</w:t>
      </w:r>
      <w:r w:rsidR="006B26AD" w:rsidRPr="004D2FF7">
        <w:rPr>
          <w:rFonts w:ascii="Times New Roman" w:hAnsi="Times New Roman" w:cs="Times New Roman"/>
          <w:sz w:val="24"/>
          <w:szCs w:val="24"/>
        </w:rPr>
        <w:t xml:space="preserve"> stocuri de materiale circulante în valoare totală de 663,5 mii lei</w:t>
      </w:r>
      <w:r w:rsidRPr="004D2FF7">
        <w:rPr>
          <w:rFonts w:ascii="Times New Roman" w:hAnsi="Times New Roman" w:cs="Times New Roman"/>
          <w:sz w:val="24"/>
          <w:szCs w:val="24"/>
        </w:rPr>
        <w:t xml:space="preserve">. </w:t>
      </w:r>
      <w:r w:rsidR="0084201B" w:rsidRPr="004D2FF7">
        <w:rPr>
          <w:rFonts w:ascii="Times New Roman" w:hAnsi="Times New Roman" w:cs="Times New Roman"/>
          <w:sz w:val="24"/>
          <w:szCs w:val="24"/>
        </w:rPr>
        <w:t>Cel mai mare stoc</w:t>
      </w:r>
      <w:r w:rsidRPr="004D2FF7">
        <w:rPr>
          <w:rFonts w:ascii="Times New Roman" w:hAnsi="Times New Roman" w:cs="Times New Roman"/>
          <w:sz w:val="24"/>
          <w:szCs w:val="24"/>
        </w:rPr>
        <w:t xml:space="preserve"> îl</w:t>
      </w:r>
      <w:r w:rsidR="0084201B" w:rsidRPr="004D2FF7">
        <w:rPr>
          <w:rFonts w:ascii="Times New Roman" w:hAnsi="Times New Roman" w:cs="Times New Roman"/>
          <w:sz w:val="24"/>
          <w:szCs w:val="24"/>
        </w:rPr>
        <w:t xml:space="preserve"> constituie m</w:t>
      </w:r>
      <w:r w:rsidR="0084201B" w:rsidRPr="004D2FF7">
        <w:rPr>
          <w:rFonts w:ascii="Times New Roman" w:eastAsia="Times New Roman" w:hAnsi="Times New Roman" w:cs="Times New Roman"/>
          <w:color w:val="000000"/>
          <w:sz w:val="24"/>
          <w:szCs w:val="24"/>
        </w:rPr>
        <w:t>aterialele de uz gospodăresc și rechizite</w:t>
      </w:r>
      <w:r w:rsidR="00BE1EB9">
        <w:rPr>
          <w:rFonts w:ascii="Times New Roman" w:eastAsia="Times New Roman" w:hAnsi="Times New Roman" w:cs="Times New Roman"/>
          <w:color w:val="000000"/>
          <w:sz w:val="24"/>
          <w:szCs w:val="24"/>
        </w:rPr>
        <w:t>le</w:t>
      </w:r>
      <w:r w:rsidR="0084201B" w:rsidRPr="004D2FF7">
        <w:rPr>
          <w:rFonts w:ascii="Times New Roman" w:eastAsia="Times New Roman" w:hAnsi="Times New Roman" w:cs="Times New Roman"/>
          <w:color w:val="000000"/>
          <w:sz w:val="24"/>
          <w:szCs w:val="24"/>
        </w:rPr>
        <w:t xml:space="preserve"> de birou</w:t>
      </w:r>
      <w:r w:rsidR="00BE1EB9">
        <w:rPr>
          <w:rFonts w:ascii="Times New Roman" w:eastAsia="Times New Roman" w:hAnsi="Times New Roman" w:cs="Times New Roman"/>
          <w:color w:val="000000"/>
          <w:sz w:val="24"/>
          <w:szCs w:val="24"/>
        </w:rPr>
        <w:t>,</w:t>
      </w:r>
      <w:r w:rsidR="0084201B" w:rsidRPr="004D2FF7">
        <w:rPr>
          <w:rFonts w:ascii="Times New Roman" w:hAnsi="Times New Roman" w:cs="Times New Roman"/>
          <w:sz w:val="24"/>
          <w:szCs w:val="24"/>
        </w:rPr>
        <w:t xml:space="preserve"> în sumă de 377,7 mii lei (</w:t>
      </w:r>
      <w:r w:rsidR="0084201B" w:rsidRPr="004D2FF7">
        <w:rPr>
          <w:rFonts w:ascii="Times New Roman" w:hAnsi="Times New Roman" w:cs="Times New Roman"/>
          <w:sz w:val="24"/>
          <w:szCs w:val="24"/>
          <w:lang w:val="ro-RO"/>
        </w:rPr>
        <w:t>56,9%)</w:t>
      </w:r>
      <w:r w:rsidR="0084201B" w:rsidRPr="004D2FF7">
        <w:rPr>
          <w:rFonts w:ascii="Times New Roman" w:eastAsia="Times New Roman" w:hAnsi="Times New Roman" w:cs="Times New Roman"/>
          <w:color w:val="000000"/>
          <w:sz w:val="24"/>
          <w:szCs w:val="24"/>
        </w:rPr>
        <w:t>, urmat de stocul pieselor de schimb în sumă de 117</w:t>
      </w:r>
      <w:r w:rsidR="0084201B" w:rsidRPr="004D2FF7">
        <w:rPr>
          <w:rFonts w:ascii="Times New Roman" w:hAnsi="Times New Roman" w:cs="Times New Roman"/>
          <w:sz w:val="24"/>
          <w:szCs w:val="24"/>
        </w:rPr>
        <w:t xml:space="preserve">,6 mii lei </w:t>
      </w:r>
      <w:r w:rsidRPr="004D2FF7">
        <w:rPr>
          <w:rFonts w:ascii="Times New Roman" w:hAnsi="Times New Roman" w:cs="Times New Roman"/>
          <w:sz w:val="24"/>
          <w:szCs w:val="24"/>
        </w:rPr>
        <w:t>(17,7</w:t>
      </w:r>
      <w:r w:rsidRPr="004D2FF7">
        <w:rPr>
          <w:rFonts w:ascii="Times New Roman" w:hAnsi="Times New Roman" w:cs="Times New Roman"/>
          <w:sz w:val="24"/>
          <w:szCs w:val="24"/>
          <w:lang w:val="ro-RO"/>
        </w:rPr>
        <w:t xml:space="preserve">%) </w:t>
      </w:r>
      <w:r w:rsidR="0084201B" w:rsidRPr="004D2FF7">
        <w:rPr>
          <w:rFonts w:ascii="Times New Roman" w:hAnsi="Times New Roman" w:cs="Times New Roman"/>
          <w:sz w:val="24"/>
          <w:szCs w:val="24"/>
        </w:rPr>
        <w:t>și alte materiale în sumă de 133,9 mii lei (</w:t>
      </w:r>
      <w:r w:rsidR="0084201B" w:rsidRPr="004D2FF7">
        <w:rPr>
          <w:rFonts w:ascii="Times New Roman" w:hAnsi="Times New Roman" w:cs="Times New Roman"/>
          <w:sz w:val="24"/>
          <w:szCs w:val="24"/>
          <w:lang w:val="ro-RO"/>
        </w:rPr>
        <w:t>20,2%)</w:t>
      </w:r>
      <w:r w:rsidR="00E60EB0">
        <w:rPr>
          <w:rFonts w:ascii="Times New Roman" w:hAnsi="Times New Roman" w:cs="Times New Roman"/>
          <w:sz w:val="24"/>
          <w:szCs w:val="24"/>
        </w:rPr>
        <w:t xml:space="preserve">. </w:t>
      </w:r>
      <w:r w:rsidR="0084201B" w:rsidRPr="004D2FF7">
        <w:rPr>
          <w:rFonts w:ascii="Times New Roman" w:hAnsi="Times New Roman" w:cs="Times New Roman"/>
          <w:sz w:val="24"/>
          <w:szCs w:val="24"/>
        </w:rPr>
        <w:t xml:space="preserve"> </w:t>
      </w:r>
    </w:p>
    <w:p w14:paraId="3798DDF6" w14:textId="072C3243" w:rsidR="00E40176" w:rsidRPr="004D2FF7" w:rsidRDefault="00F110F8" w:rsidP="00B05D60">
      <w:pPr>
        <w:spacing w:after="120" w:line="276" w:lineRule="auto"/>
        <w:jc w:val="both"/>
        <w:rPr>
          <w:rFonts w:ascii="Times New Roman" w:hAnsi="Times New Roman" w:cs="Times New Roman"/>
          <w:sz w:val="24"/>
          <w:szCs w:val="24"/>
          <w:lang w:val="ro-RO"/>
        </w:rPr>
      </w:pPr>
      <w:r w:rsidRPr="004D2FF7">
        <w:rPr>
          <w:rFonts w:ascii="Times New Roman" w:hAnsi="Times New Roman" w:cs="Times New Roman"/>
          <w:sz w:val="24"/>
          <w:szCs w:val="24"/>
          <w:lang w:val="ro-RO"/>
        </w:rPr>
        <w:t xml:space="preserve">Potrivit </w:t>
      </w:r>
      <w:r w:rsidR="002E7992" w:rsidRPr="004D2FF7">
        <w:rPr>
          <w:rFonts w:ascii="Times New Roman" w:hAnsi="Times New Roman" w:cs="Times New Roman"/>
          <w:sz w:val="24"/>
          <w:szCs w:val="24"/>
        </w:rPr>
        <w:t>Ordinul</w:t>
      </w:r>
      <w:r w:rsidR="001648A2" w:rsidRPr="004D2FF7">
        <w:rPr>
          <w:rFonts w:ascii="Times New Roman" w:hAnsi="Times New Roman" w:cs="Times New Roman"/>
          <w:sz w:val="24"/>
          <w:szCs w:val="24"/>
        </w:rPr>
        <w:t>ui</w:t>
      </w:r>
      <w:r w:rsidR="002E7992" w:rsidRPr="004D2FF7">
        <w:rPr>
          <w:rFonts w:ascii="Times New Roman" w:hAnsi="Times New Roman" w:cs="Times New Roman"/>
          <w:sz w:val="24"/>
          <w:szCs w:val="24"/>
        </w:rPr>
        <w:t xml:space="preserve"> ministrului </w:t>
      </w:r>
      <w:r w:rsidR="00BE1EB9">
        <w:rPr>
          <w:rFonts w:ascii="Times New Roman" w:hAnsi="Times New Roman" w:cs="Times New Roman"/>
          <w:sz w:val="24"/>
          <w:szCs w:val="24"/>
        </w:rPr>
        <w:t>F</w:t>
      </w:r>
      <w:r w:rsidR="002E7992" w:rsidRPr="004D2FF7">
        <w:rPr>
          <w:rFonts w:ascii="Times New Roman" w:hAnsi="Times New Roman" w:cs="Times New Roman"/>
          <w:sz w:val="24"/>
          <w:szCs w:val="24"/>
        </w:rPr>
        <w:t>inanțelor nr.216 din 28.12.2015</w:t>
      </w:r>
      <w:r w:rsidR="002E7992" w:rsidRPr="004D2FF7">
        <w:rPr>
          <w:rStyle w:val="FootnoteReference"/>
          <w:rFonts w:ascii="Times New Roman" w:hAnsi="Times New Roman" w:cs="Times New Roman"/>
          <w:sz w:val="24"/>
          <w:szCs w:val="24"/>
        </w:rPr>
        <w:footnoteReference w:id="160"/>
      </w:r>
      <w:r w:rsidRPr="004D2FF7">
        <w:rPr>
          <w:rFonts w:ascii="Times New Roman" w:hAnsi="Times New Roman" w:cs="Times New Roman"/>
          <w:bCs/>
          <w:sz w:val="24"/>
          <w:szCs w:val="24"/>
          <w:lang w:val="ro-RO"/>
        </w:rPr>
        <w:t xml:space="preserve">, </w:t>
      </w:r>
      <w:r w:rsidRPr="004D2FF7">
        <w:rPr>
          <w:rFonts w:ascii="Times New Roman" w:hAnsi="Times New Roman" w:cs="Times New Roman"/>
          <w:sz w:val="24"/>
          <w:szCs w:val="24"/>
          <w:lang w:val="ro-RO"/>
        </w:rPr>
        <w:t>sarcinile de bază ale evidenței stocurilor de materiale</w:t>
      </w:r>
      <w:r w:rsidR="00992421" w:rsidRPr="004D2FF7">
        <w:rPr>
          <w:rFonts w:ascii="Times New Roman" w:hAnsi="Times New Roman" w:cs="Times New Roman"/>
          <w:sz w:val="24"/>
          <w:szCs w:val="24"/>
        </w:rPr>
        <w:t xml:space="preserve"> circulante</w:t>
      </w:r>
      <w:r w:rsidRPr="004D2FF7">
        <w:rPr>
          <w:rFonts w:ascii="Times New Roman" w:hAnsi="Times New Roman" w:cs="Times New Roman"/>
          <w:sz w:val="24"/>
          <w:szCs w:val="24"/>
          <w:lang w:val="ro-RO"/>
        </w:rPr>
        <w:t xml:space="preserve"> sunt: asigurarea integrității şi controlului asupra circulației şi folosirii corecte a tuturor valorilor materiale; respectarea normelor stabilite de stocuri şi cheltuieli; depistarea oportună a materialelor nefolosite, care urmează a</w:t>
      </w:r>
      <w:r w:rsidR="001648A2" w:rsidRPr="004D2FF7">
        <w:rPr>
          <w:rFonts w:ascii="Times New Roman" w:hAnsi="Times New Roman" w:cs="Times New Roman"/>
          <w:sz w:val="24"/>
          <w:szCs w:val="24"/>
          <w:lang w:val="ro-RO"/>
        </w:rPr>
        <w:t xml:space="preserve"> fi realizate în modul stabilit și</w:t>
      </w:r>
      <w:r w:rsidRPr="004D2FF7">
        <w:rPr>
          <w:rFonts w:ascii="Times New Roman" w:hAnsi="Times New Roman" w:cs="Times New Roman"/>
          <w:sz w:val="24"/>
          <w:szCs w:val="24"/>
          <w:lang w:val="ro-RO"/>
        </w:rPr>
        <w:t xml:space="preserve"> </w:t>
      </w:r>
      <w:r w:rsidR="00BE1EB9">
        <w:rPr>
          <w:rFonts w:ascii="Times New Roman" w:hAnsi="Times New Roman" w:cs="Times New Roman"/>
          <w:sz w:val="24"/>
          <w:szCs w:val="24"/>
          <w:lang w:val="ro-RO"/>
        </w:rPr>
        <w:t>obținerea</w:t>
      </w:r>
      <w:r w:rsidR="00BE1EB9" w:rsidRPr="004D2FF7">
        <w:rPr>
          <w:rFonts w:ascii="Times New Roman" w:hAnsi="Times New Roman" w:cs="Times New Roman"/>
          <w:sz w:val="24"/>
          <w:szCs w:val="24"/>
          <w:lang w:val="ro-RO"/>
        </w:rPr>
        <w:t xml:space="preserve"> </w:t>
      </w:r>
      <w:r w:rsidRPr="004D2FF7">
        <w:rPr>
          <w:rFonts w:ascii="Times New Roman" w:hAnsi="Times New Roman" w:cs="Times New Roman"/>
          <w:sz w:val="24"/>
          <w:szCs w:val="24"/>
          <w:lang w:val="ro-RO"/>
        </w:rPr>
        <w:t>unor informații exacte despre soldurile care se află în depozitele instituțiilor.</w:t>
      </w:r>
      <w:r w:rsidR="001648A2" w:rsidRPr="004D2FF7">
        <w:rPr>
          <w:rFonts w:ascii="Times New Roman" w:hAnsi="Times New Roman" w:cs="Times New Roman"/>
          <w:sz w:val="24"/>
          <w:szCs w:val="24"/>
          <w:lang w:val="ro-RO"/>
        </w:rPr>
        <w:t xml:space="preserve"> </w:t>
      </w:r>
    </w:p>
    <w:p w14:paraId="7E8801B4" w14:textId="4590F381" w:rsidR="009D32E8" w:rsidRPr="004D2FF7" w:rsidRDefault="00922494" w:rsidP="00B05D60">
      <w:pPr>
        <w:spacing w:after="120" w:line="276" w:lineRule="auto"/>
        <w:jc w:val="both"/>
        <w:rPr>
          <w:rFonts w:ascii="Times New Roman" w:hAnsi="Times New Roman" w:cs="Times New Roman"/>
          <w:color w:val="000000" w:themeColor="text1"/>
          <w:sz w:val="24"/>
          <w:szCs w:val="24"/>
          <w:lang w:val="ro-RO"/>
        </w:rPr>
      </w:pPr>
      <w:r w:rsidRPr="004D2FF7">
        <w:rPr>
          <w:rFonts w:ascii="Times New Roman" w:hAnsi="Times New Roman" w:cs="Times New Roman"/>
          <w:sz w:val="24"/>
          <w:szCs w:val="24"/>
          <w:lang w:val="ro-RO"/>
        </w:rPr>
        <w:lastRenderedPageBreak/>
        <w:t>Se menționează că c</w:t>
      </w:r>
      <w:r w:rsidR="00F110F8" w:rsidRPr="004D2FF7">
        <w:rPr>
          <w:rFonts w:ascii="Times New Roman" w:hAnsi="Times New Roman" w:cs="Times New Roman"/>
          <w:sz w:val="24"/>
          <w:szCs w:val="24"/>
          <w:lang w:val="ro-RO"/>
        </w:rPr>
        <w:t>ontabilitatea</w:t>
      </w:r>
      <w:r w:rsidR="00235944" w:rsidRPr="004D2FF7">
        <w:rPr>
          <w:rFonts w:ascii="Times New Roman" w:hAnsi="Times New Roman" w:cs="Times New Roman"/>
          <w:sz w:val="24"/>
          <w:szCs w:val="24"/>
          <w:lang w:val="ro-RO"/>
        </w:rPr>
        <w:t xml:space="preserve"> </w:t>
      </w:r>
      <w:r w:rsidRPr="004D2FF7">
        <w:rPr>
          <w:rFonts w:ascii="Times New Roman" w:hAnsi="Times New Roman" w:cs="Times New Roman"/>
          <w:sz w:val="24"/>
          <w:szCs w:val="24"/>
          <w:lang w:val="ro-RO"/>
        </w:rPr>
        <w:t xml:space="preserve">nu a </w:t>
      </w:r>
      <w:r w:rsidR="00F110F8" w:rsidRPr="004D2FF7">
        <w:rPr>
          <w:rFonts w:ascii="Times New Roman" w:hAnsi="Times New Roman" w:cs="Times New Roman"/>
          <w:sz w:val="24"/>
          <w:szCs w:val="24"/>
          <w:lang w:val="ro-RO"/>
        </w:rPr>
        <w:t>exercit</w:t>
      </w:r>
      <w:r w:rsidRPr="004D2FF7">
        <w:rPr>
          <w:rFonts w:ascii="Times New Roman" w:hAnsi="Times New Roman" w:cs="Times New Roman"/>
          <w:sz w:val="24"/>
          <w:szCs w:val="24"/>
          <w:lang w:val="ro-RO"/>
        </w:rPr>
        <w:t>at</w:t>
      </w:r>
      <w:r w:rsidR="00F110F8" w:rsidRPr="004D2FF7">
        <w:rPr>
          <w:rFonts w:ascii="Times New Roman" w:hAnsi="Times New Roman" w:cs="Times New Roman"/>
          <w:sz w:val="24"/>
          <w:szCs w:val="24"/>
          <w:lang w:val="ro-RO"/>
        </w:rPr>
        <w:t xml:space="preserve"> sistematic controlul asupra intrării și consumării valorilor materiale care se află în depozit, </w:t>
      </w:r>
      <w:r w:rsidRPr="004D2FF7">
        <w:rPr>
          <w:rFonts w:ascii="Times New Roman" w:hAnsi="Times New Roman" w:cs="Times New Roman"/>
          <w:sz w:val="24"/>
          <w:szCs w:val="24"/>
          <w:lang w:val="ro-RO"/>
        </w:rPr>
        <w:t xml:space="preserve">prin </w:t>
      </w:r>
      <w:r w:rsidR="00F110F8" w:rsidRPr="004D2FF7">
        <w:rPr>
          <w:rFonts w:ascii="Times New Roman" w:hAnsi="Times New Roman" w:cs="Times New Roman"/>
          <w:sz w:val="24"/>
          <w:szCs w:val="24"/>
          <w:lang w:val="ro-RO"/>
        </w:rPr>
        <w:t>confrunt</w:t>
      </w:r>
      <w:r w:rsidRPr="004D2FF7">
        <w:rPr>
          <w:rFonts w:ascii="Times New Roman" w:hAnsi="Times New Roman" w:cs="Times New Roman"/>
          <w:sz w:val="24"/>
          <w:szCs w:val="24"/>
          <w:lang w:val="ro-RO"/>
        </w:rPr>
        <w:t>area</w:t>
      </w:r>
      <w:r w:rsidR="00F110F8" w:rsidRPr="004D2FF7">
        <w:rPr>
          <w:rFonts w:ascii="Times New Roman" w:hAnsi="Times New Roman" w:cs="Times New Roman"/>
          <w:sz w:val="24"/>
          <w:szCs w:val="24"/>
          <w:lang w:val="ro-RO"/>
        </w:rPr>
        <w:t xml:space="preserve"> </w:t>
      </w:r>
      <w:r w:rsidRPr="004D2FF7">
        <w:rPr>
          <w:rFonts w:ascii="Times New Roman" w:hAnsi="Times New Roman" w:cs="Times New Roman"/>
          <w:sz w:val="24"/>
          <w:szCs w:val="24"/>
          <w:lang w:val="ro-RO"/>
        </w:rPr>
        <w:t>înregistrărilor</w:t>
      </w:r>
      <w:r w:rsidR="00F110F8" w:rsidRPr="004D2FF7">
        <w:rPr>
          <w:rFonts w:ascii="Times New Roman" w:hAnsi="Times New Roman" w:cs="Times New Roman"/>
          <w:sz w:val="24"/>
          <w:szCs w:val="24"/>
          <w:lang w:val="ro-RO"/>
        </w:rPr>
        <w:t xml:space="preserve"> proprii</w:t>
      </w:r>
      <w:r w:rsidR="00061B5A" w:rsidRPr="004D2FF7">
        <w:rPr>
          <w:rFonts w:ascii="Times New Roman" w:hAnsi="Times New Roman" w:cs="Times New Roman"/>
          <w:sz w:val="24"/>
          <w:szCs w:val="24"/>
          <w:lang w:val="ro-RO"/>
        </w:rPr>
        <w:t xml:space="preserve"> din</w:t>
      </w:r>
      <w:r w:rsidR="00F110F8" w:rsidRPr="004D2FF7">
        <w:rPr>
          <w:rFonts w:ascii="Times New Roman" w:hAnsi="Times New Roman" w:cs="Times New Roman"/>
          <w:sz w:val="24"/>
          <w:szCs w:val="24"/>
          <w:lang w:val="ro-RO"/>
        </w:rPr>
        <w:t xml:space="preserve"> evidența valorilor materiale cu înregistrările făcute la depozit</w:t>
      </w:r>
      <w:r w:rsidR="00E40176" w:rsidRPr="004D2FF7">
        <w:rPr>
          <w:rFonts w:ascii="Times New Roman" w:hAnsi="Times New Roman" w:cs="Times New Roman"/>
          <w:sz w:val="24"/>
          <w:szCs w:val="24"/>
          <w:lang w:val="ro-RO"/>
        </w:rPr>
        <w:t>,</w:t>
      </w:r>
      <w:r w:rsidR="00F7222B" w:rsidRPr="004D2FF7">
        <w:rPr>
          <w:rFonts w:ascii="Times New Roman" w:hAnsi="Times New Roman" w:cs="Times New Roman"/>
          <w:b/>
          <w:i/>
          <w:color w:val="000000" w:themeColor="text1"/>
          <w:sz w:val="24"/>
          <w:szCs w:val="24"/>
          <w:lang w:val="ro-RO"/>
        </w:rPr>
        <w:t xml:space="preserve"> </w:t>
      </w:r>
      <w:r w:rsidR="00F7222B" w:rsidRPr="004D2FF7">
        <w:rPr>
          <w:rFonts w:ascii="Times New Roman" w:hAnsi="Times New Roman" w:cs="Times New Roman"/>
          <w:color w:val="000000" w:themeColor="text1"/>
          <w:sz w:val="24"/>
          <w:szCs w:val="24"/>
          <w:lang w:val="ro-RO"/>
        </w:rPr>
        <w:t>constatându-se următoar</w:t>
      </w:r>
      <w:r w:rsidR="009D32E8" w:rsidRPr="004D2FF7">
        <w:rPr>
          <w:rFonts w:ascii="Times New Roman" w:hAnsi="Times New Roman" w:cs="Times New Roman"/>
          <w:color w:val="000000" w:themeColor="text1"/>
          <w:sz w:val="24"/>
          <w:szCs w:val="24"/>
          <w:lang w:val="ro-RO"/>
        </w:rPr>
        <w:t>ele:</w:t>
      </w:r>
    </w:p>
    <w:p w14:paraId="42B64057" w14:textId="01A9D1B2" w:rsidR="004C3903" w:rsidRPr="004D2FF7" w:rsidRDefault="00BA1068" w:rsidP="00B05D60">
      <w:pPr>
        <w:pStyle w:val="ListParagraph"/>
        <w:numPr>
          <w:ilvl w:val="0"/>
          <w:numId w:val="17"/>
        </w:numPr>
        <w:spacing w:after="0" w:line="276" w:lineRule="auto"/>
        <w:ind w:left="0" w:firstLine="360"/>
        <w:jc w:val="both"/>
        <w:rPr>
          <w:rFonts w:ascii="Times New Roman" w:hAnsi="Times New Roman" w:cs="Times New Roman"/>
          <w:color w:val="000000" w:themeColor="text1"/>
          <w:sz w:val="24"/>
          <w:szCs w:val="24"/>
          <w:lang w:val="ro-RO"/>
        </w:rPr>
      </w:pPr>
      <w:r w:rsidRPr="004D2FF7">
        <w:rPr>
          <w:rFonts w:ascii="Times New Roman" w:hAnsi="Times New Roman" w:cs="Times New Roman"/>
          <w:sz w:val="24"/>
          <w:szCs w:val="24"/>
          <w:lang w:val="ro-RO"/>
        </w:rPr>
        <w:t>CNPDCP nu a asigurat trecerea regulamentară</w:t>
      </w:r>
      <w:r w:rsidRPr="004D2FF7">
        <w:rPr>
          <w:rStyle w:val="FootnoteReference"/>
          <w:rFonts w:ascii="Times New Roman" w:hAnsi="Times New Roman" w:cs="Times New Roman"/>
          <w:lang w:val="ro-RO"/>
        </w:rPr>
        <w:footnoteReference w:id="161"/>
      </w:r>
      <w:r w:rsidRPr="004D2FF7">
        <w:rPr>
          <w:rFonts w:ascii="Times New Roman" w:hAnsi="Times New Roman" w:cs="Times New Roman"/>
          <w:sz w:val="24"/>
          <w:szCs w:val="24"/>
          <w:lang w:val="ro-RO"/>
        </w:rPr>
        <w:t xml:space="preserve"> la cheltuielile perioadei a materialelor pe măsura consumului lor</w:t>
      </w:r>
      <w:r w:rsidR="00BC2454" w:rsidRPr="004D2FF7">
        <w:rPr>
          <w:rFonts w:ascii="Times New Roman" w:hAnsi="Times New Roman" w:cs="Times New Roman"/>
          <w:sz w:val="24"/>
          <w:szCs w:val="24"/>
          <w:lang w:val="ro-RO"/>
        </w:rPr>
        <w:t>,</w:t>
      </w:r>
      <w:r w:rsidRPr="004D2FF7">
        <w:rPr>
          <w:rFonts w:ascii="Times New Roman" w:hAnsi="Times New Roman" w:cs="Times New Roman"/>
          <w:sz w:val="24"/>
          <w:szCs w:val="24"/>
          <w:lang w:val="ro-RO"/>
        </w:rPr>
        <w:t xml:space="preserve"> </w:t>
      </w:r>
      <w:r w:rsidR="00DD7912" w:rsidRPr="004D2FF7">
        <w:rPr>
          <w:rFonts w:ascii="Times New Roman" w:hAnsi="Times New Roman" w:cs="Times New Roman"/>
          <w:sz w:val="24"/>
          <w:szCs w:val="24"/>
          <w:lang w:val="ro-RO"/>
        </w:rPr>
        <w:t>iar d</w:t>
      </w:r>
      <w:r w:rsidR="009D32E8" w:rsidRPr="004D2FF7">
        <w:rPr>
          <w:rFonts w:ascii="Times New Roman" w:hAnsi="Times New Roman" w:cs="Times New Roman"/>
          <w:sz w:val="24"/>
          <w:szCs w:val="24"/>
          <w:lang w:val="ro-RO"/>
        </w:rPr>
        <w:t xml:space="preserve">in cauza casării </w:t>
      </w:r>
      <w:r w:rsidR="009B7FAA" w:rsidRPr="004D2FF7">
        <w:rPr>
          <w:rFonts w:ascii="Times New Roman" w:hAnsi="Times New Roman" w:cs="Times New Roman"/>
          <w:sz w:val="24"/>
          <w:szCs w:val="24"/>
          <w:lang w:val="ro-RO"/>
        </w:rPr>
        <w:t xml:space="preserve">cu </w:t>
      </w:r>
      <w:r w:rsidR="009D32E8" w:rsidRPr="004D2FF7">
        <w:rPr>
          <w:rFonts w:ascii="Times New Roman" w:hAnsi="Times New Roman" w:cs="Times New Roman"/>
          <w:sz w:val="24"/>
          <w:szCs w:val="24"/>
          <w:lang w:val="ro-RO"/>
        </w:rPr>
        <w:t>întârzi</w:t>
      </w:r>
      <w:r w:rsidR="009B7FAA" w:rsidRPr="004D2FF7">
        <w:rPr>
          <w:rFonts w:ascii="Times New Roman" w:hAnsi="Times New Roman" w:cs="Times New Roman"/>
          <w:sz w:val="24"/>
          <w:szCs w:val="24"/>
          <w:lang w:val="ro-RO"/>
        </w:rPr>
        <w:t>ere</w:t>
      </w:r>
      <w:r w:rsidR="009D32E8" w:rsidRPr="004D2FF7">
        <w:rPr>
          <w:rFonts w:ascii="Times New Roman" w:hAnsi="Times New Roman" w:cs="Times New Roman"/>
          <w:sz w:val="24"/>
          <w:szCs w:val="24"/>
          <w:lang w:val="ro-RO"/>
        </w:rPr>
        <w:t xml:space="preserve"> a materialelor eliberate de la depozit,</w:t>
      </w:r>
      <w:r w:rsidR="009D32E8" w:rsidRPr="004D2FF7">
        <w:rPr>
          <w:rFonts w:ascii="Times New Roman" w:hAnsi="Times New Roman" w:cs="Times New Roman"/>
          <w:sz w:val="24"/>
          <w:szCs w:val="24"/>
        </w:rPr>
        <w:t xml:space="preserve"> stocurile de materiale circulante</w:t>
      </w:r>
      <w:r w:rsidR="00357C31" w:rsidRPr="004D2FF7">
        <w:rPr>
          <w:rFonts w:ascii="Times New Roman" w:hAnsi="Times New Roman" w:cs="Times New Roman"/>
          <w:sz w:val="24"/>
          <w:szCs w:val="24"/>
        </w:rPr>
        <w:t xml:space="preserve"> aflate în gestiune</w:t>
      </w:r>
      <w:r w:rsidR="00705E04" w:rsidRPr="004D2FF7">
        <w:rPr>
          <w:rFonts w:ascii="Times New Roman" w:hAnsi="Times New Roman" w:cs="Times New Roman"/>
          <w:sz w:val="24"/>
          <w:szCs w:val="24"/>
        </w:rPr>
        <w:t>a CNPDCP,</w:t>
      </w:r>
      <w:r w:rsidR="00357C31" w:rsidRPr="004D2FF7">
        <w:rPr>
          <w:rFonts w:ascii="Times New Roman" w:hAnsi="Times New Roman" w:cs="Times New Roman"/>
          <w:sz w:val="24"/>
          <w:szCs w:val="24"/>
        </w:rPr>
        <w:t xml:space="preserve"> la</w:t>
      </w:r>
      <w:r w:rsidRPr="004D2FF7">
        <w:rPr>
          <w:rFonts w:ascii="Times New Roman" w:hAnsi="Times New Roman" w:cs="Times New Roman"/>
          <w:sz w:val="24"/>
          <w:szCs w:val="24"/>
        </w:rPr>
        <w:t xml:space="preserve"> </w:t>
      </w:r>
      <w:r w:rsidR="00357C31" w:rsidRPr="004D2FF7">
        <w:rPr>
          <w:rFonts w:ascii="Times New Roman" w:hAnsi="Times New Roman" w:cs="Times New Roman"/>
          <w:sz w:val="24"/>
          <w:szCs w:val="24"/>
        </w:rPr>
        <w:t>31.12.2022</w:t>
      </w:r>
      <w:r w:rsidRPr="004D2FF7">
        <w:rPr>
          <w:rFonts w:ascii="Times New Roman" w:hAnsi="Times New Roman" w:cs="Times New Roman"/>
          <w:sz w:val="24"/>
          <w:szCs w:val="24"/>
        </w:rPr>
        <w:t>,</w:t>
      </w:r>
      <w:r w:rsidR="00357C31" w:rsidRPr="004D2FF7">
        <w:rPr>
          <w:rFonts w:ascii="Times New Roman" w:hAnsi="Times New Roman" w:cs="Times New Roman"/>
          <w:sz w:val="24"/>
          <w:szCs w:val="24"/>
        </w:rPr>
        <w:t xml:space="preserve"> </w:t>
      </w:r>
      <w:r w:rsidR="009D32E8" w:rsidRPr="004D2FF7">
        <w:rPr>
          <w:rFonts w:ascii="Times New Roman" w:hAnsi="Times New Roman" w:cs="Times New Roman"/>
          <w:sz w:val="24"/>
          <w:szCs w:val="24"/>
        </w:rPr>
        <w:t>în valoare totală de 663,5 mii lei sunt</w:t>
      </w:r>
      <w:r w:rsidR="009D32E8" w:rsidRPr="004D2FF7">
        <w:rPr>
          <w:rFonts w:ascii="Times New Roman" w:hAnsi="Times New Roman" w:cs="Times New Roman"/>
          <w:sz w:val="24"/>
          <w:szCs w:val="24"/>
          <w:lang w:val="ro-RO"/>
        </w:rPr>
        <w:t xml:space="preserve"> supraevaluate cu suma de 313,1 mii lei</w:t>
      </w:r>
      <w:r w:rsidR="00D519A5" w:rsidRPr="004D2FF7">
        <w:rPr>
          <w:rStyle w:val="FootnoteReference"/>
          <w:rFonts w:ascii="Times New Roman" w:hAnsi="Times New Roman" w:cs="Times New Roman"/>
          <w:sz w:val="24"/>
          <w:szCs w:val="24"/>
          <w:lang w:val="ro-RO"/>
        </w:rPr>
        <w:footnoteReference w:id="162"/>
      </w:r>
      <w:r w:rsidR="00BE1EB9">
        <w:rPr>
          <w:rFonts w:ascii="Times New Roman" w:hAnsi="Times New Roman" w:cs="Times New Roman"/>
          <w:sz w:val="24"/>
          <w:szCs w:val="24"/>
          <w:lang w:val="ro-RO"/>
        </w:rPr>
        <w:t>,</w:t>
      </w:r>
      <w:r w:rsidR="009D32E8" w:rsidRPr="004D2FF7">
        <w:rPr>
          <w:rFonts w:ascii="Times New Roman" w:hAnsi="Times New Roman" w:cs="Times New Roman"/>
          <w:sz w:val="24"/>
          <w:szCs w:val="24"/>
          <w:lang w:val="ro-RO"/>
        </w:rPr>
        <w:t xml:space="preserve"> sau 47,2% din valoarea totală a stocurilor</w:t>
      </w:r>
      <w:r w:rsidR="00B84EF1" w:rsidRPr="004D2FF7">
        <w:rPr>
          <w:rFonts w:ascii="Times New Roman" w:hAnsi="Times New Roman" w:cs="Times New Roman"/>
          <w:sz w:val="24"/>
          <w:szCs w:val="24"/>
          <w:lang w:val="ro-RO"/>
        </w:rPr>
        <w:t xml:space="preserve"> raportate</w:t>
      </w:r>
      <w:r w:rsidR="00357C31" w:rsidRPr="004D2FF7">
        <w:rPr>
          <w:rFonts w:ascii="Times New Roman" w:hAnsi="Times New Roman" w:cs="Times New Roman"/>
          <w:sz w:val="24"/>
          <w:szCs w:val="24"/>
          <w:lang w:val="ro-RO"/>
        </w:rPr>
        <w:t>;</w:t>
      </w:r>
      <w:r w:rsidR="009D32E8" w:rsidRPr="004D2FF7">
        <w:rPr>
          <w:rFonts w:ascii="Times New Roman" w:hAnsi="Times New Roman" w:cs="Times New Roman"/>
          <w:sz w:val="24"/>
          <w:szCs w:val="24"/>
          <w:lang w:val="ro-RO"/>
        </w:rPr>
        <w:t xml:space="preserve"> </w:t>
      </w:r>
    </w:p>
    <w:p w14:paraId="64CF1D73" w14:textId="64DA7A6C" w:rsidR="00484EE4" w:rsidRPr="004D2FF7" w:rsidRDefault="00BE1EB9" w:rsidP="00ED5A00">
      <w:pPr>
        <w:pStyle w:val="ListParagraph"/>
        <w:numPr>
          <w:ilvl w:val="0"/>
          <w:numId w:val="17"/>
        </w:numPr>
        <w:spacing w:before="120" w:after="0" w:line="276" w:lineRule="auto"/>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009F04D1" w:rsidRPr="004D2FF7">
        <w:rPr>
          <w:rFonts w:ascii="Times New Roman" w:hAnsi="Times New Roman" w:cs="Times New Roman"/>
          <w:sz w:val="24"/>
          <w:szCs w:val="24"/>
          <w:lang w:val="ro-RO"/>
        </w:rPr>
        <w:t>e</w:t>
      </w:r>
      <w:r w:rsidR="005F731F" w:rsidRPr="004D2FF7">
        <w:rPr>
          <w:rFonts w:ascii="Times New Roman" w:hAnsi="Times New Roman" w:cs="Times New Roman"/>
          <w:sz w:val="24"/>
          <w:szCs w:val="24"/>
          <w:lang w:val="ro-RO"/>
        </w:rPr>
        <w:t xml:space="preserve"> atestă</w:t>
      </w:r>
      <w:r w:rsidR="00BA1068" w:rsidRPr="004D2FF7">
        <w:rPr>
          <w:rFonts w:ascii="Times New Roman" w:hAnsi="Times New Roman" w:cs="Times New Roman"/>
          <w:sz w:val="24"/>
          <w:szCs w:val="24"/>
          <w:lang w:val="ro-RO"/>
        </w:rPr>
        <w:t xml:space="preserve"> unele</w:t>
      </w:r>
      <w:r w:rsidR="005F731F" w:rsidRPr="004D2FF7">
        <w:rPr>
          <w:rFonts w:ascii="Times New Roman" w:hAnsi="Times New Roman" w:cs="Times New Roman"/>
          <w:sz w:val="24"/>
          <w:szCs w:val="24"/>
          <w:lang w:val="ro-RO"/>
        </w:rPr>
        <w:t xml:space="preserve"> problematic</w:t>
      </w:r>
      <w:r w:rsidR="00357C31" w:rsidRPr="004D2FF7">
        <w:rPr>
          <w:rFonts w:ascii="Times New Roman" w:hAnsi="Times New Roman" w:cs="Times New Roman"/>
          <w:sz w:val="24"/>
          <w:szCs w:val="24"/>
          <w:lang w:val="ro-RO"/>
        </w:rPr>
        <w:t>i privind</w:t>
      </w:r>
      <w:r w:rsidR="005F731F" w:rsidRPr="004D2FF7">
        <w:rPr>
          <w:rFonts w:ascii="Times New Roman" w:hAnsi="Times New Roman" w:cs="Times New Roman"/>
          <w:sz w:val="24"/>
          <w:szCs w:val="24"/>
          <w:lang w:val="ro-RO"/>
        </w:rPr>
        <w:t xml:space="preserve"> </w:t>
      </w:r>
      <w:r w:rsidR="00357C31" w:rsidRPr="004D2FF7">
        <w:rPr>
          <w:rFonts w:ascii="Times New Roman" w:hAnsi="Times New Roman" w:cs="Times New Roman"/>
          <w:sz w:val="24"/>
          <w:szCs w:val="24"/>
          <w:lang w:val="ro-RO"/>
        </w:rPr>
        <w:t>trecerea</w:t>
      </w:r>
      <w:r w:rsidR="005F731F" w:rsidRPr="004D2FF7">
        <w:rPr>
          <w:rFonts w:ascii="Times New Roman" w:hAnsi="Times New Roman" w:cs="Times New Roman"/>
          <w:sz w:val="24"/>
          <w:szCs w:val="24"/>
          <w:lang w:val="ro-RO"/>
        </w:rPr>
        <w:t xml:space="preserve"> la cheltuieli</w:t>
      </w:r>
      <w:r w:rsidR="00357C31" w:rsidRPr="004D2FF7">
        <w:rPr>
          <w:rFonts w:ascii="Times New Roman" w:hAnsi="Times New Roman" w:cs="Times New Roman"/>
          <w:sz w:val="24"/>
          <w:szCs w:val="24"/>
          <w:lang w:val="ro-RO"/>
        </w:rPr>
        <w:t xml:space="preserve"> ori </w:t>
      </w:r>
      <w:r w:rsidR="005F731F" w:rsidRPr="004D2FF7">
        <w:rPr>
          <w:rFonts w:ascii="Times New Roman" w:hAnsi="Times New Roman" w:cs="Times New Roman"/>
          <w:sz w:val="24"/>
          <w:szCs w:val="24"/>
          <w:lang w:val="ro-RO"/>
        </w:rPr>
        <w:t>cas</w:t>
      </w:r>
      <w:r w:rsidR="00357C31" w:rsidRPr="004D2FF7">
        <w:rPr>
          <w:rFonts w:ascii="Times New Roman" w:hAnsi="Times New Roman" w:cs="Times New Roman"/>
          <w:sz w:val="24"/>
          <w:szCs w:val="24"/>
          <w:lang w:val="ro-RO"/>
        </w:rPr>
        <w:t>area</w:t>
      </w:r>
      <w:r w:rsidR="005F731F" w:rsidRPr="004D2FF7">
        <w:rPr>
          <w:rFonts w:ascii="Times New Roman" w:hAnsi="Times New Roman" w:cs="Times New Roman"/>
          <w:sz w:val="24"/>
          <w:szCs w:val="24"/>
          <w:lang w:val="ro-RO"/>
        </w:rPr>
        <w:t xml:space="preserve"> bunuri</w:t>
      </w:r>
      <w:r w:rsidR="00BA1068" w:rsidRPr="004D2FF7">
        <w:rPr>
          <w:rFonts w:ascii="Times New Roman" w:hAnsi="Times New Roman" w:cs="Times New Roman"/>
          <w:sz w:val="24"/>
          <w:szCs w:val="24"/>
          <w:lang w:val="ro-RO"/>
        </w:rPr>
        <w:t>lor</w:t>
      </w:r>
      <w:r w:rsidR="005F731F" w:rsidRPr="004D2FF7">
        <w:rPr>
          <w:rFonts w:ascii="Times New Roman" w:hAnsi="Times New Roman" w:cs="Times New Roman"/>
          <w:sz w:val="24"/>
          <w:szCs w:val="24"/>
          <w:lang w:val="ro-RO"/>
        </w:rPr>
        <w:t xml:space="preserve"> materiale</w:t>
      </w:r>
      <w:r w:rsidR="00C917C9" w:rsidRPr="004D2FF7">
        <w:rPr>
          <w:rFonts w:ascii="Times New Roman" w:hAnsi="Times New Roman" w:cs="Times New Roman"/>
          <w:sz w:val="24"/>
          <w:szCs w:val="24"/>
          <w:lang w:val="ro-RO"/>
        </w:rPr>
        <w:t>,</w:t>
      </w:r>
      <w:r w:rsidR="005F731F" w:rsidRPr="004D2FF7">
        <w:rPr>
          <w:rFonts w:ascii="Times New Roman" w:hAnsi="Times New Roman" w:cs="Times New Roman"/>
          <w:sz w:val="24"/>
          <w:szCs w:val="24"/>
          <w:lang w:val="ro-RO"/>
        </w:rPr>
        <w:t xml:space="preserve"> care nu întrunesc criteriile de recunoaștere a mijloacelor fixe</w:t>
      </w:r>
      <w:r>
        <w:rPr>
          <w:rFonts w:ascii="Times New Roman" w:hAnsi="Times New Roman" w:cs="Times New Roman"/>
          <w:sz w:val="24"/>
          <w:szCs w:val="24"/>
          <w:lang w:val="ro-RO"/>
        </w:rPr>
        <w:t>,</w:t>
      </w:r>
      <w:r w:rsidR="000402F1" w:rsidRPr="004D2FF7">
        <w:rPr>
          <w:rFonts w:ascii="Times New Roman" w:hAnsi="Times New Roman" w:cs="Times New Roman"/>
          <w:sz w:val="24"/>
          <w:szCs w:val="24"/>
          <w:lang w:val="ro-RO"/>
        </w:rPr>
        <w:t xml:space="preserve"> fiind</w:t>
      </w:r>
      <w:r w:rsidR="00BA1068" w:rsidRPr="004D2FF7">
        <w:rPr>
          <w:rFonts w:ascii="Times New Roman" w:hAnsi="Times New Roman" w:cs="Times New Roman"/>
          <w:sz w:val="24"/>
          <w:szCs w:val="24"/>
          <w:lang w:val="ro-RO"/>
        </w:rPr>
        <w:t xml:space="preserve"> </w:t>
      </w:r>
      <w:r w:rsidR="005F731F" w:rsidRPr="004D2FF7">
        <w:rPr>
          <w:rFonts w:ascii="Times New Roman" w:hAnsi="Times New Roman" w:cs="Times New Roman"/>
          <w:sz w:val="24"/>
          <w:szCs w:val="24"/>
          <w:lang w:val="ro-RO"/>
        </w:rPr>
        <w:t>raportate la stocuri</w:t>
      </w:r>
      <w:r w:rsidR="005F7A4D" w:rsidRPr="004D2FF7">
        <w:rPr>
          <w:rFonts w:ascii="Times New Roman" w:hAnsi="Times New Roman" w:cs="Times New Roman"/>
          <w:sz w:val="24"/>
          <w:szCs w:val="24"/>
          <w:lang w:val="ro-RO"/>
        </w:rPr>
        <w:t>,</w:t>
      </w:r>
      <w:r w:rsidR="00BA1068" w:rsidRPr="004D2FF7">
        <w:rPr>
          <w:rFonts w:ascii="Times New Roman" w:hAnsi="Times New Roman" w:cs="Times New Roman"/>
          <w:sz w:val="24"/>
          <w:szCs w:val="24"/>
          <w:lang w:val="ro-RO"/>
        </w:rPr>
        <w:t xml:space="preserve"> dar de fapt </w:t>
      </w:r>
      <w:r w:rsidR="005F731F" w:rsidRPr="004D2FF7">
        <w:rPr>
          <w:rFonts w:ascii="Times New Roman" w:hAnsi="Times New Roman" w:cs="Times New Roman"/>
          <w:sz w:val="24"/>
          <w:szCs w:val="24"/>
          <w:lang w:val="ro-RO"/>
        </w:rPr>
        <w:t xml:space="preserve">sunt instalate sau </w:t>
      </w:r>
      <w:r w:rsidR="009F04D1" w:rsidRPr="004D2FF7">
        <w:rPr>
          <w:rFonts w:ascii="Times New Roman" w:hAnsi="Times New Roman" w:cs="Times New Roman"/>
          <w:sz w:val="24"/>
          <w:szCs w:val="24"/>
          <w:lang w:val="ro-RO"/>
        </w:rPr>
        <w:t>utilizate</w:t>
      </w:r>
      <w:r w:rsidR="005F731F" w:rsidRPr="004D2FF7">
        <w:rPr>
          <w:rFonts w:ascii="Times New Roman" w:hAnsi="Times New Roman" w:cs="Times New Roman"/>
          <w:sz w:val="24"/>
          <w:szCs w:val="24"/>
          <w:lang w:val="ro-RO"/>
        </w:rPr>
        <w:t xml:space="preserve"> în activitate</w:t>
      </w:r>
      <w:r w:rsidR="00BA1068" w:rsidRPr="004D2FF7">
        <w:rPr>
          <w:rFonts w:ascii="Times New Roman" w:hAnsi="Times New Roman" w:cs="Times New Roman"/>
          <w:sz w:val="24"/>
          <w:szCs w:val="24"/>
          <w:lang w:val="ro-RO"/>
        </w:rPr>
        <w:t>a</w:t>
      </w:r>
      <w:r w:rsidR="005F731F" w:rsidRPr="004D2FF7">
        <w:rPr>
          <w:rFonts w:ascii="Times New Roman" w:hAnsi="Times New Roman" w:cs="Times New Roman"/>
          <w:sz w:val="24"/>
          <w:szCs w:val="24"/>
          <w:lang w:val="ro-RO"/>
        </w:rPr>
        <w:t xml:space="preserve"> </w:t>
      </w:r>
      <w:r w:rsidR="00C917C9" w:rsidRPr="004D2FF7">
        <w:rPr>
          <w:rFonts w:ascii="Times New Roman" w:hAnsi="Times New Roman" w:cs="Times New Roman"/>
          <w:sz w:val="24"/>
          <w:szCs w:val="24"/>
          <w:lang w:val="ro-RO"/>
        </w:rPr>
        <w:t>CNPDCP</w:t>
      </w:r>
      <w:r>
        <w:rPr>
          <w:rFonts w:ascii="Times New Roman" w:hAnsi="Times New Roman" w:cs="Times New Roman"/>
          <w:sz w:val="24"/>
          <w:szCs w:val="24"/>
          <w:lang w:val="ro-RO"/>
        </w:rPr>
        <w:t>,</w:t>
      </w:r>
      <w:r w:rsidR="00BA1068" w:rsidRPr="004D2FF7">
        <w:rPr>
          <w:rFonts w:ascii="Times New Roman" w:hAnsi="Times New Roman" w:cs="Times New Roman"/>
          <w:sz w:val="24"/>
          <w:szCs w:val="24"/>
          <w:lang w:val="ro-RO"/>
        </w:rPr>
        <w:t xml:space="preserve"> precum </w:t>
      </w:r>
      <w:r w:rsidR="005F731F" w:rsidRPr="004D2FF7">
        <w:rPr>
          <w:rFonts w:ascii="Times New Roman" w:hAnsi="Times New Roman" w:cs="Times New Roman"/>
          <w:sz w:val="24"/>
          <w:szCs w:val="24"/>
          <w:lang w:val="ro-RO"/>
        </w:rPr>
        <w:t>anvelope, acumulatoare</w:t>
      </w:r>
      <w:r>
        <w:rPr>
          <w:rFonts w:ascii="Times New Roman" w:hAnsi="Times New Roman" w:cs="Times New Roman"/>
          <w:sz w:val="24"/>
          <w:szCs w:val="24"/>
          <w:lang w:val="ro-RO"/>
        </w:rPr>
        <w:t>,</w:t>
      </w:r>
      <w:r w:rsidR="000F7C88">
        <w:rPr>
          <w:rFonts w:ascii="Times New Roman" w:hAnsi="Times New Roman" w:cs="Times New Roman"/>
          <w:sz w:val="24"/>
          <w:szCs w:val="24"/>
          <w:lang w:val="ro-RO"/>
        </w:rPr>
        <w:t xml:space="preserve"> reflectate la grupa de conturi 332 „Piese de schimb și alte bunuri materiale reflectate la grupa de conturi 338</w:t>
      </w:r>
      <w:r w:rsidR="005F731F" w:rsidRPr="004D2FF7">
        <w:rPr>
          <w:rFonts w:ascii="Times New Roman" w:hAnsi="Times New Roman" w:cs="Times New Roman"/>
          <w:sz w:val="24"/>
          <w:szCs w:val="24"/>
          <w:lang w:val="ro-RO"/>
        </w:rPr>
        <w:t xml:space="preserve"> </w:t>
      </w:r>
      <w:r w:rsidR="000F7C88">
        <w:rPr>
          <w:rFonts w:ascii="Times New Roman" w:hAnsi="Times New Roman" w:cs="Times New Roman"/>
          <w:sz w:val="24"/>
          <w:szCs w:val="24"/>
          <w:lang w:val="ro-RO"/>
        </w:rPr>
        <w:t>„A</w:t>
      </w:r>
      <w:r w:rsidR="005F731F" w:rsidRPr="004D2FF7">
        <w:rPr>
          <w:rFonts w:ascii="Times New Roman" w:hAnsi="Times New Roman" w:cs="Times New Roman"/>
          <w:sz w:val="24"/>
          <w:szCs w:val="24"/>
          <w:lang w:val="ro-RO"/>
        </w:rPr>
        <w:t>ccesorii de pat, îmbrăcăminte</w:t>
      </w:r>
      <w:r w:rsidR="00BA1068" w:rsidRPr="004D2FF7">
        <w:rPr>
          <w:rFonts w:ascii="Times New Roman" w:hAnsi="Times New Roman" w:cs="Times New Roman"/>
          <w:sz w:val="24"/>
          <w:szCs w:val="24"/>
          <w:lang w:val="ro-RO"/>
        </w:rPr>
        <w:t>,</w:t>
      </w:r>
      <w:r w:rsidR="005F731F" w:rsidRPr="004D2FF7">
        <w:rPr>
          <w:rFonts w:ascii="Times New Roman" w:hAnsi="Times New Roman" w:cs="Times New Roman"/>
          <w:sz w:val="24"/>
          <w:szCs w:val="24"/>
          <w:lang w:val="ro-RO"/>
        </w:rPr>
        <w:t xml:space="preserve"> încălțăminte</w:t>
      </w:r>
      <w:r w:rsidR="000F7C88">
        <w:rPr>
          <w:rFonts w:ascii="Times New Roman" w:hAnsi="Times New Roman" w:cs="Times New Roman"/>
          <w:sz w:val="24"/>
          <w:szCs w:val="24"/>
          <w:lang w:val="ro-RO"/>
        </w:rPr>
        <w:t>”</w:t>
      </w:r>
      <w:r w:rsidR="004C3903" w:rsidRPr="004D2FF7">
        <w:rPr>
          <w:rFonts w:ascii="Times New Roman" w:hAnsi="Times New Roman" w:cs="Times New Roman"/>
          <w:sz w:val="24"/>
          <w:szCs w:val="24"/>
          <w:lang w:val="ro-RO"/>
        </w:rPr>
        <w:t xml:space="preserve">. </w:t>
      </w:r>
      <w:r w:rsidR="004C3903" w:rsidRPr="004D2FF7">
        <w:rPr>
          <w:rFonts w:ascii="Times New Roman" w:eastAsia="Times New Roman" w:hAnsi="Times New Roman" w:cs="Times New Roman"/>
          <w:color w:val="000000"/>
          <w:sz w:val="24"/>
          <w:szCs w:val="24"/>
        </w:rPr>
        <w:t>Din stocul pieselor de schimb în sumă de 117</w:t>
      </w:r>
      <w:r w:rsidR="004C3903" w:rsidRPr="004D2FF7">
        <w:rPr>
          <w:rFonts w:ascii="Times New Roman" w:hAnsi="Times New Roman" w:cs="Times New Roman"/>
          <w:sz w:val="24"/>
          <w:szCs w:val="24"/>
        </w:rPr>
        <w:t>,6 mii lei, costul</w:t>
      </w:r>
      <w:r w:rsidR="004C3903" w:rsidRPr="004D2FF7">
        <w:rPr>
          <w:rFonts w:ascii="Times New Roman" w:hAnsi="Times New Roman" w:cs="Times New Roman"/>
          <w:sz w:val="24"/>
          <w:szCs w:val="24"/>
          <w:lang w:val="ro-RO"/>
        </w:rPr>
        <w:t xml:space="preserve"> anvelopelor și acumulatoarelor instalate la </w:t>
      </w:r>
      <w:r w:rsidR="00C917C9" w:rsidRPr="004D2FF7">
        <w:rPr>
          <w:rFonts w:ascii="Times New Roman" w:hAnsi="Times New Roman" w:cs="Times New Roman"/>
          <w:sz w:val="24"/>
          <w:szCs w:val="24"/>
          <w:lang w:val="ro-RO"/>
        </w:rPr>
        <w:t>autoturismele</w:t>
      </w:r>
      <w:r w:rsidR="004C3903" w:rsidRPr="004D2FF7">
        <w:rPr>
          <w:rFonts w:ascii="Times New Roman" w:hAnsi="Times New Roman" w:cs="Times New Roman"/>
          <w:sz w:val="24"/>
          <w:szCs w:val="24"/>
          <w:lang w:val="ro-RO"/>
        </w:rPr>
        <w:t xml:space="preserve"> de serviciu</w:t>
      </w:r>
      <w:r w:rsidR="00484EE4" w:rsidRPr="004D2FF7">
        <w:rPr>
          <w:rFonts w:ascii="Times New Roman" w:hAnsi="Times New Roman" w:cs="Times New Roman"/>
          <w:sz w:val="24"/>
          <w:szCs w:val="24"/>
          <w:lang w:val="ro-RO"/>
        </w:rPr>
        <w:t xml:space="preserve"> </w:t>
      </w:r>
      <w:r w:rsidR="004C3903" w:rsidRPr="004D2FF7">
        <w:rPr>
          <w:rFonts w:ascii="Times New Roman" w:hAnsi="Times New Roman" w:cs="Times New Roman"/>
          <w:sz w:val="24"/>
          <w:szCs w:val="24"/>
          <w:lang w:val="ro-RO"/>
        </w:rPr>
        <w:t>însumează 35,5 mii lei</w:t>
      </w:r>
      <w:r>
        <w:rPr>
          <w:rFonts w:ascii="Times New Roman" w:hAnsi="Times New Roman" w:cs="Times New Roman"/>
          <w:sz w:val="24"/>
          <w:szCs w:val="24"/>
          <w:lang w:val="ro-RO"/>
        </w:rPr>
        <w:t>,</w:t>
      </w:r>
      <w:r w:rsidR="004C3903" w:rsidRPr="004D2FF7">
        <w:rPr>
          <w:rFonts w:ascii="Times New Roman" w:hAnsi="Times New Roman" w:cs="Times New Roman"/>
          <w:sz w:val="24"/>
          <w:szCs w:val="24"/>
          <w:lang w:val="ro-RO"/>
        </w:rPr>
        <w:t xml:space="preserve"> sau 30,2% din valoarea stocului</w:t>
      </w:r>
      <w:r w:rsidR="009F04D1" w:rsidRPr="004D2FF7">
        <w:rPr>
          <w:rFonts w:ascii="Times New Roman" w:hAnsi="Times New Roman" w:cs="Times New Roman"/>
          <w:sz w:val="24"/>
          <w:szCs w:val="24"/>
          <w:lang w:val="ro-RO"/>
        </w:rPr>
        <w:t>;</w:t>
      </w:r>
      <w:r w:rsidR="004C3903" w:rsidRPr="004D2FF7">
        <w:rPr>
          <w:rFonts w:ascii="Times New Roman" w:hAnsi="Times New Roman" w:cs="Times New Roman"/>
          <w:sz w:val="24"/>
          <w:szCs w:val="24"/>
          <w:lang w:val="ro-RO"/>
        </w:rPr>
        <w:t xml:space="preserve"> </w:t>
      </w:r>
    </w:p>
    <w:p w14:paraId="78A9A86E" w14:textId="2C9763EB" w:rsidR="003E4A75" w:rsidRDefault="00BE1EB9" w:rsidP="003E4A75">
      <w:pPr>
        <w:pStyle w:val="ListParagraph"/>
        <w:numPr>
          <w:ilvl w:val="0"/>
          <w:numId w:val="17"/>
        </w:numPr>
        <w:spacing w:before="120" w:after="0" w:line="276" w:lineRule="auto"/>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004C3903" w:rsidRPr="004D2FF7">
        <w:rPr>
          <w:rFonts w:ascii="Times New Roman" w:hAnsi="Times New Roman" w:cs="Times New Roman"/>
          <w:sz w:val="24"/>
          <w:szCs w:val="24"/>
          <w:lang w:val="ro-RO"/>
        </w:rPr>
        <w:t>onform reglementărilor</w:t>
      </w:r>
      <w:r w:rsidR="004C3903" w:rsidRPr="004D2FF7">
        <w:rPr>
          <w:rStyle w:val="FootnoteReference"/>
          <w:rFonts w:ascii="Times New Roman" w:hAnsi="Times New Roman" w:cs="Times New Roman"/>
          <w:lang w:val="ro-RO"/>
        </w:rPr>
        <w:footnoteReference w:id="163"/>
      </w:r>
      <w:r w:rsidR="004C3903" w:rsidRPr="004D2FF7">
        <w:rPr>
          <w:rFonts w:ascii="Times New Roman" w:hAnsi="Times New Roman" w:cs="Times New Roman"/>
          <w:sz w:val="24"/>
          <w:szCs w:val="24"/>
          <w:lang w:val="ro-RO"/>
        </w:rPr>
        <w:t>, costurile anvelopelor urmează a fi raportate la cheltuieli în conformitate cu kilometrajul parcurs efectiv, iar valoarea acumulatoarelor se va repartiza proporțional la cheltuieli conform duratei de funcționare stabilită în documentația tehnică</w:t>
      </w:r>
      <w:r w:rsidR="00484EE4" w:rsidRPr="004D2FF7">
        <w:rPr>
          <w:rFonts w:ascii="Times New Roman" w:hAnsi="Times New Roman" w:cs="Times New Roman"/>
          <w:sz w:val="24"/>
          <w:szCs w:val="24"/>
          <w:lang w:val="ro-RO"/>
        </w:rPr>
        <w:t>;</w:t>
      </w:r>
    </w:p>
    <w:p w14:paraId="1FAF7422" w14:textId="2F8D93C1" w:rsidR="003E4A75" w:rsidRPr="003E4A75" w:rsidRDefault="00BE1EB9" w:rsidP="003E4A75">
      <w:pPr>
        <w:pStyle w:val="ListParagraph"/>
        <w:numPr>
          <w:ilvl w:val="0"/>
          <w:numId w:val="17"/>
        </w:numPr>
        <w:spacing w:before="120" w:after="0" w:line="276" w:lineRule="auto"/>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003E4A75" w:rsidRPr="003E4A75">
        <w:rPr>
          <w:rFonts w:ascii="Times New Roman" w:hAnsi="Times New Roman" w:cs="Times New Roman"/>
          <w:sz w:val="24"/>
          <w:szCs w:val="24"/>
          <w:shd w:val="clear" w:color="auto" w:fill="FFFFFF"/>
          <w:lang w:val="ro-RO"/>
        </w:rPr>
        <w:t>n redacția actual</w:t>
      </w:r>
      <w:r>
        <w:rPr>
          <w:rFonts w:ascii="Times New Roman" w:hAnsi="Times New Roman" w:cs="Times New Roman"/>
          <w:sz w:val="24"/>
          <w:szCs w:val="24"/>
          <w:shd w:val="clear" w:color="auto" w:fill="FFFFFF"/>
          <w:lang w:val="ro-RO"/>
        </w:rPr>
        <w:t>ă</w:t>
      </w:r>
      <w:r w:rsidR="003E4A75" w:rsidRPr="003E4A75">
        <w:rPr>
          <w:rFonts w:ascii="Times New Roman" w:hAnsi="Times New Roman" w:cs="Times New Roman"/>
          <w:sz w:val="24"/>
          <w:szCs w:val="24"/>
          <w:shd w:val="clear" w:color="auto" w:fill="FFFFFF"/>
          <w:lang w:val="ro-RO"/>
        </w:rPr>
        <w:t xml:space="preserve"> a </w:t>
      </w:r>
      <w:r w:rsidR="003E4A75" w:rsidRPr="003E4A75">
        <w:rPr>
          <w:rFonts w:ascii="Times New Roman" w:hAnsi="Times New Roman" w:cs="Times New Roman"/>
          <w:sz w:val="24"/>
          <w:szCs w:val="24"/>
          <w:lang w:val="ro-RO"/>
        </w:rPr>
        <w:t xml:space="preserve">Ordinului ministrului </w:t>
      </w:r>
      <w:r>
        <w:rPr>
          <w:rFonts w:ascii="Times New Roman" w:hAnsi="Times New Roman" w:cs="Times New Roman"/>
          <w:sz w:val="24"/>
          <w:szCs w:val="24"/>
          <w:lang w:val="ro-RO"/>
        </w:rPr>
        <w:t>F</w:t>
      </w:r>
      <w:r w:rsidR="003E4A75" w:rsidRPr="003E4A75">
        <w:rPr>
          <w:rFonts w:ascii="Times New Roman" w:hAnsi="Times New Roman" w:cs="Times New Roman"/>
          <w:sz w:val="24"/>
          <w:szCs w:val="24"/>
          <w:lang w:val="ro-RO"/>
        </w:rPr>
        <w:t>inanțelor nr.216 din 28.12.2015</w:t>
      </w:r>
      <w:r w:rsidR="003E4A75" w:rsidRPr="003E4A75">
        <w:rPr>
          <w:rStyle w:val="FootnoteReference"/>
          <w:rFonts w:ascii="Times New Roman" w:hAnsi="Times New Roman" w:cs="Times New Roman"/>
          <w:sz w:val="24"/>
          <w:szCs w:val="24"/>
          <w:lang w:val="ro-RO"/>
        </w:rPr>
        <w:footnoteReference w:id="164"/>
      </w:r>
      <w:r w:rsidR="003E4A75" w:rsidRPr="003E4A75">
        <w:rPr>
          <w:rFonts w:ascii="Times New Roman" w:hAnsi="Times New Roman" w:cs="Times New Roman"/>
          <w:sz w:val="24"/>
          <w:szCs w:val="24"/>
          <w:lang w:val="ro-RO"/>
        </w:rPr>
        <w:t>, precum și în Politica de contabilitate a CNPDCP nu există delimitare cu referire la evidența stocurilor de materiale aflate la depozit și transmise în exploatare, fiind raportate împreună. Astfel, anvelopele și acumulatoarele procurate separat și instalate la automobilele de serviciu, entitatea le reflectă la stocuri până când vor fi casate urmare a uzurii totale sau defecțiunii;</w:t>
      </w:r>
    </w:p>
    <w:p w14:paraId="2906ECAF" w14:textId="656A10A1" w:rsidR="00941C65" w:rsidRDefault="00BE1EB9" w:rsidP="008413D2">
      <w:pPr>
        <w:pStyle w:val="ListParagraph"/>
        <w:numPr>
          <w:ilvl w:val="0"/>
          <w:numId w:val="17"/>
        </w:numPr>
        <w:spacing w:before="120" w:after="0" w:line="276" w:lineRule="auto"/>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d</w:t>
      </w:r>
      <w:r w:rsidR="003E4A75" w:rsidRPr="00466EA7">
        <w:rPr>
          <w:rFonts w:ascii="Times New Roman" w:hAnsi="Times New Roman" w:cs="Times New Roman"/>
          <w:sz w:val="24"/>
          <w:szCs w:val="24"/>
          <w:lang w:val="ro-RO"/>
        </w:rPr>
        <w:t>in explicațiile entității, Sistemul informațional automatizat 1C</w:t>
      </w:r>
      <w:r>
        <w:rPr>
          <w:rFonts w:ascii="Times New Roman" w:hAnsi="Times New Roman" w:cs="Times New Roman"/>
          <w:sz w:val="24"/>
          <w:szCs w:val="24"/>
          <w:lang w:val="ro-RO"/>
        </w:rPr>
        <w:t>,</w:t>
      </w:r>
      <w:r w:rsidR="003E4A75" w:rsidRPr="00466EA7">
        <w:rPr>
          <w:rFonts w:ascii="Times New Roman" w:hAnsi="Times New Roman" w:cs="Times New Roman"/>
          <w:sz w:val="24"/>
          <w:szCs w:val="24"/>
          <w:lang w:val="ro-RO"/>
        </w:rPr>
        <w:t xml:space="preserve"> versiunea buget, utilizat de către CNPDCP nu conține opțiuni de evidență separată a anvelopelor și acumulatoarelor transmise în exploatare, în vederea decontării și raportării cheltuielilor curente, necesitând ajustări de configurare.  </w:t>
      </w:r>
    </w:p>
    <w:p w14:paraId="09B2AF1F" w14:textId="77777777" w:rsidR="00466EA7" w:rsidRPr="00466EA7" w:rsidRDefault="00466EA7" w:rsidP="00466EA7">
      <w:pPr>
        <w:pStyle w:val="ListParagraph"/>
        <w:spacing w:before="120" w:after="0" w:line="276" w:lineRule="auto"/>
        <w:ind w:left="360"/>
        <w:jc w:val="both"/>
        <w:rPr>
          <w:rFonts w:ascii="Times New Roman" w:hAnsi="Times New Roman" w:cs="Times New Roman"/>
          <w:sz w:val="24"/>
          <w:szCs w:val="24"/>
          <w:lang w:val="ro-RO"/>
        </w:rPr>
      </w:pPr>
    </w:p>
    <w:p w14:paraId="26F4FEEC" w14:textId="77777777" w:rsidR="00684F24" w:rsidRPr="004D2FF7" w:rsidRDefault="00511752" w:rsidP="00684F24">
      <w:pPr>
        <w:spacing w:after="0" w:line="276" w:lineRule="auto"/>
        <w:jc w:val="both"/>
        <w:rPr>
          <w:rFonts w:ascii="Times New Roman" w:hAnsi="Times New Roman" w:cs="Times New Roman"/>
          <w:i/>
          <w:color w:val="000000" w:themeColor="text1"/>
          <w:sz w:val="24"/>
          <w:szCs w:val="24"/>
        </w:rPr>
      </w:pPr>
      <w:r w:rsidRPr="004D2FF7">
        <w:rPr>
          <w:rFonts w:ascii="Times New Roman" w:hAnsi="Times New Roman" w:cs="Times New Roman"/>
          <w:i/>
          <w:noProof/>
          <w:sz w:val="24"/>
          <w:szCs w:val="24"/>
        </w:rPr>
        <w:t>Potrivit explicațiilor</w:t>
      </w:r>
      <w:r w:rsidR="002E66AD">
        <w:rPr>
          <w:rFonts w:ascii="Times New Roman" w:hAnsi="Times New Roman" w:cs="Times New Roman"/>
          <w:i/>
          <w:noProof/>
          <w:sz w:val="24"/>
          <w:szCs w:val="24"/>
        </w:rPr>
        <w:t>,</w:t>
      </w:r>
      <w:r w:rsidRPr="004D2FF7">
        <w:rPr>
          <w:rFonts w:ascii="Times New Roman" w:hAnsi="Times New Roman" w:cs="Times New Roman"/>
          <w:i/>
          <w:noProof/>
          <w:sz w:val="24"/>
          <w:szCs w:val="24"/>
        </w:rPr>
        <w:t xml:space="preserve"> </w:t>
      </w:r>
      <w:r w:rsidR="00806AD8" w:rsidRPr="004D2FF7">
        <w:rPr>
          <w:rFonts w:ascii="Times New Roman" w:hAnsi="Times New Roman" w:cs="Times New Roman"/>
          <w:i/>
          <w:sz w:val="24"/>
          <w:szCs w:val="24"/>
        </w:rPr>
        <w:t xml:space="preserve">CNPDCP </w:t>
      </w:r>
      <w:r w:rsidR="002E66AD">
        <w:rPr>
          <w:rFonts w:ascii="Times New Roman" w:hAnsi="Times New Roman" w:cs="Times New Roman"/>
          <w:i/>
          <w:sz w:val="24"/>
          <w:szCs w:val="24"/>
        </w:rPr>
        <w:t>a</w:t>
      </w:r>
      <w:r w:rsidR="0011349E" w:rsidRPr="004D2FF7">
        <w:rPr>
          <w:rFonts w:ascii="Times New Roman" w:hAnsi="Times New Roman" w:cs="Times New Roman"/>
          <w:i/>
          <w:sz w:val="24"/>
          <w:szCs w:val="24"/>
        </w:rPr>
        <w:t xml:space="preserve"> întreprin</w:t>
      </w:r>
      <w:r w:rsidR="002E66AD">
        <w:rPr>
          <w:rFonts w:ascii="Times New Roman" w:hAnsi="Times New Roman" w:cs="Times New Roman"/>
          <w:i/>
          <w:sz w:val="24"/>
          <w:szCs w:val="24"/>
        </w:rPr>
        <w:t>s unele</w:t>
      </w:r>
      <w:r w:rsidR="0011349E" w:rsidRPr="004D2FF7">
        <w:rPr>
          <w:rFonts w:ascii="Times New Roman" w:hAnsi="Times New Roman" w:cs="Times New Roman"/>
          <w:i/>
          <w:sz w:val="24"/>
          <w:szCs w:val="24"/>
        </w:rPr>
        <w:t xml:space="preserve"> măsuri în vederea</w:t>
      </w:r>
      <w:r w:rsidR="00806AD8" w:rsidRPr="004D2FF7">
        <w:rPr>
          <w:rFonts w:ascii="Times New Roman" w:hAnsi="Times New Roman" w:cs="Times New Roman"/>
          <w:i/>
          <w:sz w:val="24"/>
          <w:szCs w:val="24"/>
        </w:rPr>
        <w:t xml:space="preserve"> cas</w:t>
      </w:r>
      <w:r w:rsidR="0011349E" w:rsidRPr="004D2FF7">
        <w:rPr>
          <w:rFonts w:ascii="Times New Roman" w:hAnsi="Times New Roman" w:cs="Times New Roman"/>
          <w:i/>
          <w:sz w:val="24"/>
          <w:szCs w:val="24"/>
        </w:rPr>
        <w:t>ării</w:t>
      </w:r>
      <w:r w:rsidR="00806AD8" w:rsidRPr="004D2FF7">
        <w:rPr>
          <w:rFonts w:ascii="Times New Roman" w:hAnsi="Times New Roman" w:cs="Times New Roman"/>
          <w:i/>
          <w:sz w:val="24"/>
          <w:szCs w:val="24"/>
        </w:rPr>
        <w:t xml:space="preserve"> materialelor eliberate de la depozit</w:t>
      </w:r>
      <w:r w:rsidR="0015149D" w:rsidRPr="004D2FF7">
        <w:rPr>
          <w:rFonts w:ascii="Times New Roman" w:hAnsi="Times New Roman" w:cs="Times New Roman"/>
          <w:i/>
          <w:sz w:val="24"/>
          <w:szCs w:val="24"/>
        </w:rPr>
        <w:t>, iar l</w:t>
      </w:r>
      <w:r w:rsidR="00A32795" w:rsidRPr="004D2FF7">
        <w:rPr>
          <w:rFonts w:ascii="Times New Roman" w:hAnsi="Times New Roman" w:cs="Times New Roman"/>
          <w:i/>
          <w:sz w:val="24"/>
          <w:szCs w:val="24"/>
        </w:rPr>
        <w:t>a planificarea bugetului entitatea va ține cont de mărimea stocurilor de materiale circulante</w:t>
      </w:r>
      <w:r w:rsidR="002E66AD">
        <w:rPr>
          <w:rFonts w:ascii="Times New Roman" w:hAnsi="Times New Roman" w:cs="Times New Roman"/>
          <w:i/>
          <w:sz w:val="24"/>
          <w:szCs w:val="24"/>
        </w:rPr>
        <w:t xml:space="preserve"> cu </w:t>
      </w:r>
      <w:r w:rsidR="00684F24" w:rsidRPr="004D2FF7">
        <w:rPr>
          <w:rFonts w:ascii="Times New Roman" w:hAnsi="Times New Roman" w:cs="Times New Roman"/>
          <w:i/>
          <w:sz w:val="24"/>
          <w:szCs w:val="24"/>
        </w:rPr>
        <w:t xml:space="preserve">efectuarea </w:t>
      </w:r>
      <w:r w:rsidR="002E66AD">
        <w:rPr>
          <w:rFonts w:ascii="Times New Roman" w:hAnsi="Times New Roman" w:cs="Times New Roman"/>
          <w:i/>
          <w:sz w:val="24"/>
          <w:szCs w:val="24"/>
        </w:rPr>
        <w:t>conformă</w:t>
      </w:r>
      <w:r w:rsidR="00684F24" w:rsidRPr="004D2FF7">
        <w:rPr>
          <w:rFonts w:ascii="Times New Roman" w:hAnsi="Times New Roman" w:cs="Times New Roman"/>
          <w:i/>
          <w:sz w:val="24"/>
          <w:szCs w:val="24"/>
        </w:rPr>
        <w:t xml:space="preserve"> a procedurilor de inventariere a bunurilor materiale. </w:t>
      </w:r>
    </w:p>
    <w:p w14:paraId="1FE4623A" w14:textId="77777777" w:rsidR="00A32795" w:rsidRPr="004D2FF7" w:rsidRDefault="00A32795" w:rsidP="00A32795">
      <w:pPr>
        <w:spacing w:after="0" w:line="240" w:lineRule="auto"/>
        <w:jc w:val="both"/>
        <w:rPr>
          <w:rFonts w:ascii="Times New Roman" w:hAnsi="Times New Roman" w:cs="Times New Roman"/>
          <w:i/>
          <w:sz w:val="24"/>
          <w:szCs w:val="24"/>
        </w:rPr>
      </w:pPr>
    </w:p>
    <w:p w14:paraId="17991148" w14:textId="62CC4FB8" w:rsidR="006049D5" w:rsidRPr="00FB3277" w:rsidRDefault="00FB3277" w:rsidP="00ED5A00">
      <w:pPr>
        <w:keepNext/>
        <w:keepLines/>
        <w:numPr>
          <w:ilvl w:val="1"/>
          <w:numId w:val="16"/>
        </w:numPr>
        <w:tabs>
          <w:tab w:val="left" w:pos="426"/>
        </w:tabs>
        <w:spacing w:line="276" w:lineRule="auto"/>
        <w:ind w:left="0" w:firstLine="0"/>
        <w:jc w:val="both"/>
        <w:outlineLvl w:val="1"/>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lastRenderedPageBreak/>
        <w:t xml:space="preserve"> </w:t>
      </w:r>
      <w:bookmarkStart w:id="38" w:name="_Toc157776100"/>
      <w:r w:rsidR="006720BC" w:rsidRPr="00A6623F">
        <w:rPr>
          <w:rFonts w:ascii="Times New Roman" w:eastAsiaTheme="majorEastAsia" w:hAnsi="Times New Roman" w:cs="Times New Roman"/>
          <w:b/>
          <w:sz w:val="28"/>
          <w:szCs w:val="28"/>
        </w:rPr>
        <w:t>CNPDCP</w:t>
      </w:r>
      <w:r w:rsidR="007B0A94" w:rsidRPr="00A6623F">
        <w:rPr>
          <w:rFonts w:ascii="Times New Roman" w:eastAsiaTheme="majorEastAsia" w:hAnsi="Times New Roman" w:cs="Times New Roman"/>
          <w:b/>
          <w:sz w:val="28"/>
          <w:szCs w:val="28"/>
        </w:rPr>
        <w:t>,</w:t>
      </w:r>
      <w:r w:rsidR="006049D5" w:rsidRPr="00A6623F">
        <w:rPr>
          <w:rFonts w:ascii="Times New Roman" w:eastAsiaTheme="majorEastAsia" w:hAnsi="Times New Roman" w:cs="Times New Roman"/>
          <w:b/>
          <w:sz w:val="28"/>
          <w:szCs w:val="28"/>
        </w:rPr>
        <w:t xml:space="preserve"> în calitate de autoritate publică, </w:t>
      </w:r>
      <w:r>
        <w:rPr>
          <w:rFonts w:ascii="Times New Roman" w:eastAsiaTheme="majorEastAsia" w:hAnsi="Times New Roman" w:cs="Times New Roman"/>
          <w:b/>
          <w:sz w:val="28"/>
          <w:szCs w:val="28"/>
        </w:rPr>
        <w:t xml:space="preserve">a implementat </w:t>
      </w:r>
      <w:r w:rsidR="006049D5" w:rsidRPr="00FB3277">
        <w:rPr>
          <w:rFonts w:ascii="Times New Roman" w:eastAsiaTheme="majorEastAsia" w:hAnsi="Times New Roman" w:cs="Times New Roman"/>
          <w:b/>
          <w:sz w:val="28"/>
          <w:szCs w:val="28"/>
        </w:rPr>
        <w:t>un sistem de control intern managerial funcțional?</w:t>
      </w:r>
      <w:bookmarkEnd w:id="38"/>
    </w:p>
    <w:p w14:paraId="6638B233" w14:textId="5058E1C3" w:rsidR="00605DB0" w:rsidRPr="004D2FF7" w:rsidRDefault="00605DB0" w:rsidP="00ED5A00">
      <w:pPr>
        <w:pStyle w:val="Heading3"/>
        <w:numPr>
          <w:ilvl w:val="2"/>
          <w:numId w:val="16"/>
        </w:numPr>
        <w:tabs>
          <w:tab w:val="left" w:pos="360"/>
          <w:tab w:val="left" w:pos="540"/>
          <w:tab w:val="left" w:pos="630"/>
        </w:tabs>
        <w:spacing w:before="0" w:after="120" w:line="276" w:lineRule="auto"/>
        <w:ind w:left="0" w:firstLine="0"/>
        <w:jc w:val="both"/>
        <w:rPr>
          <w:rFonts w:ascii="Times New Roman" w:hAnsi="Times New Roman" w:cs="Times New Roman"/>
          <w:i/>
          <w:color w:val="2E74B5" w:themeColor="accent1" w:themeShade="BF"/>
        </w:rPr>
      </w:pPr>
      <w:bookmarkStart w:id="39" w:name="_Toc157776101"/>
      <w:r w:rsidRPr="004D2FF7">
        <w:rPr>
          <w:rFonts w:ascii="Times New Roman" w:eastAsia="Times New Roman" w:hAnsi="Times New Roman" w:cs="Times New Roman"/>
          <w:b/>
          <w:i/>
          <w:color w:val="2E74B5" w:themeColor="accent1" w:themeShade="BF"/>
          <w:shd w:val="clear" w:color="auto" w:fill="FFFFFF"/>
        </w:rPr>
        <w:t>Componentele contorului</w:t>
      </w:r>
      <w:r w:rsidR="002052E2" w:rsidRPr="004D2FF7">
        <w:rPr>
          <w:rFonts w:ascii="Times New Roman" w:eastAsia="Times New Roman" w:hAnsi="Times New Roman" w:cs="Times New Roman"/>
          <w:b/>
          <w:i/>
          <w:color w:val="2E74B5" w:themeColor="accent1" w:themeShade="BF"/>
          <w:shd w:val="clear" w:color="auto" w:fill="FFFFFF"/>
        </w:rPr>
        <w:t xml:space="preserve"> intern managerial în cadrul </w:t>
      </w:r>
      <w:r w:rsidR="006720BC" w:rsidRPr="004D2FF7">
        <w:rPr>
          <w:rFonts w:ascii="Times New Roman" w:eastAsia="Times New Roman" w:hAnsi="Times New Roman" w:cs="Times New Roman"/>
          <w:b/>
          <w:i/>
          <w:color w:val="2E74B5" w:themeColor="accent1" w:themeShade="BF"/>
          <w:shd w:val="clear" w:color="auto" w:fill="FFFFFF"/>
        </w:rPr>
        <w:t>CNPDCP</w:t>
      </w:r>
      <w:r w:rsidRPr="004D2FF7">
        <w:rPr>
          <w:rFonts w:ascii="Times New Roman" w:eastAsia="Times New Roman" w:hAnsi="Times New Roman" w:cs="Times New Roman"/>
          <w:b/>
          <w:i/>
          <w:color w:val="2E74B5" w:themeColor="accent1" w:themeShade="BF"/>
          <w:shd w:val="clear" w:color="auto" w:fill="FFFFFF"/>
        </w:rPr>
        <w:t xml:space="preserve"> necesită a fi fortificate</w:t>
      </w:r>
      <w:r w:rsidR="00416403">
        <w:rPr>
          <w:rFonts w:ascii="Times New Roman" w:eastAsia="Times New Roman" w:hAnsi="Times New Roman" w:cs="Times New Roman"/>
          <w:b/>
          <w:i/>
          <w:color w:val="2E74B5" w:themeColor="accent1" w:themeShade="BF"/>
          <w:shd w:val="clear" w:color="auto" w:fill="FFFFFF"/>
        </w:rPr>
        <w:t>.</w:t>
      </w:r>
      <w:bookmarkEnd w:id="39"/>
    </w:p>
    <w:p w14:paraId="28192D77" w14:textId="05A7099E" w:rsidR="0049776E" w:rsidRPr="004D2FF7" w:rsidRDefault="004C59B1" w:rsidP="00614A8F">
      <w:pPr>
        <w:spacing w:after="120" w:line="276" w:lineRule="auto"/>
        <w:jc w:val="both"/>
        <w:rPr>
          <w:rFonts w:ascii="Times New Roman" w:eastAsia="Times New Roman" w:hAnsi="Times New Roman" w:cs="Times New Roman"/>
          <w:color w:val="000000" w:themeColor="text1"/>
          <w:sz w:val="24"/>
          <w:szCs w:val="24"/>
        </w:rPr>
      </w:pPr>
      <w:r w:rsidRPr="004D2FF7">
        <w:rPr>
          <w:rFonts w:ascii="Times New Roman" w:hAnsi="Times New Roman" w:cs="Times New Roman"/>
          <w:sz w:val="24"/>
          <w:szCs w:val="24"/>
          <w:lang w:val="ro-RO"/>
        </w:rPr>
        <w:t>Conform prevederilor legale</w:t>
      </w:r>
      <w:r w:rsidRPr="004D2FF7">
        <w:rPr>
          <w:rFonts w:ascii="Times New Roman" w:hAnsi="Times New Roman" w:cs="Times New Roman"/>
          <w:sz w:val="24"/>
          <w:szCs w:val="24"/>
          <w:vertAlign w:val="superscript"/>
          <w:lang w:val="ro-RO"/>
        </w:rPr>
        <w:footnoteReference w:id="165"/>
      </w:r>
      <w:r w:rsidRPr="004D2FF7">
        <w:rPr>
          <w:rFonts w:ascii="Times New Roman" w:hAnsi="Times New Roman" w:cs="Times New Roman"/>
          <w:sz w:val="24"/>
          <w:szCs w:val="24"/>
          <w:lang w:val="ro-RO"/>
        </w:rPr>
        <w:t>, managerul entității publice este responsabil de implementarea sistemului de control intern managerial (CIM) în cadrul instituției</w:t>
      </w:r>
      <w:r w:rsidR="00416403">
        <w:rPr>
          <w:rFonts w:ascii="Times New Roman" w:hAnsi="Times New Roman" w:cs="Times New Roman"/>
          <w:sz w:val="24"/>
          <w:szCs w:val="24"/>
          <w:lang w:val="ro-RO"/>
        </w:rPr>
        <w:t>,</w:t>
      </w:r>
      <w:r w:rsidR="006049D5" w:rsidRPr="004D2FF7">
        <w:rPr>
          <w:rFonts w:ascii="Times New Roman" w:hAnsi="Times New Roman" w:cs="Times New Roman"/>
          <w:color w:val="000000" w:themeColor="text1"/>
          <w:sz w:val="24"/>
          <w:szCs w:val="24"/>
        </w:rPr>
        <w:t xml:space="preserve"> </w:t>
      </w:r>
      <w:r w:rsidR="006049D5" w:rsidRPr="004D2FF7">
        <w:rPr>
          <w:rFonts w:ascii="Times New Roman" w:eastAsia="Times New Roman" w:hAnsi="Times New Roman" w:cs="Times New Roman"/>
          <w:color w:val="000000" w:themeColor="text1"/>
          <w:sz w:val="24"/>
          <w:szCs w:val="24"/>
        </w:rPr>
        <w:t xml:space="preserve">în toate procesele și la toate nivelurile entității, în vederea promovării unei bune guvernări a resurselor financiare publice și a patrimoniului public. Totodată, managerul entității publice, în </w:t>
      </w:r>
      <w:r w:rsidR="00416403">
        <w:rPr>
          <w:rFonts w:ascii="Times New Roman" w:eastAsia="Times New Roman" w:hAnsi="Times New Roman" w:cs="Times New Roman"/>
          <w:color w:val="000000" w:themeColor="text1"/>
          <w:sz w:val="24"/>
          <w:szCs w:val="24"/>
        </w:rPr>
        <w:t>urma</w:t>
      </w:r>
      <w:r w:rsidR="006049D5" w:rsidRPr="004D2FF7">
        <w:rPr>
          <w:rFonts w:ascii="Times New Roman" w:eastAsia="Times New Roman" w:hAnsi="Times New Roman" w:cs="Times New Roman"/>
          <w:color w:val="000000" w:themeColor="text1"/>
          <w:sz w:val="24"/>
          <w:szCs w:val="24"/>
        </w:rPr>
        <w:t xml:space="preserve"> autoevaluării, apreciază organizarea sistemului de control intern managerial și emite anual, pentru anul precedent, o Declarație de răspundere managerială.</w:t>
      </w:r>
      <w:r w:rsidRPr="004D2FF7">
        <w:rPr>
          <w:rFonts w:ascii="Times New Roman" w:eastAsia="Times New Roman" w:hAnsi="Times New Roman" w:cs="Times New Roman"/>
          <w:color w:val="000000" w:themeColor="text1"/>
          <w:sz w:val="24"/>
          <w:szCs w:val="24"/>
        </w:rPr>
        <w:t xml:space="preserve"> </w:t>
      </w:r>
    </w:p>
    <w:p w14:paraId="4FC4FD5C" w14:textId="72AF4C9B" w:rsidR="00416403" w:rsidRDefault="004C59B1" w:rsidP="00614A8F">
      <w:pPr>
        <w:spacing w:after="120" w:line="276" w:lineRule="auto"/>
        <w:jc w:val="both"/>
        <w:rPr>
          <w:rFonts w:ascii="Times New Roman" w:eastAsia="Times New Roman" w:hAnsi="Times New Roman" w:cs="Times New Roman"/>
          <w:color w:val="000000"/>
          <w:sz w:val="24"/>
          <w:szCs w:val="24"/>
          <w:lang w:val="ro-RO"/>
        </w:rPr>
      </w:pPr>
      <w:r w:rsidRPr="004D2FF7">
        <w:rPr>
          <w:rFonts w:ascii="Times New Roman" w:hAnsi="Times New Roman" w:cs="Times New Roman"/>
          <w:noProof/>
          <w:color w:val="000000"/>
          <w:sz w:val="24"/>
          <w:szCs w:val="24"/>
          <w:lang w:val="ro-RO"/>
        </w:rPr>
        <w:t>Deși în anul 2022</w:t>
      </w:r>
      <w:r w:rsidR="003647C7" w:rsidRPr="004D2FF7">
        <w:rPr>
          <w:rFonts w:ascii="Times New Roman" w:hAnsi="Times New Roman" w:cs="Times New Roman"/>
          <w:noProof/>
          <w:sz w:val="24"/>
          <w:szCs w:val="24"/>
          <w:lang w:val="ro-RO"/>
        </w:rPr>
        <w:t xml:space="preserve"> s-a acordat o atenție sporită </w:t>
      </w:r>
      <w:r w:rsidRPr="004D2FF7">
        <w:rPr>
          <w:rFonts w:ascii="Times New Roman" w:hAnsi="Times New Roman" w:cs="Times New Roman"/>
          <w:noProof/>
          <w:color w:val="000000"/>
          <w:sz w:val="24"/>
          <w:szCs w:val="24"/>
          <w:lang w:val="ro-RO"/>
        </w:rPr>
        <w:t>i</w:t>
      </w:r>
      <w:r w:rsidRPr="004D2FF7">
        <w:rPr>
          <w:rFonts w:ascii="Times New Roman" w:hAnsi="Times New Roman" w:cs="Times New Roman"/>
          <w:noProof/>
          <w:sz w:val="24"/>
          <w:szCs w:val="24"/>
          <w:lang w:val="ro-RO"/>
        </w:rPr>
        <w:t>mplementării sistemului de control intern managerial în cadrul CNPDCP</w:t>
      </w:r>
      <w:r w:rsidR="003647C7">
        <w:rPr>
          <w:rFonts w:ascii="Times New Roman" w:hAnsi="Times New Roman" w:cs="Times New Roman"/>
          <w:noProof/>
          <w:sz w:val="24"/>
          <w:szCs w:val="24"/>
          <w:lang w:val="ro-RO"/>
        </w:rPr>
        <w:t>,</w:t>
      </w:r>
      <w:r w:rsidRPr="004D2FF7">
        <w:rPr>
          <w:rFonts w:ascii="Times New Roman" w:hAnsi="Times New Roman" w:cs="Times New Roman"/>
          <w:noProof/>
          <w:sz w:val="24"/>
          <w:szCs w:val="24"/>
          <w:lang w:val="ro-RO"/>
        </w:rPr>
        <w:t xml:space="preserve"> auditul relevă că </w:t>
      </w:r>
      <w:r w:rsidRPr="004D2FF7">
        <w:rPr>
          <w:rFonts w:ascii="Times New Roman" w:eastAsia="Times New Roman" w:hAnsi="Times New Roman" w:cs="Times New Roman"/>
          <w:color w:val="000000"/>
          <w:sz w:val="24"/>
          <w:szCs w:val="24"/>
          <w:lang w:val="ro-RO"/>
        </w:rPr>
        <w:t xml:space="preserve">la nivel de </w:t>
      </w:r>
      <w:r w:rsidR="004337EA" w:rsidRPr="004D2FF7">
        <w:rPr>
          <w:rFonts w:ascii="Times New Roman" w:eastAsia="Times New Roman" w:hAnsi="Times New Roman" w:cs="Times New Roman"/>
          <w:color w:val="000000"/>
          <w:sz w:val="24"/>
          <w:szCs w:val="24"/>
          <w:lang w:val="ro-RO"/>
        </w:rPr>
        <w:t>instituție</w:t>
      </w:r>
      <w:r w:rsidRPr="004D2FF7">
        <w:rPr>
          <w:rFonts w:ascii="Times New Roman" w:hAnsi="Times New Roman" w:cs="Times New Roman"/>
          <w:b/>
          <w:i/>
          <w:lang w:val="ro-RO" w:eastAsia="ro-MD"/>
        </w:rPr>
        <w:t xml:space="preserve"> </w:t>
      </w:r>
      <w:r w:rsidRPr="004D2FF7">
        <w:rPr>
          <w:rFonts w:ascii="Times New Roman" w:eastAsia="Times New Roman" w:hAnsi="Times New Roman" w:cs="Times New Roman"/>
          <w:color w:val="000000"/>
          <w:sz w:val="24"/>
          <w:szCs w:val="24"/>
          <w:lang w:val="ro-RO"/>
        </w:rPr>
        <w:t xml:space="preserve">sunt descrise narativ </w:t>
      </w:r>
      <w:r w:rsidR="004E3538" w:rsidRPr="004D2FF7">
        <w:rPr>
          <w:rFonts w:ascii="Times New Roman" w:eastAsia="Times New Roman" w:hAnsi="Times New Roman" w:cs="Times New Roman"/>
          <w:color w:val="000000"/>
          <w:sz w:val="24"/>
          <w:szCs w:val="24"/>
          <w:lang w:val="ro-RO"/>
        </w:rPr>
        <w:t>62</w:t>
      </w:r>
      <w:r w:rsidRPr="004D2FF7">
        <w:rPr>
          <w:rFonts w:ascii="Times New Roman" w:eastAsia="Times New Roman" w:hAnsi="Times New Roman" w:cs="Times New Roman"/>
          <w:color w:val="000000"/>
          <w:sz w:val="24"/>
          <w:szCs w:val="24"/>
          <w:lang w:val="ro-RO"/>
        </w:rPr>
        <w:t xml:space="preserve"> de procese operaționale de bază</w:t>
      </w:r>
      <w:r w:rsidR="00022F74" w:rsidRPr="004D2FF7">
        <w:rPr>
          <w:rFonts w:ascii="Times New Roman" w:eastAsia="Times New Roman" w:hAnsi="Times New Roman" w:cs="Times New Roman"/>
          <w:color w:val="000000"/>
          <w:sz w:val="24"/>
          <w:szCs w:val="24"/>
          <w:lang w:val="ro-RO"/>
        </w:rPr>
        <w:t xml:space="preserve">, </w:t>
      </w:r>
      <w:r w:rsidRPr="004D2FF7">
        <w:rPr>
          <w:rFonts w:ascii="Times New Roman" w:eastAsia="Times New Roman" w:hAnsi="Times New Roman" w:cs="Times New Roman"/>
          <w:color w:val="000000"/>
          <w:sz w:val="24"/>
          <w:szCs w:val="24"/>
          <w:lang w:val="ro-RO"/>
        </w:rPr>
        <w:t xml:space="preserve">unele procese </w:t>
      </w:r>
      <w:r w:rsidR="00416403">
        <w:rPr>
          <w:rFonts w:ascii="Times New Roman" w:eastAsia="Times New Roman" w:hAnsi="Times New Roman" w:cs="Times New Roman"/>
          <w:color w:val="000000"/>
          <w:sz w:val="24"/>
          <w:szCs w:val="24"/>
          <w:lang w:val="ro-RO"/>
        </w:rPr>
        <w:t xml:space="preserve">având </w:t>
      </w:r>
      <w:r w:rsidRPr="004D2FF7">
        <w:rPr>
          <w:rFonts w:ascii="Times New Roman" w:eastAsia="Times New Roman" w:hAnsi="Times New Roman" w:cs="Times New Roman"/>
          <w:color w:val="000000"/>
          <w:sz w:val="24"/>
          <w:szCs w:val="24"/>
          <w:lang w:val="ro-RO"/>
        </w:rPr>
        <w:t xml:space="preserve"> un caracter general</w:t>
      </w:r>
      <w:r w:rsidR="00482DD1" w:rsidRPr="004D2FF7">
        <w:rPr>
          <w:rFonts w:ascii="Times New Roman" w:eastAsia="Times New Roman" w:hAnsi="Times New Roman" w:cs="Times New Roman"/>
          <w:color w:val="000000"/>
          <w:sz w:val="24"/>
          <w:szCs w:val="24"/>
          <w:lang w:val="ro-RO"/>
        </w:rPr>
        <w:t xml:space="preserve"> sau </w:t>
      </w:r>
      <w:r w:rsidR="00416403">
        <w:rPr>
          <w:rFonts w:ascii="Times New Roman" w:eastAsia="Times New Roman" w:hAnsi="Times New Roman" w:cs="Times New Roman"/>
          <w:color w:val="000000"/>
          <w:sz w:val="24"/>
          <w:szCs w:val="24"/>
          <w:lang w:val="ro-RO"/>
        </w:rPr>
        <w:t xml:space="preserve">sunt </w:t>
      </w:r>
      <w:r w:rsidR="00482DD1" w:rsidRPr="004D2FF7">
        <w:rPr>
          <w:rFonts w:ascii="Times New Roman" w:eastAsia="Times New Roman" w:hAnsi="Times New Roman" w:cs="Times New Roman"/>
          <w:color w:val="000000"/>
          <w:sz w:val="24"/>
          <w:szCs w:val="24"/>
          <w:lang w:val="ro-RO"/>
        </w:rPr>
        <w:t xml:space="preserve">scrise </w:t>
      </w:r>
      <w:r w:rsidR="00F850A1" w:rsidRPr="004D2FF7">
        <w:rPr>
          <w:rFonts w:ascii="Times New Roman" w:eastAsia="Times New Roman" w:hAnsi="Times New Roman" w:cs="Times New Roman"/>
          <w:color w:val="000000"/>
          <w:sz w:val="24"/>
          <w:szCs w:val="24"/>
          <w:lang w:val="ro-RO"/>
        </w:rPr>
        <w:t>î</w:t>
      </w:r>
      <w:r w:rsidR="00482DD1" w:rsidRPr="004D2FF7">
        <w:rPr>
          <w:rFonts w:ascii="Times New Roman" w:eastAsia="Times New Roman" w:hAnsi="Times New Roman" w:cs="Times New Roman"/>
          <w:color w:val="000000"/>
          <w:sz w:val="24"/>
          <w:szCs w:val="24"/>
          <w:lang w:val="ro-RO"/>
        </w:rPr>
        <w:t>n formă scurtă</w:t>
      </w:r>
      <w:r w:rsidR="00416403">
        <w:rPr>
          <w:rFonts w:ascii="Times New Roman" w:eastAsia="Times New Roman" w:hAnsi="Times New Roman" w:cs="Times New Roman"/>
          <w:color w:val="000000"/>
          <w:sz w:val="24"/>
          <w:szCs w:val="24"/>
          <w:lang w:val="ro-RO"/>
        </w:rPr>
        <w:t>,</w:t>
      </w:r>
      <w:r w:rsidR="00482DD1" w:rsidRPr="004D2FF7">
        <w:rPr>
          <w:rFonts w:ascii="Times New Roman" w:eastAsia="Times New Roman" w:hAnsi="Times New Roman" w:cs="Times New Roman"/>
          <w:color w:val="000000"/>
          <w:sz w:val="24"/>
          <w:szCs w:val="24"/>
          <w:lang w:val="ro-RO"/>
        </w:rPr>
        <w:t xml:space="preserve"> fără descri</w:t>
      </w:r>
      <w:r w:rsidR="00416403">
        <w:rPr>
          <w:rFonts w:ascii="Times New Roman" w:eastAsia="Times New Roman" w:hAnsi="Times New Roman" w:cs="Times New Roman"/>
          <w:color w:val="000000"/>
          <w:sz w:val="24"/>
          <w:szCs w:val="24"/>
          <w:lang w:val="ro-RO"/>
        </w:rPr>
        <w:t>erea</w:t>
      </w:r>
      <w:r w:rsidR="00F850A1" w:rsidRPr="004D2FF7">
        <w:rPr>
          <w:rFonts w:ascii="Times New Roman" w:eastAsia="Times New Roman" w:hAnsi="Times New Roman" w:cs="Times New Roman"/>
          <w:color w:val="000000"/>
          <w:sz w:val="24"/>
          <w:szCs w:val="24"/>
          <w:lang w:val="ro-RO"/>
        </w:rPr>
        <w:t xml:space="preserve"> integral</w:t>
      </w:r>
      <w:r w:rsidR="00416403">
        <w:rPr>
          <w:rFonts w:ascii="Times New Roman" w:eastAsia="Times New Roman" w:hAnsi="Times New Roman" w:cs="Times New Roman"/>
          <w:color w:val="000000"/>
          <w:sz w:val="24"/>
          <w:szCs w:val="24"/>
          <w:lang w:val="ro-RO"/>
        </w:rPr>
        <w:t>ă a</w:t>
      </w:r>
      <w:r w:rsidR="00482DD1" w:rsidRPr="004D2FF7">
        <w:rPr>
          <w:rFonts w:ascii="Times New Roman" w:eastAsia="Times New Roman" w:hAnsi="Times New Roman" w:cs="Times New Roman"/>
          <w:color w:val="000000"/>
          <w:sz w:val="24"/>
          <w:szCs w:val="24"/>
          <w:lang w:val="ro-RO"/>
        </w:rPr>
        <w:t xml:space="preserve"> procesul</w:t>
      </w:r>
      <w:r w:rsidR="00416403">
        <w:rPr>
          <w:rFonts w:ascii="Times New Roman" w:eastAsia="Times New Roman" w:hAnsi="Times New Roman" w:cs="Times New Roman"/>
          <w:color w:val="000000"/>
          <w:sz w:val="24"/>
          <w:szCs w:val="24"/>
          <w:lang w:val="ro-RO"/>
        </w:rPr>
        <w:t>ui</w:t>
      </w:r>
      <w:r w:rsidR="00482DD1" w:rsidRPr="004D2FF7">
        <w:rPr>
          <w:rFonts w:ascii="Times New Roman" w:eastAsia="Times New Roman" w:hAnsi="Times New Roman" w:cs="Times New Roman"/>
          <w:color w:val="000000"/>
          <w:sz w:val="24"/>
          <w:szCs w:val="24"/>
          <w:lang w:val="ro-RO"/>
        </w:rPr>
        <w:t xml:space="preserve"> operațional</w:t>
      </w:r>
      <w:r w:rsidRPr="004D2FF7">
        <w:rPr>
          <w:rFonts w:ascii="Times New Roman" w:eastAsia="Times New Roman" w:hAnsi="Times New Roman" w:cs="Times New Roman"/>
          <w:color w:val="000000"/>
          <w:sz w:val="24"/>
          <w:szCs w:val="24"/>
          <w:lang w:val="ro-RO"/>
        </w:rPr>
        <w:t xml:space="preserve">. </w:t>
      </w:r>
      <w:r w:rsidR="00A2233F" w:rsidRPr="004D2FF7">
        <w:rPr>
          <w:rFonts w:ascii="Times New Roman" w:eastAsia="Times New Roman" w:hAnsi="Times New Roman" w:cs="Times New Roman"/>
          <w:color w:val="000000" w:themeColor="text1"/>
          <w:sz w:val="24"/>
          <w:szCs w:val="24"/>
        </w:rPr>
        <w:t xml:space="preserve">CNPDCP nu dispune </w:t>
      </w:r>
      <w:r w:rsidR="00A2233F" w:rsidRPr="004D2FF7">
        <w:rPr>
          <w:rFonts w:ascii="Times New Roman" w:hAnsi="Times New Roman" w:cs="Times New Roman"/>
          <w:color w:val="000000" w:themeColor="text1"/>
          <w:sz w:val="24"/>
          <w:szCs w:val="24"/>
        </w:rPr>
        <w:t>de procese operaționale aferente</w:t>
      </w:r>
      <w:r w:rsidR="00CD69ED" w:rsidRPr="004D2FF7">
        <w:rPr>
          <w:rFonts w:ascii="Times New Roman" w:eastAsia="Times New Roman" w:hAnsi="Times New Roman" w:cs="Times New Roman"/>
          <w:i/>
          <w:color w:val="000000"/>
          <w:sz w:val="24"/>
          <w:szCs w:val="24"/>
        </w:rPr>
        <w:t xml:space="preserve"> </w:t>
      </w:r>
      <w:r w:rsidR="00CD69ED" w:rsidRPr="004D2FF7">
        <w:rPr>
          <w:rFonts w:ascii="Times New Roman" w:eastAsia="Times New Roman" w:hAnsi="Times New Roman" w:cs="Times New Roman"/>
          <w:color w:val="000000"/>
          <w:sz w:val="24"/>
          <w:szCs w:val="24"/>
        </w:rPr>
        <w:t>achizițiilor de valoare mică, acord</w:t>
      </w:r>
      <w:r w:rsidR="008E01DE" w:rsidRPr="004D2FF7">
        <w:rPr>
          <w:rFonts w:ascii="Times New Roman" w:eastAsia="Times New Roman" w:hAnsi="Times New Roman" w:cs="Times New Roman"/>
          <w:color w:val="000000"/>
          <w:sz w:val="24"/>
          <w:szCs w:val="24"/>
        </w:rPr>
        <w:t>ul</w:t>
      </w:r>
      <w:r w:rsidR="00416403">
        <w:rPr>
          <w:rFonts w:ascii="Times New Roman" w:eastAsia="Times New Roman" w:hAnsi="Times New Roman" w:cs="Times New Roman"/>
          <w:color w:val="000000"/>
          <w:sz w:val="24"/>
          <w:szCs w:val="24"/>
        </w:rPr>
        <w:t>ui</w:t>
      </w:r>
      <w:r w:rsidR="00CD69ED" w:rsidRPr="004D2FF7">
        <w:rPr>
          <w:rFonts w:ascii="Times New Roman" w:eastAsia="Times New Roman" w:hAnsi="Times New Roman" w:cs="Times New Roman"/>
          <w:color w:val="000000"/>
          <w:sz w:val="24"/>
          <w:szCs w:val="24"/>
        </w:rPr>
        <w:t>-cadru</w:t>
      </w:r>
      <w:r w:rsidR="00AE0AFF" w:rsidRPr="004D2FF7">
        <w:rPr>
          <w:rFonts w:ascii="Times New Roman" w:eastAsia="Times New Roman" w:hAnsi="Times New Roman" w:cs="Times New Roman"/>
          <w:color w:val="000000"/>
          <w:sz w:val="24"/>
          <w:szCs w:val="24"/>
        </w:rPr>
        <w:t>, negocier</w:t>
      </w:r>
      <w:r w:rsidR="00416403">
        <w:rPr>
          <w:rFonts w:ascii="Times New Roman" w:eastAsia="Times New Roman" w:hAnsi="Times New Roman" w:cs="Times New Roman"/>
          <w:color w:val="000000"/>
          <w:sz w:val="24"/>
          <w:szCs w:val="24"/>
        </w:rPr>
        <w:t>ii</w:t>
      </w:r>
      <w:r w:rsidR="00AE0AFF" w:rsidRPr="004D2FF7">
        <w:rPr>
          <w:rFonts w:ascii="Times New Roman" w:eastAsia="Times New Roman" w:hAnsi="Times New Roman" w:cs="Times New Roman"/>
          <w:color w:val="000000"/>
          <w:sz w:val="24"/>
          <w:szCs w:val="24"/>
        </w:rPr>
        <w:t xml:space="preserve"> fără publicarea prealabilă a unui anunț de participare</w:t>
      </w:r>
      <w:r w:rsidR="00CD69ED" w:rsidRPr="004D2FF7">
        <w:rPr>
          <w:rFonts w:ascii="Times New Roman" w:eastAsia="Times New Roman" w:hAnsi="Times New Roman" w:cs="Times New Roman"/>
          <w:color w:val="000000"/>
          <w:sz w:val="24"/>
          <w:szCs w:val="24"/>
        </w:rPr>
        <w:t xml:space="preserve"> și</w:t>
      </w:r>
      <w:r w:rsidR="00A2233F" w:rsidRPr="004D2FF7">
        <w:rPr>
          <w:rFonts w:ascii="Times New Roman" w:hAnsi="Times New Roman" w:cs="Times New Roman"/>
          <w:color w:val="000000" w:themeColor="text1"/>
          <w:sz w:val="24"/>
          <w:szCs w:val="24"/>
        </w:rPr>
        <w:t xml:space="preserve"> gestion</w:t>
      </w:r>
      <w:r w:rsidR="00416403">
        <w:rPr>
          <w:rFonts w:ascii="Times New Roman" w:hAnsi="Times New Roman" w:cs="Times New Roman"/>
          <w:color w:val="000000" w:themeColor="text1"/>
          <w:sz w:val="24"/>
          <w:szCs w:val="24"/>
        </w:rPr>
        <w:t>ă</w:t>
      </w:r>
      <w:r w:rsidR="00A2233F" w:rsidRPr="004D2FF7">
        <w:rPr>
          <w:rFonts w:ascii="Times New Roman" w:hAnsi="Times New Roman" w:cs="Times New Roman"/>
          <w:color w:val="000000" w:themeColor="text1"/>
          <w:sz w:val="24"/>
          <w:szCs w:val="24"/>
        </w:rPr>
        <w:t>rii patrimoniului public</w:t>
      </w:r>
      <w:r w:rsidR="00A100B7" w:rsidRPr="004D2FF7">
        <w:rPr>
          <w:rFonts w:ascii="Times New Roman" w:hAnsi="Times New Roman" w:cs="Times New Roman"/>
          <w:color w:val="000000" w:themeColor="text1"/>
          <w:sz w:val="24"/>
          <w:szCs w:val="24"/>
        </w:rPr>
        <w:t xml:space="preserve"> </w:t>
      </w:r>
      <w:r w:rsidR="00A100B7" w:rsidRPr="004D2FF7">
        <w:rPr>
          <w:rFonts w:ascii="Times New Roman" w:eastAsia="Times New Roman" w:hAnsi="Times New Roman" w:cs="Times New Roman"/>
          <w:color w:val="000000"/>
          <w:sz w:val="24"/>
          <w:szCs w:val="24"/>
        </w:rPr>
        <w:t>(mijloace</w:t>
      </w:r>
      <w:r w:rsidR="00B43767" w:rsidRPr="004D2FF7">
        <w:rPr>
          <w:rFonts w:ascii="Times New Roman" w:eastAsia="Times New Roman" w:hAnsi="Times New Roman" w:cs="Times New Roman"/>
          <w:color w:val="000000"/>
          <w:sz w:val="24"/>
          <w:szCs w:val="24"/>
        </w:rPr>
        <w:t>le</w:t>
      </w:r>
      <w:r w:rsidR="00A100B7" w:rsidRPr="004D2FF7">
        <w:rPr>
          <w:rFonts w:ascii="Times New Roman" w:eastAsia="Times New Roman" w:hAnsi="Times New Roman" w:cs="Times New Roman"/>
          <w:color w:val="000000"/>
          <w:sz w:val="24"/>
          <w:szCs w:val="24"/>
        </w:rPr>
        <w:t xml:space="preserve"> fixe</w:t>
      </w:r>
      <w:r w:rsidR="00521700" w:rsidRPr="004D2FF7">
        <w:rPr>
          <w:rFonts w:ascii="Times New Roman" w:eastAsia="Times New Roman" w:hAnsi="Times New Roman" w:cs="Times New Roman"/>
          <w:color w:val="000000"/>
          <w:sz w:val="24"/>
          <w:szCs w:val="24"/>
        </w:rPr>
        <w:t xml:space="preserve">; </w:t>
      </w:r>
      <w:r w:rsidR="00A100B7" w:rsidRPr="004D2FF7">
        <w:rPr>
          <w:rFonts w:ascii="Times New Roman" w:eastAsia="Times New Roman" w:hAnsi="Times New Roman" w:cs="Times New Roman"/>
          <w:color w:val="000000"/>
          <w:sz w:val="24"/>
          <w:szCs w:val="24"/>
        </w:rPr>
        <w:t>stocuri</w:t>
      </w:r>
      <w:r w:rsidR="00B43767" w:rsidRPr="004D2FF7">
        <w:rPr>
          <w:rFonts w:ascii="Times New Roman" w:eastAsia="Times New Roman" w:hAnsi="Times New Roman" w:cs="Times New Roman"/>
          <w:color w:val="000000"/>
          <w:sz w:val="24"/>
          <w:szCs w:val="24"/>
        </w:rPr>
        <w:t>le</w:t>
      </w:r>
      <w:r w:rsidR="00F6703F" w:rsidRPr="004D2FF7">
        <w:rPr>
          <w:rFonts w:ascii="Times New Roman" w:eastAsia="Times New Roman" w:hAnsi="Times New Roman" w:cs="Times New Roman"/>
          <w:color w:val="000000"/>
          <w:sz w:val="24"/>
          <w:szCs w:val="24"/>
        </w:rPr>
        <w:t xml:space="preserve"> de materiale circulante</w:t>
      </w:r>
      <w:r w:rsidR="00B43767" w:rsidRPr="004D2FF7">
        <w:rPr>
          <w:rFonts w:ascii="Times New Roman" w:eastAsia="Times New Roman" w:hAnsi="Times New Roman" w:cs="Times New Roman"/>
          <w:color w:val="000000"/>
          <w:sz w:val="24"/>
          <w:szCs w:val="24"/>
        </w:rPr>
        <w:t xml:space="preserve">; </w:t>
      </w:r>
      <w:r w:rsidR="00521700" w:rsidRPr="004D2FF7">
        <w:rPr>
          <w:rFonts w:ascii="Times New Roman" w:hAnsi="Times New Roman" w:cs="Times New Roman"/>
          <w:sz w:val="24"/>
          <w:szCs w:val="24"/>
          <w:shd w:val="clear" w:color="auto" w:fill="FFFFFF" w:themeFill="background1"/>
        </w:rPr>
        <w:t>planificare</w:t>
      </w:r>
      <w:r w:rsidR="00416403">
        <w:rPr>
          <w:rFonts w:ascii="Times New Roman" w:hAnsi="Times New Roman" w:cs="Times New Roman"/>
          <w:sz w:val="24"/>
          <w:szCs w:val="24"/>
          <w:shd w:val="clear" w:color="auto" w:fill="FFFFFF" w:themeFill="background1"/>
        </w:rPr>
        <w:t>a</w:t>
      </w:r>
      <w:r w:rsidR="00521700" w:rsidRPr="004D2FF7">
        <w:rPr>
          <w:rFonts w:ascii="Times New Roman" w:hAnsi="Times New Roman" w:cs="Times New Roman"/>
          <w:sz w:val="24"/>
          <w:szCs w:val="24"/>
          <w:shd w:val="clear" w:color="auto" w:fill="FFFFFF" w:themeFill="background1"/>
        </w:rPr>
        <w:t>, aprobare</w:t>
      </w:r>
      <w:r w:rsidR="00416403">
        <w:rPr>
          <w:rFonts w:ascii="Times New Roman" w:hAnsi="Times New Roman" w:cs="Times New Roman"/>
          <w:sz w:val="24"/>
          <w:szCs w:val="24"/>
          <w:shd w:val="clear" w:color="auto" w:fill="FFFFFF" w:themeFill="background1"/>
        </w:rPr>
        <w:t>a</w:t>
      </w:r>
      <w:r w:rsidR="00521700" w:rsidRPr="004D2FF7">
        <w:rPr>
          <w:rFonts w:ascii="Times New Roman" w:hAnsi="Times New Roman" w:cs="Times New Roman"/>
          <w:sz w:val="24"/>
          <w:szCs w:val="24"/>
          <w:shd w:val="clear" w:color="auto" w:fill="FFFFFF" w:themeFill="background1"/>
        </w:rPr>
        <w:t xml:space="preserve"> și executarea cheltuielilor pentru reparația curentă a </w:t>
      </w:r>
      <w:r w:rsidR="00521700" w:rsidRPr="004D2FF7">
        <w:rPr>
          <w:rFonts w:ascii="Times New Roman" w:hAnsi="Times New Roman" w:cs="Times New Roman"/>
          <w:sz w:val="24"/>
          <w:szCs w:val="24"/>
        </w:rPr>
        <w:t>autoturismelor de serviciu</w:t>
      </w:r>
      <w:r w:rsidR="004E664B" w:rsidRPr="004D2FF7">
        <w:rPr>
          <w:rFonts w:ascii="Times New Roman" w:hAnsi="Times New Roman" w:cs="Times New Roman"/>
          <w:sz w:val="24"/>
          <w:szCs w:val="24"/>
        </w:rPr>
        <w:t xml:space="preserve">;  decontarea </w:t>
      </w:r>
      <w:r w:rsidR="00F81701">
        <w:rPr>
          <w:rFonts w:ascii="Times New Roman" w:hAnsi="Times New Roman" w:cs="Times New Roman"/>
          <w:sz w:val="24"/>
          <w:szCs w:val="24"/>
        </w:rPr>
        <w:t>carburanți</w:t>
      </w:r>
      <w:r w:rsidR="005D66C6">
        <w:rPr>
          <w:rFonts w:ascii="Times New Roman" w:hAnsi="Times New Roman" w:cs="Times New Roman"/>
          <w:sz w:val="24"/>
          <w:szCs w:val="24"/>
        </w:rPr>
        <w:t>lor</w:t>
      </w:r>
      <w:r w:rsidR="00A100B7" w:rsidRPr="004D2FF7">
        <w:rPr>
          <w:rFonts w:ascii="Times New Roman" w:eastAsia="Times New Roman" w:hAnsi="Times New Roman" w:cs="Times New Roman"/>
          <w:color w:val="000000"/>
          <w:sz w:val="24"/>
          <w:szCs w:val="24"/>
        </w:rPr>
        <w:t>)</w:t>
      </w:r>
      <w:r w:rsidR="006079F6" w:rsidRPr="004D2FF7">
        <w:rPr>
          <w:rFonts w:ascii="Times New Roman" w:hAnsi="Times New Roman" w:cs="Times New Roman"/>
          <w:color w:val="000000" w:themeColor="text1"/>
          <w:sz w:val="24"/>
          <w:szCs w:val="24"/>
        </w:rPr>
        <w:t>, precum</w:t>
      </w:r>
      <w:r w:rsidR="00A2233F" w:rsidRPr="004D2FF7">
        <w:rPr>
          <w:rFonts w:ascii="Times New Roman" w:hAnsi="Times New Roman" w:cs="Times New Roman"/>
          <w:color w:val="000000" w:themeColor="text1"/>
          <w:sz w:val="24"/>
          <w:szCs w:val="24"/>
        </w:rPr>
        <w:t xml:space="preserve"> și prevenirii riscurilor de fraudă</w:t>
      </w:r>
      <w:r w:rsidR="00A2233F" w:rsidRPr="004D2FF7">
        <w:rPr>
          <w:rFonts w:ascii="Times New Roman" w:eastAsia="Times New Roman" w:hAnsi="Times New Roman" w:cs="Times New Roman"/>
          <w:color w:val="000000" w:themeColor="text1"/>
          <w:sz w:val="24"/>
          <w:szCs w:val="24"/>
        </w:rPr>
        <w:t xml:space="preserve"> conform cerințelor</w:t>
      </w:r>
      <w:r w:rsidR="00A2233F" w:rsidRPr="004D2FF7">
        <w:rPr>
          <w:rFonts w:ascii="Times New Roman" w:hAnsi="Times New Roman" w:cs="Times New Roman"/>
          <w:sz w:val="24"/>
          <w:szCs w:val="24"/>
        </w:rPr>
        <w:t xml:space="preserve"> </w:t>
      </w:r>
      <w:r w:rsidR="00A2233F" w:rsidRPr="004D2FF7">
        <w:rPr>
          <w:rFonts w:ascii="Times New Roman" w:eastAsia="Times New Roman" w:hAnsi="Times New Roman" w:cs="Times New Roman"/>
          <w:color w:val="000000" w:themeColor="text1"/>
          <w:sz w:val="24"/>
          <w:szCs w:val="24"/>
        </w:rPr>
        <w:t xml:space="preserve">SNCI nr.9 </w:t>
      </w:r>
      <w:r w:rsidR="00416403">
        <w:rPr>
          <w:rFonts w:ascii="Times New Roman" w:eastAsia="Times New Roman" w:hAnsi="Times New Roman" w:cs="Times New Roman"/>
          <w:color w:val="000000" w:themeColor="text1"/>
          <w:sz w:val="24"/>
          <w:szCs w:val="24"/>
        </w:rPr>
        <w:t>„</w:t>
      </w:r>
      <w:r w:rsidR="00A2233F" w:rsidRPr="004D2FF7">
        <w:rPr>
          <w:rFonts w:ascii="Times New Roman" w:eastAsia="Times New Roman" w:hAnsi="Times New Roman" w:cs="Times New Roman"/>
          <w:color w:val="000000" w:themeColor="text1"/>
          <w:sz w:val="24"/>
          <w:szCs w:val="24"/>
        </w:rPr>
        <w:t>Managementul riscurilor”</w:t>
      </w:r>
      <w:r w:rsidR="00A2233F" w:rsidRPr="004D2FF7">
        <w:rPr>
          <w:rFonts w:ascii="Times New Roman" w:eastAsia="Times New Roman" w:hAnsi="Times New Roman" w:cs="Times New Roman"/>
          <w:color w:val="000000" w:themeColor="text1"/>
          <w:sz w:val="24"/>
          <w:szCs w:val="24"/>
          <w:vertAlign w:val="superscript"/>
        </w:rPr>
        <w:footnoteReference w:id="166"/>
      </w:r>
      <w:r w:rsidR="00A2233F" w:rsidRPr="004D2FF7">
        <w:rPr>
          <w:rFonts w:ascii="Times New Roman" w:eastAsia="Times New Roman" w:hAnsi="Times New Roman" w:cs="Times New Roman"/>
          <w:color w:val="000000" w:themeColor="text1"/>
          <w:sz w:val="24"/>
          <w:szCs w:val="24"/>
        </w:rPr>
        <w:t xml:space="preserve">, în speță a </w:t>
      </w:r>
      <w:r w:rsidR="00A2233F" w:rsidRPr="004D2FF7">
        <w:rPr>
          <w:rFonts w:ascii="Times New Roman" w:hAnsi="Times New Roman" w:cs="Times New Roman"/>
          <w:color w:val="000000" w:themeColor="text1"/>
          <w:sz w:val="24"/>
          <w:szCs w:val="24"/>
        </w:rPr>
        <w:t>activităților de control privind combaterea riscurilor de fraudă în procesul de utilizare a mijloacelor bugetare</w:t>
      </w:r>
      <w:r w:rsidR="008274AF" w:rsidRPr="004D2FF7">
        <w:rPr>
          <w:rFonts w:ascii="Times New Roman" w:hAnsi="Times New Roman" w:cs="Times New Roman"/>
          <w:color w:val="000000" w:themeColor="text1"/>
          <w:sz w:val="24"/>
          <w:szCs w:val="24"/>
        </w:rPr>
        <w:t xml:space="preserve"> și </w:t>
      </w:r>
      <w:r w:rsidR="00416403">
        <w:rPr>
          <w:rFonts w:ascii="Times New Roman" w:hAnsi="Times New Roman" w:cs="Times New Roman"/>
          <w:color w:val="000000" w:themeColor="text1"/>
          <w:sz w:val="24"/>
          <w:szCs w:val="24"/>
        </w:rPr>
        <w:t xml:space="preserve">a </w:t>
      </w:r>
      <w:r w:rsidR="008274AF" w:rsidRPr="004D2FF7">
        <w:rPr>
          <w:rFonts w:ascii="Times New Roman" w:hAnsi="Times New Roman" w:cs="Times New Roman"/>
          <w:color w:val="000000" w:themeColor="text1"/>
          <w:sz w:val="24"/>
          <w:szCs w:val="24"/>
        </w:rPr>
        <w:t>patrimoniului public</w:t>
      </w:r>
      <w:r w:rsidR="00A2233F" w:rsidRPr="004D2FF7">
        <w:rPr>
          <w:rFonts w:ascii="Times New Roman" w:hAnsi="Times New Roman" w:cs="Times New Roman"/>
          <w:color w:val="000000" w:themeColor="text1"/>
          <w:sz w:val="24"/>
          <w:szCs w:val="24"/>
        </w:rPr>
        <w:t>.</w:t>
      </w:r>
      <w:r w:rsidR="00A2233F" w:rsidRPr="004D2FF7">
        <w:rPr>
          <w:rFonts w:ascii="Times New Roman" w:eastAsia="Times New Roman" w:hAnsi="Times New Roman" w:cs="Times New Roman"/>
          <w:color w:val="000000" w:themeColor="text1"/>
          <w:sz w:val="24"/>
          <w:szCs w:val="24"/>
        </w:rPr>
        <w:t xml:space="preserve"> </w:t>
      </w:r>
      <w:r w:rsidR="002D6010" w:rsidRPr="004D2FF7">
        <w:rPr>
          <w:rFonts w:ascii="Times New Roman" w:eastAsia="Times New Roman" w:hAnsi="Times New Roman" w:cs="Times New Roman"/>
          <w:color w:val="000000" w:themeColor="text1"/>
          <w:sz w:val="24"/>
          <w:szCs w:val="24"/>
        </w:rPr>
        <w:t>De menționat că u</w:t>
      </w:r>
      <w:r w:rsidR="00071F9D" w:rsidRPr="004D2FF7">
        <w:rPr>
          <w:rFonts w:ascii="Times New Roman" w:eastAsia="Times New Roman" w:hAnsi="Times New Roman" w:cs="Times New Roman"/>
          <w:color w:val="000000" w:themeColor="text1"/>
          <w:sz w:val="24"/>
          <w:szCs w:val="24"/>
        </w:rPr>
        <w:t xml:space="preserve">nele </w:t>
      </w:r>
      <w:r w:rsidR="00482DD1" w:rsidRPr="004D2FF7">
        <w:rPr>
          <w:rFonts w:ascii="Times New Roman" w:eastAsia="Times New Roman" w:hAnsi="Times New Roman" w:cs="Times New Roman"/>
          <w:color w:val="000000" w:themeColor="text1"/>
          <w:sz w:val="24"/>
          <w:szCs w:val="24"/>
        </w:rPr>
        <w:t>procese operaționale și registre ale riscurilor</w:t>
      </w:r>
      <w:r w:rsidR="002D6010" w:rsidRPr="004D2FF7">
        <w:rPr>
          <w:rFonts w:ascii="Times New Roman" w:eastAsia="Times New Roman" w:hAnsi="Times New Roman" w:cs="Times New Roman"/>
          <w:color w:val="000000" w:themeColor="text1"/>
          <w:sz w:val="24"/>
          <w:szCs w:val="24"/>
        </w:rPr>
        <w:t xml:space="preserve"> privind activitatea unor Direcții și servicii</w:t>
      </w:r>
      <w:r w:rsidR="00482DD1" w:rsidRPr="004D2FF7">
        <w:rPr>
          <w:rFonts w:ascii="Times New Roman" w:eastAsia="Times New Roman" w:hAnsi="Times New Roman" w:cs="Times New Roman"/>
          <w:color w:val="000000" w:themeColor="text1"/>
          <w:sz w:val="24"/>
          <w:szCs w:val="24"/>
        </w:rPr>
        <w:t xml:space="preserve"> </w:t>
      </w:r>
      <w:r w:rsidR="002D6010" w:rsidRPr="004D2FF7">
        <w:rPr>
          <w:rFonts w:ascii="Times New Roman" w:eastAsia="Times New Roman" w:hAnsi="Times New Roman" w:cs="Times New Roman"/>
          <w:color w:val="000000" w:themeColor="text1"/>
          <w:sz w:val="24"/>
          <w:szCs w:val="24"/>
        </w:rPr>
        <w:t>necesită a fi revizuite</w:t>
      </w:r>
      <w:r w:rsidR="001B64C8" w:rsidRPr="004D2FF7">
        <w:rPr>
          <w:rFonts w:ascii="Times New Roman" w:eastAsia="Times New Roman" w:hAnsi="Times New Roman" w:cs="Times New Roman"/>
          <w:color w:val="000000" w:themeColor="text1"/>
          <w:sz w:val="24"/>
          <w:szCs w:val="24"/>
        </w:rPr>
        <w:t xml:space="preserve"> ținând cont de activitățile reglementate</w:t>
      </w:r>
      <w:r w:rsidR="00482DD1" w:rsidRPr="004D2FF7">
        <w:rPr>
          <w:rFonts w:ascii="Times New Roman" w:eastAsia="Times New Roman" w:hAnsi="Times New Roman" w:cs="Times New Roman"/>
          <w:color w:val="000000" w:themeColor="text1"/>
          <w:sz w:val="24"/>
          <w:szCs w:val="24"/>
        </w:rPr>
        <w:t xml:space="preserve">. </w:t>
      </w:r>
      <w:r w:rsidR="00A2233F" w:rsidRPr="004D2FF7">
        <w:rPr>
          <w:rFonts w:ascii="Times New Roman" w:eastAsia="Times New Roman" w:hAnsi="Times New Roman" w:cs="Times New Roman"/>
          <w:color w:val="000000"/>
          <w:sz w:val="24"/>
          <w:szCs w:val="24"/>
          <w:lang w:val="ro-RO"/>
        </w:rPr>
        <w:t xml:space="preserve">Regulamentele de activitate ale </w:t>
      </w:r>
      <w:r w:rsidR="00022F74" w:rsidRPr="004D2FF7">
        <w:rPr>
          <w:rFonts w:ascii="Times New Roman" w:eastAsia="Times New Roman" w:hAnsi="Times New Roman" w:cs="Times New Roman"/>
          <w:color w:val="000000"/>
          <w:sz w:val="24"/>
          <w:szCs w:val="24"/>
          <w:lang w:val="ro-RO"/>
        </w:rPr>
        <w:t>D</w:t>
      </w:r>
      <w:r w:rsidR="00A2233F" w:rsidRPr="004D2FF7">
        <w:rPr>
          <w:rFonts w:ascii="Times New Roman" w:eastAsia="Times New Roman" w:hAnsi="Times New Roman" w:cs="Times New Roman"/>
          <w:color w:val="000000"/>
          <w:sz w:val="24"/>
          <w:szCs w:val="24"/>
          <w:lang w:val="ro-RO"/>
        </w:rPr>
        <w:t>irecțiilor nu sunt aduse la cunoștință</w:t>
      </w:r>
      <w:r w:rsidR="005D341F" w:rsidRPr="004D2FF7">
        <w:rPr>
          <w:rFonts w:ascii="Times New Roman" w:eastAsia="Times New Roman" w:hAnsi="Times New Roman" w:cs="Times New Roman"/>
          <w:color w:val="000000"/>
          <w:sz w:val="24"/>
          <w:szCs w:val="24"/>
          <w:lang w:val="ro-RO"/>
        </w:rPr>
        <w:t xml:space="preserve"> tuturor</w:t>
      </w:r>
      <w:r w:rsidR="00A2233F" w:rsidRPr="004D2FF7">
        <w:rPr>
          <w:rFonts w:ascii="Times New Roman" w:eastAsia="Times New Roman" w:hAnsi="Times New Roman" w:cs="Times New Roman"/>
          <w:color w:val="000000"/>
          <w:sz w:val="24"/>
          <w:szCs w:val="24"/>
          <w:lang w:val="ro-RO"/>
        </w:rPr>
        <w:t xml:space="preserve"> angajaților</w:t>
      </w:r>
      <w:r w:rsidR="003551DE" w:rsidRPr="004D2FF7">
        <w:rPr>
          <w:rFonts w:ascii="Times New Roman" w:eastAsia="Times New Roman" w:hAnsi="Times New Roman" w:cs="Times New Roman"/>
          <w:color w:val="000000"/>
          <w:sz w:val="24"/>
          <w:szCs w:val="24"/>
          <w:lang w:val="ro-RO"/>
        </w:rPr>
        <w:t xml:space="preserve"> CNPDCP</w:t>
      </w:r>
      <w:r w:rsidRPr="004D2FF7">
        <w:rPr>
          <w:rFonts w:ascii="Times New Roman" w:eastAsia="Times New Roman" w:hAnsi="Times New Roman" w:cs="Times New Roman"/>
          <w:color w:val="000000"/>
          <w:sz w:val="24"/>
          <w:szCs w:val="24"/>
          <w:lang w:val="ro-RO"/>
        </w:rPr>
        <w:t xml:space="preserve">. </w:t>
      </w:r>
    </w:p>
    <w:p w14:paraId="68F1E706" w14:textId="786181FF" w:rsidR="00F1609A" w:rsidRPr="004D2FF7" w:rsidRDefault="004C59B1" w:rsidP="00614A8F">
      <w:pPr>
        <w:spacing w:after="120" w:line="276" w:lineRule="auto"/>
        <w:jc w:val="both"/>
        <w:rPr>
          <w:rFonts w:ascii="Times New Roman" w:eastAsia="Times New Roman" w:hAnsi="Times New Roman" w:cs="Times New Roman"/>
          <w:sz w:val="24"/>
          <w:szCs w:val="24"/>
        </w:rPr>
      </w:pPr>
      <w:r w:rsidRPr="004D2FF7">
        <w:rPr>
          <w:rFonts w:ascii="Times New Roman" w:eastAsia="Times New Roman" w:hAnsi="Times New Roman" w:cs="Times New Roman"/>
          <w:color w:val="000000"/>
          <w:sz w:val="24"/>
          <w:szCs w:val="24"/>
          <w:lang w:val="ro-RO"/>
        </w:rPr>
        <w:t xml:space="preserve">Prin urmare, în baza rezultatelor autoevaluării, precum și reieșind din deficiențele constatate de auditul extern, </w:t>
      </w:r>
      <w:r w:rsidRPr="004D2FF7">
        <w:rPr>
          <w:rFonts w:ascii="Times New Roman" w:hAnsi="Times New Roman" w:cs="Times New Roman"/>
          <w:noProof/>
          <w:sz w:val="24"/>
          <w:szCs w:val="24"/>
          <w:lang w:val="ro-RO"/>
        </w:rPr>
        <w:t xml:space="preserve">sistemul de control intern managerial al </w:t>
      </w:r>
      <w:r w:rsidR="00505E24" w:rsidRPr="004D2FF7">
        <w:rPr>
          <w:rFonts w:ascii="Times New Roman" w:hAnsi="Times New Roman" w:cs="Times New Roman"/>
          <w:noProof/>
          <w:sz w:val="24"/>
          <w:szCs w:val="24"/>
          <w:lang w:val="ro-RO"/>
        </w:rPr>
        <w:t>CNPDCP</w:t>
      </w:r>
      <w:r w:rsidRPr="004D2FF7">
        <w:rPr>
          <w:rFonts w:ascii="Times New Roman" w:hAnsi="Times New Roman" w:cs="Times New Roman"/>
          <w:noProof/>
          <w:sz w:val="24"/>
          <w:szCs w:val="24"/>
          <w:lang w:val="ro-RO"/>
        </w:rPr>
        <w:t xml:space="preserve"> este parțial conform cu</w:t>
      </w:r>
      <w:r w:rsidRPr="004D2FF7">
        <w:rPr>
          <w:rFonts w:ascii="Times New Roman" w:hAnsi="Times New Roman" w:cs="Times New Roman"/>
          <w:sz w:val="24"/>
          <w:szCs w:val="24"/>
          <w:lang w:val="ro-RO"/>
        </w:rPr>
        <w:t xml:space="preserve"> Standardele Naționale de Control Intern în sectorul public, fapt confirmat și prin Declarația de răspundere managerială</w:t>
      </w:r>
      <w:r w:rsidR="00505E24" w:rsidRPr="004D2FF7">
        <w:rPr>
          <w:rFonts w:ascii="Times New Roman" w:eastAsia="Times New Roman" w:hAnsi="Times New Roman" w:cs="Times New Roman"/>
          <w:color w:val="000000" w:themeColor="text1"/>
          <w:sz w:val="24"/>
          <w:szCs w:val="24"/>
          <w:vertAlign w:val="superscript"/>
        </w:rPr>
        <w:footnoteReference w:id="167"/>
      </w:r>
      <w:r w:rsidR="00505E24" w:rsidRPr="004D2FF7">
        <w:rPr>
          <w:rFonts w:ascii="Times New Roman" w:hAnsi="Times New Roman" w:cs="Times New Roman"/>
          <w:sz w:val="24"/>
          <w:szCs w:val="24"/>
          <w:lang w:val="ro-RO"/>
        </w:rPr>
        <w:t xml:space="preserve"> prin care </w:t>
      </w:r>
      <w:r w:rsidR="00505E24" w:rsidRPr="004D2FF7">
        <w:rPr>
          <w:rFonts w:ascii="Times New Roman" w:eastAsia="Times New Roman" w:hAnsi="Times New Roman" w:cs="Times New Roman"/>
          <w:color w:val="000000" w:themeColor="text1"/>
          <w:sz w:val="24"/>
          <w:szCs w:val="24"/>
        </w:rPr>
        <w:t>conducătorul CNPDCP a confirmat</w:t>
      </w:r>
      <w:r w:rsidR="00022F74" w:rsidRPr="004D2FF7">
        <w:rPr>
          <w:rFonts w:ascii="Times New Roman" w:eastAsia="Times New Roman" w:hAnsi="Times New Roman" w:cs="Times New Roman"/>
          <w:color w:val="000000" w:themeColor="text1"/>
          <w:sz w:val="24"/>
          <w:szCs w:val="24"/>
        </w:rPr>
        <w:t xml:space="preserve"> că</w:t>
      </w:r>
      <w:r w:rsidR="00505E24" w:rsidRPr="004D2FF7">
        <w:rPr>
          <w:rFonts w:ascii="Times New Roman" w:eastAsia="Times New Roman" w:hAnsi="Times New Roman" w:cs="Times New Roman"/>
          <w:color w:val="000000" w:themeColor="text1"/>
          <w:sz w:val="24"/>
          <w:szCs w:val="24"/>
        </w:rPr>
        <w:t xml:space="preserve"> instituția dispune de un sistem de control intern managerial ale cărui organizare și funcționare </w:t>
      </w:r>
      <w:r w:rsidR="00505E24" w:rsidRPr="004D2FF7">
        <w:rPr>
          <w:rFonts w:ascii="Times New Roman" w:eastAsia="Times New Roman" w:hAnsi="Times New Roman" w:cs="Times New Roman"/>
          <w:i/>
          <w:color w:val="000000" w:themeColor="text1"/>
          <w:sz w:val="24"/>
          <w:szCs w:val="24"/>
        </w:rPr>
        <w:t>permit parțial</w:t>
      </w:r>
      <w:r w:rsidR="00505E24" w:rsidRPr="004D2FF7">
        <w:rPr>
          <w:rFonts w:ascii="Times New Roman" w:eastAsia="Times New Roman" w:hAnsi="Times New Roman" w:cs="Times New Roman"/>
          <w:color w:val="000000" w:themeColor="text1"/>
          <w:sz w:val="24"/>
          <w:szCs w:val="24"/>
        </w:rPr>
        <w:t xml:space="preserve"> furnizarea unei asigurări rezonabile precum că fondurile publice alocate în scopul atingerii obiectivelor strategice și operaționale au fost utilizate în condiții de transparență, economicitate, eficiență, eficacitate, legalitate, etică și integritate. </w:t>
      </w:r>
      <w:r w:rsidR="00F1609A" w:rsidRPr="004D2FF7">
        <w:rPr>
          <w:rFonts w:ascii="Times New Roman" w:hAnsi="Times New Roman" w:cs="Times New Roman"/>
          <w:sz w:val="24"/>
          <w:szCs w:val="24"/>
        </w:rPr>
        <w:t xml:space="preserve">Prin urmare, CIM al CNPDCP </w:t>
      </w:r>
      <w:r w:rsidR="00F1609A" w:rsidRPr="004D2FF7">
        <w:rPr>
          <w:rFonts w:ascii="Times New Roman" w:eastAsia="Times New Roman" w:hAnsi="Times New Roman" w:cs="Times New Roman"/>
          <w:sz w:val="24"/>
          <w:szCs w:val="24"/>
        </w:rPr>
        <w:t>necesită îmbunătățiri.</w:t>
      </w:r>
    </w:p>
    <w:p w14:paraId="2338C53F" w14:textId="6DA86194" w:rsidR="00F1609A" w:rsidRPr="004D2FF7" w:rsidRDefault="008E3D42" w:rsidP="00F1609A">
      <w:pPr>
        <w:spacing w:after="120" w:line="276" w:lineRule="auto"/>
        <w:jc w:val="both"/>
        <w:rPr>
          <w:rFonts w:ascii="Times New Roman" w:hAnsi="Times New Roman" w:cs="Times New Roman"/>
          <w:noProof/>
          <w:sz w:val="24"/>
          <w:szCs w:val="24"/>
        </w:rPr>
      </w:pPr>
      <w:r w:rsidRPr="004D2FF7">
        <w:rPr>
          <w:rFonts w:ascii="Times New Roman" w:eastAsia="Times New Roman" w:hAnsi="Times New Roman" w:cs="Times New Roman"/>
          <w:color w:val="000000" w:themeColor="text1"/>
          <w:sz w:val="24"/>
          <w:szCs w:val="24"/>
        </w:rPr>
        <w:t>Se menționează</w:t>
      </w:r>
      <w:r w:rsidR="006049D5" w:rsidRPr="004D2FF7">
        <w:rPr>
          <w:rFonts w:ascii="Times New Roman" w:eastAsia="Times New Roman" w:hAnsi="Times New Roman" w:cs="Times New Roman"/>
          <w:color w:val="000000" w:themeColor="text1"/>
          <w:sz w:val="24"/>
          <w:szCs w:val="24"/>
        </w:rPr>
        <w:t xml:space="preserve"> că</w:t>
      </w:r>
      <w:r w:rsidR="00624093" w:rsidRPr="004D2FF7">
        <w:rPr>
          <w:rFonts w:ascii="Times New Roman" w:eastAsia="Times New Roman" w:hAnsi="Times New Roman" w:cs="Times New Roman"/>
          <w:color w:val="000000" w:themeColor="text1"/>
          <w:sz w:val="24"/>
          <w:szCs w:val="24"/>
        </w:rPr>
        <w:t>,</w:t>
      </w:r>
      <w:r w:rsidR="006049D5" w:rsidRPr="004D2FF7">
        <w:rPr>
          <w:rFonts w:ascii="Times New Roman" w:eastAsia="Times New Roman" w:hAnsi="Times New Roman" w:cs="Times New Roman"/>
          <w:color w:val="000000" w:themeColor="text1"/>
          <w:sz w:val="24"/>
          <w:szCs w:val="24"/>
        </w:rPr>
        <w:t xml:space="preserve"> potrivit </w:t>
      </w:r>
      <w:r w:rsidR="00624093" w:rsidRPr="004D2FF7">
        <w:rPr>
          <w:rFonts w:ascii="Times New Roman" w:eastAsia="Times New Roman" w:hAnsi="Times New Roman" w:cs="Times New Roman"/>
          <w:color w:val="000000" w:themeColor="text1"/>
          <w:sz w:val="24"/>
          <w:szCs w:val="24"/>
        </w:rPr>
        <w:t>s</w:t>
      </w:r>
      <w:r w:rsidR="006049D5" w:rsidRPr="004D2FF7">
        <w:rPr>
          <w:rFonts w:ascii="Times New Roman" w:eastAsia="Times New Roman" w:hAnsi="Times New Roman" w:cs="Times New Roman"/>
          <w:color w:val="000000" w:themeColor="text1"/>
          <w:sz w:val="24"/>
          <w:szCs w:val="24"/>
        </w:rPr>
        <w:t>tatelor de personal a</w:t>
      </w:r>
      <w:r w:rsidR="00624093" w:rsidRPr="004D2FF7">
        <w:rPr>
          <w:rFonts w:ascii="Times New Roman" w:eastAsia="Times New Roman" w:hAnsi="Times New Roman" w:cs="Times New Roman"/>
          <w:color w:val="000000" w:themeColor="text1"/>
          <w:sz w:val="24"/>
          <w:szCs w:val="24"/>
        </w:rPr>
        <w:t>le</w:t>
      </w:r>
      <w:r w:rsidR="006049D5" w:rsidRPr="004D2FF7">
        <w:rPr>
          <w:rFonts w:ascii="Times New Roman" w:eastAsia="Times New Roman" w:hAnsi="Times New Roman" w:cs="Times New Roman"/>
          <w:color w:val="000000" w:themeColor="text1"/>
          <w:sz w:val="24"/>
          <w:szCs w:val="24"/>
        </w:rPr>
        <w:t xml:space="preserve"> </w:t>
      </w:r>
      <w:r w:rsidR="0088696C" w:rsidRPr="004D2FF7">
        <w:rPr>
          <w:rFonts w:ascii="Times New Roman" w:eastAsia="Times New Roman" w:hAnsi="Times New Roman" w:cs="Times New Roman"/>
          <w:color w:val="000000" w:themeColor="text1"/>
          <w:sz w:val="24"/>
          <w:szCs w:val="24"/>
        </w:rPr>
        <w:t>CNPDCP</w:t>
      </w:r>
      <w:r w:rsidR="006049D5" w:rsidRPr="004D2FF7">
        <w:rPr>
          <w:rFonts w:ascii="Times New Roman" w:eastAsia="Times New Roman" w:hAnsi="Times New Roman" w:cs="Times New Roman"/>
          <w:color w:val="000000" w:themeColor="text1"/>
          <w:sz w:val="24"/>
          <w:szCs w:val="24"/>
        </w:rPr>
        <w:t>, structura organizatorică a instituției include</w:t>
      </w:r>
      <w:r w:rsidR="0088696C" w:rsidRPr="004D2FF7">
        <w:rPr>
          <w:rFonts w:ascii="Times New Roman" w:eastAsia="Times New Roman" w:hAnsi="Times New Roman" w:cs="Times New Roman"/>
          <w:color w:val="000000" w:themeColor="text1"/>
          <w:sz w:val="24"/>
          <w:szCs w:val="24"/>
        </w:rPr>
        <w:t xml:space="preserve"> </w:t>
      </w:r>
      <w:r w:rsidR="0049776E" w:rsidRPr="004D2FF7">
        <w:rPr>
          <w:rFonts w:ascii="Times New Roman" w:hAnsi="Times New Roman" w:cs="Times New Roman"/>
          <w:color w:val="000000"/>
          <w:sz w:val="24"/>
          <w:szCs w:val="24"/>
          <w:lang w:val="ro-RO"/>
        </w:rPr>
        <w:t>Serviciul audit intern cu o</w:t>
      </w:r>
      <w:r w:rsidR="0088696C" w:rsidRPr="004D2FF7">
        <w:rPr>
          <w:rFonts w:ascii="Times New Roman" w:eastAsia="Times New Roman" w:hAnsi="Times New Roman" w:cs="Times New Roman"/>
          <w:color w:val="000000" w:themeColor="text1"/>
          <w:sz w:val="24"/>
          <w:szCs w:val="24"/>
        </w:rPr>
        <w:t xml:space="preserve"> unitate de audit</w:t>
      </w:r>
      <w:r w:rsidR="0049776E" w:rsidRPr="004D2FF7">
        <w:rPr>
          <w:rFonts w:ascii="Times New Roman" w:eastAsia="Times New Roman" w:hAnsi="Times New Roman" w:cs="Times New Roman"/>
          <w:color w:val="000000" w:themeColor="text1"/>
          <w:sz w:val="24"/>
          <w:szCs w:val="24"/>
        </w:rPr>
        <w:t>or</w:t>
      </w:r>
      <w:r w:rsidR="0088696C" w:rsidRPr="004D2FF7">
        <w:rPr>
          <w:rFonts w:ascii="Times New Roman" w:eastAsia="Times New Roman" w:hAnsi="Times New Roman" w:cs="Times New Roman"/>
          <w:color w:val="000000" w:themeColor="text1"/>
          <w:sz w:val="24"/>
          <w:szCs w:val="24"/>
        </w:rPr>
        <w:t xml:space="preserve"> intern. </w:t>
      </w:r>
      <w:r w:rsidR="00F65D59" w:rsidRPr="004D2FF7">
        <w:rPr>
          <w:rFonts w:ascii="Times New Roman" w:hAnsi="Times New Roman" w:cs="Times New Roman"/>
          <w:color w:val="000000"/>
          <w:sz w:val="24"/>
          <w:szCs w:val="24"/>
          <w:lang w:val="ro-RO"/>
        </w:rPr>
        <w:t>Serviciul audit intern a început activitatea în anul 2021</w:t>
      </w:r>
      <w:r w:rsidR="00416403">
        <w:rPr>
          <w:rFonts w:ascii="Times New Roman" w:hAnsi="Times New Roman" w:cs="Times New Roman"/>
          <w:color w:val="000000"/>
          <w:sz w:val="24"/>
          <w:szCs w:val="24"/>
          <w:lang w:val="ro-RO"/>
        </w:rPr>
        <w:t>,</w:t>
      </w:r>
      <w:r w:rsidR="00F65D59" w:rsidRPr="004D2FF7">
        <w:rPr>
          <w:rFonts w:ascii="Times New Roman" w:hAnsi="Times New Roman" w:cs="Times New Roman"/>
          <w:color w:val="000000"/>
          <w:sz w:val="24"/>
          <w:szCs w:val="24"/>
          <w:lang w:val="ro-RO"/>
        </w:rPr>
        <w:t xml:space="preserve"> </w:t>
      </w:r>
      <w:r w:rsidR="009F5BA8" w:rsidRPr="004D2FF7">
        <w:rPr>
          <w:rFonts w:ascii="Times New Roman" w:hAnsi="Times New Roman" w:cs="Times New Roman"/>
          <w:color w:val="000000"/>
          <w:sz w:val="24"/>
          <w:szCs w:val="24"/>
          <w:lang w:val="ro-RO"/>
        </w:rPr>
        <w:t>deoarece</w:t>
      </w:r>
      <w:r w:rsidR="00F65D59" w:rsidRPr="004D2FF7">
        <w:rPr>
          <w:rFonts w:ascii="Times New Roman" w:hAnsi="Times New Roman" w:cs="Times New Roman"/>
          <w:color w:val="000000"/>
          <w:sz w:val="24"/>
          <w:szCs w:val="24"/>
          <w:lang w:val="ro-RO"/>
        </w:rPr>
        <w:t xml:space="preserve"> </w:t>
      </w:r>
      <w:r w:rsidR="00041E17" w:rsidRPr="004D2FF7">
        <w:rPr>
          <w:rFonts w:ascii="Times New Roman" w:hAnsi="Times New Roman" w:cs="Times New Roman"/>
          <w:color w:val="000000"/>
          <w:sz w:val="24"/>
          <w:szCs w:val="24"/>
          <w:lang w:val="ro-RO"/>
        </w:rPr>
        <w:t>în anii</w:t>
      </w:r>
      <w:r w:rsidR="00ED66F9" w:rsidRPr="004D2FF7">
        <w:rPr>
          <w:rFonts w:ascii="Times New Roman" w:hAnsi="Times New Roman" w:cs="Times New Roman"/>
          <w:color w:val="000000"/>
          <w:sz w:val="24"/>
          <w:szCs w:val="24"/>
          <w:lang w:val="ro-RO"/>
        </w:rPr>
        <w:t xml:space="preserve"> </w:t>
      </w:r>
      <w:r w:rsidR="00F65D59" w:rsidRPr="004D2FF7">
        <w:rPr>
          <w:rFonts w:ascii="Times New Roman" w:hAnsi="Times New Roman" w:cs="Times New Roman"/>
          <w:color w:val="000000"/>
          <w:sz w:val="24"/>
          <w:szCs w:val="24"/>
          <w:lang w:val="ro-RO"/>
        </w:rPr>
        <w:t>2018</w:t>
      </w:r>
      <w:r w:rsidR="00041E17" w:rsidRPr="004D2FF7">
        <w:rPr>
          <w:rFonts w:ascii="Times New Roman" w:hAnsi="Times New Roman" w:cs="Times New Roman"/>
          <w:color w:val="000000"/>
          <w:sz w:val="24"/>
          <w:szCs w:val="24"/>
          <w:lang w:val="ro-RO"/>
        </w:rPr>
        <w:t>-</w:t>
      </w:r>
      <w:r w:rsidR="00D459ED" w:rsidRPr="004D2FF7">
        <w:rPr>
          <w:rFonts w:ascii="Times New Roman" w:hAnsi="Times New Roman" w:cs="Times New Roman"/>
          <w:color w:val="000000"/>
          <w:sz w:val="24"/>
          <w:szCs w:val="24"/>
          <w:lang w:val="ro-RO"/>
        </w:rPr>
        <w:t>2</w:t>
      </w:r>
      <w:r w:rsidR="00F65D59" w:rsidRPr="004D2FF7">
        <w:rPr>
          <w:rFonts w:ascii="Times New Roman" w:hAnsi="Times New Roman" w:cs="Times New Roman"/>
          <w:color w:val="000000"/>
          <w:sz w:val="24"/>
          <w:szCs w:val="24"/>
          <w:lang w:val="ro-RO"/>
        </w:rPr>
        <w:t>02</w:t>
      </w:r>
      <w:r w:rsidR="00041E17" w:rsidRPr="004D2FF7">
        <w:rPr>
          <w:rFonts w:ascii="Times New Roman" w:hAnsi="Times New Roman" w:cs="Times New Roman"/>
          <w:color w:val="000000"/>
          <w:sz w:val="24"/>
          <w:szCs w:val="24"/>
          <w:lang w:val="ro-RO"/>
        </w:rPr>
        <w:t>0</w:t>
      </w:r>
      <w:r w:rsidR="00F65D59" w:rsidRPr="004D2FF7">
        <w:rPr>
          <w:rFonts w:ascii="Times New Roman" w:hAnsi="Times New Roman" w:cs="Times New Roman"/>
          <w:color w:val="000000"/>
          <w:sz w:val="24"/>
          <w:szCs w:val="24"/>
          <w:lang w:val="ro-RO"/>
        </w:rPr>
        <w:t xml:space="preserve"> funcția</w:t>
      </w:r>
      <w:r w:rsidR="009F5BA8" w:rsidRPr="004D2FF7">
        <w:rPr>
          <w:rFonts w:ascii="Times New Roman" w:eastAsia="Times New Roman" w:hAnsi="Times New Roman" w:cs="Times New Roman"/>
          <w:color w:val="000000" w:themeColor="text1"/>
          <w:sz w:val="24"/>
          <w:szCs w:val="24"/>
        </w:rPr>
        <w:t xml:space="preserve"> de auditor intern</w:t>
      </w:r>
      <w:r w:rsidR="00F65D59" w:rsidRPr="004D2FF7">
        <w:rPr>
          <w:rFonts w:ascii="Times New Roman" w:hAnsi="Times New Roman" w:cs="Times New Roman"/>
          <w:color w:val="000000"/>
          <w:sz w:val="24"/>
          <w:szCs w:val="24"/>
          <w:lang w:val="ro-RO"/>
        </w:rPr>
        <w:t xml:space="preserve"> a fost vacantă</w:t>
      </w:r>
      <w:r w:rsidR="00B00C9A" w:rsidRPr="004D2FF7">
        <w:rPr>
          <w:rFonts w:ascii="Times New Roman" w:hAnsi="Times New Roman" w:cs="Times New Roman"/>
          <w:color w:val="000000"/>
          <w:sz w:val="24"/>
          <w:szCs w:val="24"/>
          <w:lang w:val="ro-RO"/>
        </w:rPr>
        <w:t>, în unele perioade fiind cumulată</w:t>
      </w:r>
      <w:r w:rsidR="002C06A4" w:rsidRPr="004D2FF7">
        <w:rPr>
          <w:rFonts w:ascii="Times New Roman" w:hAnsi="Times New Roman" w:cs="Times New Roman"/>
          <w:color w:val="000000"/>
          <w:sz w:val="24"/>
          <w:szCs w:val="24"/>
          <w:lang w:val="ro-RO"/>
        </w:rPr>
        <w:t xml:space="preserve"> neregulamentar</w:t>
      </w:r>
      <w:r w:rsidR="00F65D59" w:rsidRPr="004D2FF7">
        <w:rPr>
          <w:rFonts w:ascii="Times New Roman" w:hAnsi="Times New Roman" w:cs="Times New Roman"/>
          <w:color w:val="000000"/>
          <w:sz w:val="24"/>
          <w:szCs w:val="24"/>
          <w:lang w:val="ro-RO"/>
        </w:rPr>
        <w:t xml:space="preserve">. </w:t>
      </w:r>
      <w:r w:rsidR="00F65D59" w:rsidRPr="004D2FF7">
        <w:rPr>
          <w:rFonts w:ascii="Times New Roman" w:hAnsi="Times New Roman" w:cs="Times New Roman"/>
          <w:bCs/>
          <w:sz w:val="24"/>
          <w:szCs w:val="24"/>
          <w:lang w:val="ro-RO" w:eastAsia="ru-RU"/>
        </w:rPr>
        <w:t>Planificarea tematicii misiunilor de audit intern este discutată și convenită cu conducerea CNPDCP înainte de elaborarea Planului anual de activitate, reieșind din cerințele legale și riscurile identificate.</w:t>
      </w:r>
      <w:r w:rsidR="00022F74" w:rsidRPr="004D2FF7">
        <w:rPr>
          <w:rFonts w:ascii="Times New Roman" w:hAnsi="Times New Roman" w:cs="Times New Roman"/>
          <w:bCs/>
          <w:sz w:val="24"/>
          <w:szCs w:val="24"/>
          <w:lang w:val="ro-RO" w:eastAsia="ru-RU"/>
        </w:rPr>
        <w:t xml:space="preserve"> În perioada 2021-2022 au fost desfășurate 4 misiuni de audit</w:t>
      </w:r>
      <w:r w:rsidR="00977515">
        <w:rPr>
          <w:rFonts w:ascii="Times New Roman" w:hAnsi="Times New Roman" w:cs="Times New Roman"/>
          <w:bCs/>
          <w:sz w:val="24"/>
          <w:szCs w:val="24"/>
          <w:lang w:val="ro-RO" w:eastAsia="ru-RU"/>
        </w:rPr>
        <w:t>,</w:t>
      </w:r>
      <w:r w:rsidR="00022F74" w:rsidRPr="004D2FF7">
        <w:rPr>
          <w:rFonts w:ascii="Times New Roman" w:hAnsi="Times New Roman" w:cs="Times New Roman"/>
          <w:bCs/>
          <w:sz w:val="24"/>
          <w:szCs w:val="24"/>
          <w:lang w:val="ro-RO" w:eastAsia="ru-RU"/>
        </w:rPr>
        <w:t xml:space="preserve"> fiind înaintate 15 recomandări</w:t>
      </w:r>
      <w:r w:rsidR="007C7041" w:rsidRPr="004D2FF7">
        <w:rPr>
          <w:rFonts w:ascii="Times New Roman" w:hAnsi="Times New Roman" w:cs="Times New Roman"/>
          <w:bCs/>
          <w:sz w:val="24"/>
          <w:szCs w:val="24"/>
          <w:lang w:val="ro-RO" w:eastAsia="ru-RU"/>
        </w:rPr>
        <w:t>, majoritatea fiind implementate</w:t>
      </w:r>
      <w:r w:rsidR="00022F74" w:rsidRPr="004D2FF7">
        <w:rPr>
          <w:rFonts w:ascii="Times New Roman" w:hAnsi="Times New Roman" w:cs="Times New Roman"/>
          <w:bCs/>
          <w:sz w:val="24"/>
          <w:szCs w:val="24"/>
          <w:lang w:val="ro-RO" w:eastAsia="ru-RU"/>
        </w:rPr>
        <w:t>.</w:t>
      </w:r>
      <w:r w:rsidR="00F1609A" w:rsidRPr="004D2FF7">
        <w:rPr>
          <w:rFonts w:ascii="Times New Roman" w:hAnsi="Times New Roman" w:cs="Times New Roman"/>
          <w:bCs/>
          <w:sz w:val="24"/>
          <w:szCs w:val="24"/>
          <w:lang w:val="ro-RO" w:eastAsia="ru-RU"/>
        </w:rPr>
        <w:t xml:space="preserve"> </w:t>
      </w:r>
      <w:r w:rsidR="00966DA6" w:rsidRPr="004D2FF7">
        <w:rPr>
          <w:rFonts w:ascii="Times New Roman" w:hAnsi="Times New Roman" w:cs="Times New Roman"/>
          <w:bCs/>
          <w:sz w:val="24"/>
          <w:szCs w:val="24"/>
          <w:lang w:val="ro-RO" w:eastAsia="ru-RU"/>
        </w:rPr>
        <w:t xml:space="preserve">Potrivit rapoartelor cu privire la </w:t>
      </w:r>
      <w:r w:rsidR="00966DA6" w:rsidRPr="004D2FF7">
        <w:rPr>
          <w:rFonts w:ascii="Times New Roman" w:hAnsi="Times New Roman" w:cs="Times New Roman"/>
          <w:bCs/>
          <w:sz w:val="24"/>
          <w:szCs w:val="24"/>
          <w:lang w:val="ro-RO" w:eastAsia="ru-RU"/>
        </w:rPr>
        <w:lastRenderedPageBreak/>
        <w:t>activitatea de audit intern pe anii 2021-2022 prezentate Ministerului Finanțelor, a</w:t>
      </w:r>
      <w:r w:rsidR="00F1609A" w:rsidRPr="004D2FF7">
        <w:rPr>
          <w:rFonts w:ascii="Times New Roman" w:hAnsi="Times New Roman" w:cs="Times New Roman"/>
          <w:noProof/>
          <w:sz w:val="24"/>
          <w:szCs w:val="24"/>
        </w:rPr>
        <w:t>uditorul intern din cadrul entității nu a fost certificat</w:t>
      </w:r>
      <w:r w:rsidR="007817E1" w:rsidRPr="004D2FF7">
        <w:rPr>
          <w:rStyle w:val="FootnoteReference"/>
          <w:rFonts w:ascii="Times New Roman" w:hAnsi="Times New Roman" w:cs="Times New Roman"/>
          <w:noProof/>
          <w:sz w:val="24"/>
          <w:szCs w:val="24"/>
        </w:rPr>
        <w:footnoteReference w:id="168"/>
      </w:r>
      <w:r w:rsidR="00F1609A" w:rsidRPr="004D2FF7">
        <w:rPr>
          <w:rFonts w:ascii="Times New Roman" w:hAnsi="Times New Roman" w:cs="Times New Roman"/>
          <w:noProof/>
          <w:sz w:val="24"/>
          <w:szCs w:val="24"/>
        </w:rPr>
        <w:t xml:space="preserve"> cel pu</w:t>
      </w:r>
      <w:r w:rsidR="00977515">
        <w:rPr>
          <w:rFonts w:ascii="Times New Roman" w:hAnsi="Times New Roman" w:cs="Times New Roman"/>
          <w:noProof/>
          <w:sz w:val="24"/>
          <w:szCs w:val="24"/>
        </w:rPr>
        <w:t>ț</w:t>
      </w:r>
      <w:r w:rsidR="00F1609A" w:rsidRPr="004D2FF7">
        <w:rPr>
          <w:rFonts w:ascii="Times New Roman" w:hAnsi="Times New Roman" w:cs="Times New Roman"/>
          <w:noProof/>
          <w:sz w:val="24"/>
          <w:szCs w:val="24"/>
        </w:rPr>
        <w:t>in la nivelul de bază.</w:t>
      </w:r>
    </w:p>
    <w:p w14:paraId="53F3C339" w14:textId="7633AC87" w:rsidR="0067775B" w:rsidRPr="0067775B" w:rsidRDefault="0067775B" w:rsidP="0067775B">
      <w:pPr>
        <w:spacing w:before="100" w:beforeAutospacing="1" w:after="100" w:afterAutospacing="1" w:line="276" w:lineRule="auto"/>
        <w:jc w:val="both"/>
        <w:rPr>
          <w:rFonts w:ascii="Times New Roman" w:hAnsi="Times New Roman" w:cs="Times New Roman"/>
          <w:sz w:val="24"/>
          <w:szCs w:val="24"/>
          <w:lang w:val="ro-RO"/>
        </w:rPr>
      </w:pPr>
      <w:r w:rsidRPr="0067775B">
        <w:rPr>
          <w:rFonts w:ascii="Times New Roman" w:hAnsi="Times New Roman" w:cs="Times New Roman"/>
          <w:sz w:val="24"/>
          <w:szCs w:val="24"/>
          <w:lang w:val="ro-RO"/>
        </w:rPr>
        <w:t>În cadrul misiunilor de audit precedente</w:t>
      </w:r>
      <w:r w:rsidRPr="0067775B">
        <w:rPr>
          <w:rStyle w:val="FootnoteReference"/>
          <w:rFonts w:ascii="Times New Roman" w:hAnsi="Times New Roman" w:cs="Times New Roman"/>
          <w:sz w:val="24"/>
          <w:szCs w:val="24"/>
          <w:lang w:val="ro-RO"/>
        </w:rPr>
        <w:footnoteReference w:id="169"/>
      </w:r>
      <w:r w:rsidR="00977515">
        <w:rPr>
          <w:rFonts w:ascii="Times New Roman" w:hAnsi="Times New Roman" w:cs="Times New Roman"/>
          <w:sz w:val="24"/>
          <w:szCs w:val="24"/>
          <w:lang w:val="ro-RO"/>
        </w:rPr>
        <w:t>,</w:t>
      </w:r>
      <w:r w:rsidRPr="0067775B">
        <w:rPr>
          <w:rFonts w:ascii="Times New Roman" w:hAnsi="Times New Roman" w:cs="Times New Roman"/>
          <w:sz w:val="24"/>
          <w:szCs w:val="24"/>
          <w:lang w:val="ro-RO"/>
        </w:rPr>
        <w:t xml:space="preserve"> Curtea de Conturi a evidențiat necesitatea întreprinderi</w:t>
      </w:r>
      <w:r w:rsidR="00977515">
        <w:rPr>
          <w:rFonts w:ascii="Times New Roman" w:hAnsi="Times New Roman" w:cs="Times New Roman"/>
          <w:sz w:val="24"/>
          <w:szCs w:val="24"/>
          <w:lang w:val="ro-RO"/>
        </w:rPr>
        <w:t>i</w:t>
      </w:r>
      <w:r w:rsidRPr="0067775B">
        <w:rPr>
          <w:rFonts w:ascii="Times New Roman" w:hAnsi="Times New Roman" w:cs="Times New Roman"/>
          <w:sz w:val="24"/>
          <w:szCs w:val="24"/>
          <w:lang w:val="ro-RO"/>
        </w:rPr>
        <w:t xml:space="preserve"> măsurilor în vederea racordării cadrului național în domeniu</w:t>
      </w:r>
      <w:r w:rsidR="00977515">
        <w:rPr>
          <w:rFonts w:ascii="Times New Roman" w:hAnsi="Times New Roman" w:cs="Times New Roman"/>
          <w:sz w:val="24"/>
          <w:szCs w:val="24"/>
          <w:lang w:val="ro-RO"/>
        </w:rPr>
        <w:t>l</w:t>
      </w:r>
      <w:r w:rsidRPr="0067775B">
        <w:rPr>
          <w:rFonts w:ascii="Times New Roman" w:hAnsi="Times New Roman" w:cs="Times New Roman"/>
          <w:sz w:val="24"/>
          <w:szCs w:val="24"/>
          <w:lang w:val="ro-RO"/>
        </w:rPr>
        <w:t xml:space="preserve"> protecției datelor cu caracter personal la Directivele UE, fapt care nu a fost realizat până la momentul </w:t>
      </w:r>
      <w:r w:rsidR="00586699">
        <w:rPr>
          <w:rFonts w:ascii="Times New Roman" w:hAnsi="Times New Roman" w:cs="Times New Roman"/>
          <w:sz w:val="24"/>
          <w:szCs w:val="24"/>
          <w:lang w:val="ro-RO"/>
        </w:rPr>
        <w:t>executării</w:t>
      </w:r>
      <w:r w:rsidRPr="0067775B">
        <w:rPr>
          <w:rFonts w:ascii="Times New Roman" w:hAnsi="Times New Roman" w:cs="Times New Roman"/>
          <w:sz w:val="24"/>
          <w:szCs w:val="24"/>
          <w:lang w:val="ro-RO"/>
        </w:rPr>
        <w:t xml:space="preserve"> misiuni</w:t>
      </w:r>
      <w:r w:rsidR="00665A1B">
        <w:rPr>
          <w:rFonts w:ascii="Times New Roman" w:hAnsi="Times New Roman" w:cs="Times New Roman"/>
          <w:sz w:val="24"/>
          <w:szCs w:val="24"/>
          <w:lang w:val="ro-RO"/>
        </w:rPr>
        <w:t>i</w:t>
      </w:r>
      <w:r w:rsidRPr="0067775B">
        <w:rPr>
          <w:rFonts w:ascii="Times New Roman" w:hAnsi="Times New Roman" w:cs="Times New Roman"/>
          <w:sz w:val="24"/>
          <w:szCs w:val="24"/>
          <w:lang w:val="ro-RO"/>
        </w:rPr>
        <w:t xml:space="preserve"> de audit</w:t>
      </w:r>
      <w:r w:rsidR="00665A1B">
        <w:rPr>
          <w:rFonts w:ascii="Times New Roman" w:hAnsi="Times New Roman" w:cs="Times New Roman"/>
          <w:sz w:val="24"/>
          <w:szCs w:val="24"/>
          <w:lang w:val="ro-RO"/>
        </w:rPr>
        <w:t>, fiind astfel reiterate prin reformulare în prezentul Raport de audit</w:t>
      </w:r>
      <w:r w:rsidRPr="0067775B">
        <w:rPr>
          <w:rFonts w:ascii="Times New Roman" w:hAnsi="Times New Roman" w:cs="Times New Roman"/>
          <w:sz w:val="24"/>
          <w:szCs w:val="24"/>
          <w:lang w:val="ro-RO"/>
        </w:rPr>
        <w:t>.</w:t>
      </w:r>
    </w:p>
    <w:p w14:paraId="49954A88" w14:textId="77777777" w:rsidR="00022F74" w:rsidRDefault="00511752" w:rsidP="007817E1">
      <w:pPr>
        <w:spacing w:after="120" w:line="276" w:lineRule="auto"/>
        <w:jc w:val="both"/>
        <w:rPr>
          <w:rFonts w:ascii="Times New Roman" w:hAnsi="Times New Roman" w:cs="Times New Roman"/>
          <w:i/>
          <w:noProof/>
          <w:sz w:val="24"/>
          <w:szCs w:val="24"/>
        </w:rPr>
      </w:pPr>
      <w:r w:rsidRPr="004D2FF7">
        <w:rPr>
          <w:rFonts w:ascii="Times New Roman" w:hAnsi="Times New Roman" w:cs="Times New Roman"/>
          <w:i/>
          <w:noProof/>
          <w:sz w:val="24"/>
          <w:szCs w:val="24"/>
        </w:rPr>
        <w:t>Potrivit explicațiilor</w:t>
      </w:r>
      <w:r w:rsidR="00EF1626">
        <w:rPr>
          <w:rFonts w:ascii="Times New Roman" w:hAnsi="Times New Roman" w:cs="Times New Roman"/>
          <w:i/>
          <w:noProof/>
          <w:sz w:val="24"/>
          <w:szCs w:val="24"/>
        </w:rPr>
        <w:t>,</w:t>
      </w:r>
      <w:r w:rsidRPr="004D2FF7">
        <w:rPr>
          <w:rFonts w:ascii="Times New Roman" w:hAnsi="Times New Roman" w:cs="Times New Roman"/>
          <w:i/>
          <w:noProof/>
          <w:sz w:val="24"/>
          <w:szCs w:val="24"/>
        </w:rPr>
        <w:t xml:space="preserve"> CNPDCP </w:t>
      </w:r>
      <w:r w:rsidR="007E4B7B" w:rsidRPr="004D2FF7">
        <w:rPr>
          <w:rFonts w:ascii="Times New Roman" w:hAnsi="Times New Roman" w:cs="Times New Roman"/>
          <w:i/>
          <w:noProof/>
          <w:sz w:val="24"/>
          <w:szCs w:val="24"/>
        </w:rPr>
        <w:t xml:space="preserve">menționează că </w:t>
      </w:r>
      <w:r w:rsidRPr="004D2FF7">
        <w:rPr>
          <w:rFonts w:ascii="Times New Roman" w:hAnsi="Times New Roman" w:cs="Times New Roman"/>
          <w:i/>
          <w:noProof/>
          <w:sz w:val="24"/>
          <w:szCs w:val="24"/>
        </w:rPr>
        <w:t xml:space="preserve">va acorda o atenție sporită </w:t>
      </w:r>
      <w:r w:rsidRPr="004D2FF7">
        <w:rPr>
          <w:rFonts w:ascii="Times New Roman" w:hAnsi="Times New Roman" w:cs="Times New Roman"/>
          <w:i/>
          <w:noProof/>
          <w:color w:val="000000"/>
          <w:sz w:val="24"/>
          <w:szCs w:val="24"/>
          <w:lang w:val="ro-RO"/>
        </w:rPr>
        <w:t>i</w:t>
      </w:r>
      <w:r w:rsidRPr="004D2FF7">
        <w:rPr>
          <w:rFonts w:ascii="Times New Roman" w:hAnsi="Times New Roman" w:cs="Times New Roman"/>
          <w:i/>
          <w:noProof/>
          <w:sz w:val="24"/>
          <w:szCs w:val="24"/>
          <w:lang w:val="ro-RO"/>
        </w:rPr>
        <w:t>mplementării sistemului de control intern managerial</w:t>
      </w:r>
      <w:r w:rsidRPr="004D2FF7">
        <w:rPr>
          <w:rFonts w:ascii="Times New Roman" w:hAnsi="Times New Roman" w:cs="Times New Roman"/>
          <w:i/>
          <w:noProof/>
          <w:sz w:val="24"/>
          <w:szCs w:val="24"/>
        </w:rPr>
        <w:t>.</w:t>
      </w:r>
    </w:p>
    <w:p w14:paraId="7F5921AA" w14:textId="77777777" w:rsidR="00586699" w:rsidRPr="004D2FF7" w:rsidRDefault="00586699" w:rsidP="007817E1">
      <w:pPr>
        <w:spacing w:after="120" w:line="276" w:lineRule="auto"/>
        <w:jc w:val="both"/>
        <w:rPr>
          <w:rFonts w:ascii="Times New Roman" w:eastAsia="Times New Roman" w:hAnsi="Times New Roman" w:cs="Times New Roman"/>
          <w:i/>
          <w:color w:val="000000" w:themeColor="text1"/>
          <w:sz w:val="24"/>
          <w:szCs w:val="24"/>
        </w:rPr>
      </w:pPr>
    </w:p>
    <w:p w14:paraId="196D63EE" w14:textId="77777777" w:rsidR="006049D5" w:rsidRPr="004D2FF7" w:rsidRDefault="00652A5E" w:rsidP="00ED5A00">
      <w:pPr>
        <w:pStyle w:val="Heading1"/>
        <w:numPr>
          <w:ilvl w:val="0"/>
          <w:numId w:val="11"/>
        </w:numPr>
        <w:tabs>
          <w:tab w:val="left" w:pos="3600"/>
          <w:tab w:val="left" w:pos="3780"/>
        </w:tabs>
        <w:spacing w:before="0" w:after="120" w:line="276" w:lineRule="auto"/>
        <w:ind w:left="142" w:firstLine="0"/>
        <w:rPr>
          <w:rFonts w:ascii="Times New Roman" w:hAnsi="Times New Roman" w:cs="Times New Roman"/>
          <w:b/>
          <w:color w:val="auto"/>
          <w:sz w:val="24"/>
          <w:szCs w:val="24"/>
        </w:rPr>
      </w:pPr>
      <w:r w:rsidRPr="004D2FF7">
        <w:rPr>
          <w:rFonts w:ascii="Times New Roman" w:hAnsi="Times New Roman" w:cs="Times New Roman"/>
          <w:b/>
          <w:color w:val="auto"/>
          <w:sz w:val="24"/>
          <w:szCs w:val="24"/>
        </w:rPr>
        <w:t xml:space="preserve"> </w:t>
      </w:r>
      <w:bookmarkStart w:id="40" w:name="_Toc157776102"/>
      <w:r w:rsidR="006049D5" w:rsidRPr="004D2FF7">
        <w:rPr>
          <w:rFonts w:ascii="Times New Roman" w:hAnsi="Times New Roman" w:cs="Times New Roman"/>
          <w:b/>
          <w:color w:val="auto"/>
          <w:sz w:val="24"/>
          <w:szCs w:val="24"/>
        </w:rPr>
        <w:t>CONCLUZIA GENERALĂ</w:t>
      </w:r>
      <w:bookmarkEnd w:id="40"/>
    </w:p>
    <w:p w14:paraId="149F6DF7" w14:textId="77777777" w:rsidR="00BA76F2" w:rsidRPr="00BA76F2" w:rsidRDefault="00BA76F2" w:rsidP="00BA76F2">
      <w:pPr>
        <w:spacing w:after="0" w:line="276" w:lineRule="auto"/>
        <w:jc w:val="both"/>
        <w:rPr>
          <w:rFonts w:ascii="Times New Roman" w:hAnsi="Times New Roman" w:cs="Times New Roman"/>
          <w:sz w:val="24"/>
          <w:szCs w:val="24"/>
        </w:rPr>
      </w:pPr>
      <w:r w:rsidRPr="00BA76F2">
        <w:rPr>
          <w:rFonts w:ascii="Times New Roman" w:hAnsi="Times New Roman" w:cs="Times New Roman"/>
          <w:sz w:val="24"/>
          <w:szCs w:val="24"/>
        </w:rPr>
        <w:t>Ca rezultat al auditului efectuat cu privire la faptul dacă resursele financiare și patrimoniul public administrate de CNPDCP au fost gestionate în corespundere cu reglementările emise, identificate drept criterii de contrapunere, s-a concluzionat că unele activități, procese și proceduri, precum și tranzacții, inclusiv cu impact financiar, realizate în anii</w:t>
      </w:r>
      <w:r>
        <w:rPr>
          <w:rFonts w:ascii="Times New Roman" w:hAnsi="Times New Roman" w:cs="Times New Roman"/>
          <w:sz w:val="24"/>
          <w:szCs w:val="24"/>
        </w:rPr>
        <w:t xml:space="preserve"> </w:t>
      </w:r>
      <w:r w:rsidRPr="00BA76F2">
        <w:rPr>
          <w:rFonts w:ascii="Times New Roman" w:hAnsi="Times New Roman" w:cs="Times New Roman"/>
          <w:sz w:val="24"/>
          <w:szCs w:val="24"/>
        </w:rPr>
        <w:t>2018-2022, nu au întrunit în totalitate criteriile de conformitate care guvernează această entitate.</w:t>
      </w:r>
    </w:p>
    <w:p w14:paraId="434A61AA" w14:textId="376EA3C4" w:rsidR="00BA76F2" w:rsidRPr="00BA76F2" w:rsidRDefault="00BA76F2" w:rsidP="00BA76F2">
      <w:pPr>
        <w:spacing w:after="0" w:line="276" w:lineRule="auto"/>
        <w:jc w:val="both"/>
        <w:rPr>
          <w:rFonts w:ascii="Times New Roman" w:hAnsi="Times New Roman" w:cs="Times New Roman"/>
          <w:sz w:val="24"/>
          <w:szCs w:val="24"/>
        </w:rPr>
      </w:pPr>
      <w:r w:rsidRPr="00BA76F2">
        <w:rPr>
          <w:rFonts w:ascii="Times New Roman" w:hAnsi="Times New Roman" w:cs="Times New Roman"/>
          <w:sz w:val="24"/>
          <w:szCs w:val="24"/>
        </w:rPr>
        <w:t xml:space="preserve">Concluzia auditului se bazează pe aspectele care, ulterior evaluării probelor obținute și efectelor neconformităților identificate prin prisma factorilor cantitativi și calitativi ai materialității, au fost </w:t>
      </w:r>
      <w:r w:rsidR="00977515">
        <w:rPr>
          <w:rFonts w:ascii="Times New Roman" w:hAnsi="Times New Roman" w:cs="Times New Roman"/>
          <w:sz w:val="24"/>
          <w:szCs w:val="24"/>
        </w:rPr>
        <w:t>calificate</w:t>
      </w:r>
      <w:r w:rsidR="00977515" w:rsidRPr="00BA76F2">
        <w:rPr>
          <w:rFonts w:ascii="Times New Roman" w:hAnsi="Times New Roman" w:cs="Times New Roman"/>
          <w:sz w:val="24"/>
          <w:szCs w:val="24"/>
        </w:rPr>
        <w:t xml:space="preserve"> </w:t>
      </w:r>
      <w:r w:rsidRPr="00BA76F2">
        <w:rPr>
          <w:rFonts w:ascii="Times New Roman" w:hAnsi="Times New Roman" w:cs="Times New Roman"/>
          <w:sz w:val="24"/>
          <w:szCs w:val="24"/>
        </w:rPr>
        <w:t>ca semnificative și capabile să influențeze deciziile utilizatorilor vizați</w:t>
      </w:r>
      <w:r w:rsidR="00977515">
        <w:rPr>
          <w:rFonts w:ascii="Times New Roman" w:hAnsi="Times New Roman" w:cs="Times New Roman"/>
          <w:sz w:val="24"/>
          <w:szCs w:val="24"/>
        </w:rPr>
        <w:t>,</w:t>
      </w:r>
      <w:r w:rsidR="00E245AF">
        <w:rPr>
          <w:rFonts w:ascii="Times New Roman" w:hAnsi="Times New Roman" w:cs="Times New Roman"/>
          <w:sz w:val="24"/>
          <w:szCs w:val="24"/>
        </w:rPr>
        <w:t xml:space="preserve"> fiind menționat</w:t>
      </w:r>
      <w:r w:rsidR="00977515">
        <w:rPr>
          <w:rFonts w:ascii="Times New Roman" w:hAnsi="Times New Roman" w:cs="Times New Roman"/>
          <w:sz w:val="24"/>
          <w:szCs w:val="24"/>
        </w:rPr>
        <w:t>e</w:t>
      </w:r>
      <w:r w:rsidR="00E245AF">
        <w:rPr>
          <w:rFonts w:ascii="Times New Roman" w:hAnsi="Times New Roman" w:cs="Times New Roman"/>
          <w:sz w:val="24"/>
          <w:szCs w:val="24"/>
        </w:rPr>
        <w:t xml:space="preserve"> următoarele:</w:t>
      </w:r>
      <w:r w:rsidRPr="00BA76F2">
        <w:rPr>
          <w:rFonts w:ascii="Times New Roman" w:hAnsi="Times New Roman" w:cs="Times New Roman"/>
          <w:sz w:val="24"/>
          <w:szCs w:val="24"/>
        </w:rPr>
        <w:t xml:space="preserve"> </w:t>
      </w:r>
    </w:p>
    <w:p w14:paraId="179194CC" w14:textId="0C8C44A4" w:rsidR="0096780E" w:rsidRPr="005D3E11" w:rsidRDefault="0096780E" w:rsidP="00E245AF">
      <w:pPr>
        <w:pStyle w:val="ListParagraph"/>
        <w:widowControl w:val="0"/>
        <w:numPr>
          <w:ilvl w:val="0"/>
          <w:numId w:val="35"/>
        </w:numPr>
        <w:tabs>
          <w:tab w:val="left" w:pos="747"/>
        </w:tabs>
        <w:spacing w:after="120" w:line="276" w:lineRule="auto"/>
        <w:ind w:left="0" w:firstLine="360"/>
        <w:jc w:val="both"/>
        <w:rPr>
          <w:rFonts w:ascii="Times New Roman" w:hAnsi="Times New Roman" w:cs="Times New Roman"/>
          <w:sz w:val="24"/>
          <w:szCs w:val="24"/>
        </w:rPr>
      </w:pPr>
      <w:r w:rsidRPr="0033281D">
        <w:rPr>
          <w:rFonts w:ascii="Times New Roman" w:hAnsi="Times New Roman" w:cs="Times New Roman"/>
          <w:sz w:val="24"/>
          <w:szCs w:val="24"/>
          <w:lang w:eastAsia="ro-RO" w:bidi="ro-RO"/>
        </w:rPr>
        <w:t>conformitatea elaborării bugetului instituției potrivit regulilor și procedurilor bugetar-fiscale prestabilite</w:t>
      </w:r>
      <w:r w:rsidR="00E245AF">
        <w:rPr>
          <w:rFonts w:ascii="Times New Roman" w:hAnsi="Times New Roman" w:cs="Times New Roman"/>
          <w:sz w:val="24"/>
          <w:szCs w:val="24"/>
          <w:lang w:eastAsia="ro-RO" w:bidi="ro-RO"/>
        </w:rPr>
        <w:t xml:space="preserve"> a</w:t>
      </w:r>
      <w:r w:rsidRPr="0033281D">
        <w:rPr>
          <w:rFonts w:ascii="Times New Roman" w:hAnsi="Times New Roman" w:cs="Times New Roman"/>
          <w:sz w:val="24"/>
          <w:szCs w:val="24"/>
        </w:rPr>
        <w:t xml:space="preserve"> fost afectată de consecințele: i) neinstituirii unui proces pe deplin funcțional aferent elaborării anuale a proiectului de buget</w:t>
      </w:r>
      <w:r w:rsidRPr="0033281D">
        <w:rPr>
          <w:rFonts w:ascii="Times New Roman" w:hAnsi="Times New Roman" w:cs="Times New Roman"/>
          <w:i/>
          <w:noProof/>
          <w:sz w:val="24"/>
          <w:szCs w:val="24"/>
        </w:rPr>
        <w:t xml:space="preserve"> </w:t>
      </w:r>
      <w:r w:rsidRPr="0033281D">
        <w:rPr>
          <w:rFonts w:ascii="Times New Roman" w:hAnsi="Times New Roman" w:cs="Times New Roman"/>
          <w:noProof/>
          <w:sz w:val="24"/>
          <w:szCs w:val="24"/>
        </w:rPr>
        <w:t xml:space="preserve">reieșind din necesitățile reale, </w:t>
      </w:r>
      <w:r w:rsidR="0033281D" w:rsidRPr="0033281D">
        <w:rPr>
          <w:rFonts w:ascii="Times New Roman" w:hAnsi="Times New Roman" w:cs="Times New Roman"/>
          <w:sz w:val="24"/>
          <w:szCs w:val="24"/>
        </w:rPr>
        <w:t>fiind atestată o planificare a bugetelor anuale cu surplusuri de mijloace bugetare incluse neargumentat la unele subclase de cheltuieli</w:t>
      </w:r>
      <w:r w:rsidRPr="0033281D">
        <w:rPr>
          <w:rFonts w:ascii="Times New Roman" w:hAnsi="Times New Roman" w:cs="Times New Roman"/>
          <w:sz w:val="24"/>
          <w:szCs w:val="24"/>
        </w:rPr>
        <w:t>;</w:t>
      </w:r>
      <w:r w:rsidR="00684D4E" w:rsidRPr="0033281D">
        <w:rPr>
          <w:rFonts w:ascii="Times New Roman" w:hAnsi="Times New Roman" w:cs="Times New Roman"/>
          <w:sz w:val="24"/>
          <w:szCs w:val="24"/>
        </w:rPr>
        <w:t xml:space="preserve"> ii)</w:t>
      </w:r>
      <w:r w:rsidR="005811E3" w:rsidRPr="0033281D">
        <w:rPr>
          <w:rFonts w:ascii="Times New Roman" w:hAnsi="Times New Roman" w:cs="Times New Roman"/>
          <w:sz w:val="24"/>
          <w:szCs w:val="24"/>
        </w:rPr>
        <w:t xml:space="preserve"> </w:t>
      </w:r>
      <w:r w:rsidR="00B46ADA" w:rsidRPr="0033281D">
        <w:rPr>
          <w:rFonts w:ascii="Times New Roman" w:hAnsi="Times New Roman" w:cs="Times New Roman"/>
          <w:sz w:val="24"/>
          <w:szCs w:val="24"/>
        </w:rPr>
        <w:t>neprioritizării corespunzăto</w:t>
      </w:r>
      <w:r w:rsidR="00977515">
        <w:rPr>
          <w:rFonts w:ascii="Times New Roman" w:hAnsi="Times New Roman" w:cs="Times New Roman"/>
          <w:sz w:val="24"/>
          <w:szCs w:val="24"/>
        </w:rPr>
        <w:t>a</w:t>
      </w:r>
      <w:r w:rsidR="00B46ADA" w:rsidRPr="0033281D">
        <w:rPr>
          <w:rFonts w:ascii="Times New Roman" w:hAnsi="Times New Roman" w:cs="Times New Roman"/>
          <w:sz w:val="24"/>
          <w:szCs w:val="24"/>
        </w:rPr>
        <w:t>r</w:t>
      </w:r>
      <w:r w:rsidR="00977515">
        <w:rPr>
          <w:rFonts w:ascii="Times New Roman" w:hAnsi="Times New Roman" w:cs="Times New Roman"/>
          <w:sz w:val="24"/>
          <w:szCs w:val="24"/>
        </w:rPr>
        <w:t>e</w:t>
      </w:r>
      <w:r w:rsidR="00B46ADA" w:rsidRPr="0033281D">
        <w:rPr>
          <w:rFonts w:ascii="Times New Roman" w:hAnsi="Times New Roman" w:cs="Times New Roman"/>
          <w:sz w:val="24"/>
          <w:szCs w:val="24"/>
        </w:rPr>
        <w:t xml:space="preserve"> </w:t>
      </w:r>
      <w:r w:rsidR="00977515">
        <w:rPr>
          <w:rFonts w:ascii="Times New Roman" w:hAnsi="Times New Roman" w:cs="Times New Roman"/>
          <w:sz w:val="24"/>
          <w:szCs w:val="24"/>
        </w:rPr>
        <w:t xml:space="preserve">a </w:t>
      </w:r>
      <w:r w:rsidR="00B46ADA" w:rsidRPr="0033281D">
        <w:rPr>
          <w:rFonts w:ascii="Times New Roman" w:hAnsi="Times New Roman" w:cs="Times New Roman"/>
          <w:sz w:val="24"/>
          <w:szCs w:val="24"/>
        </w:rPr>
        <w:t xml:space="preserve">bugetării în bază de program al instituției a </w:t>
      </w:r>
      <w:r w:rsidR="005811E3" w:rsidRPr="0033281D">
        <w:rPr>
          <w:rFonts w:ascii="Times New Roman" w:hAnsi="Times New Roman" w:cs="Times New Roman"/>
          <w:sz w:val="24"/>
          <w:szCs w:val="24"/>
        </w:rPr>
        <w:t>setul</w:t>
      </w:r>
      <w:r w:rsidR="00B46ADA" w:rsidRPr="0033281D">
        <w:rPr>
          <w:rFonts w:ascii="Times New Roman" w:hAnsi="Times New Roman" w:cs="Times New Roman"/>
          <w:sz w:val="24"/>
          <w:szCs w:val="24"/>
        </w:rPr>
        <w:t>ui de</w:t>
      </w:r>
      <w:r w:rsidR="005811E3" w:rsidRPr="0033281D">
        <w:rPr>
          <w:rFonts w:ascii="Times New Roman" w:hAnsi="Times New Roman" w:cs="Times New Roman"/>
          <w:sz w:val="24"/>
          <w:szCs w:val="24"/>
        </w:rPr>
        <w:t xml:space="preserve"> indicatori de performanță</w:t>
      </w:r>
      <w:r w:rsidR="00B46ADA" w:rsidRPr="0033281D">
        <w:rPr>
          <w:rFonts w:ascii="Times New Roman" w:hAnsi="Times New Roman" w:cs="Times New Roman"/>
          <w:sz w:val="24"/>
          <w:szCs w:val="24"/>
        </w:rPr>
        <w:t>,</w:t>
      </w:r>
      <w:r w:rsidR="005811E3" w:rsidRPr="0033281D">
        <w:rPr>
          <w:rFonts w:ascii="Times New Roman" w:hAnsi="Times New Roman" w:cs="Times New Roman"/>
          <w:sz w:val="24"/>
          <w:szCs w:val="24"/>
        </w:rPr>
        <w:t xml:space="preserve"> </w:t>
      </w:r>
      <w:r w:rsidR="00B46ADA" w:rsidRPr="0033281D">
        <w:rPr>
          <w:rFonts w:ascii="Times New Roman" w:hAnsi="Times New Roman" w:cs="Times New Roman"/>
          <w:sz w:val="24"/>
          <w:szCs w:val="24"/>
        </w:rPr>
        <w:t>care</w:t>
      </w:r>
      <w:r w:rsidR="005811E3" w:rsidRPr="0033281D">
        <w:rPr>
          <w:rFonts w:ascii="Times New Roman" w:hAnsi="Times New Roman" w:cs="Times New Roman"/>
          <w:sz w:val="24"/>
          <w:szCs w:val="24"/>
        </w:rPr>
        <w:t xml:space="preserve"> nu oferă o viziune clară asupra activităților realizate, precum și o evoluție în dinamică a acestora; iii) </w:t>
      </w:r>
      <w:r w:rsidR="00E245AF" w:rsidRPr="00E245AF">
        <w:rPr>
          <w:rFonts w:ascii="Times New Roman" w:hAnsi="Times New Roman" w:cs="Times New Roman"/>
          <w:sz w:val="24"/>
          <w:szCs w:val="24"/>
          <w:lang w:val="ro-RO"/>
        </w:rPr>
        <w:t xml:space="preserve">neracordării </w:t>
      </w:r>
      <w:r w:rsidR="005811E3" w:rsidRPr="00E245AF">
        <w:rPr>
          <w:rFonts w:ascii="Times New Roman" w:hAnsi="Times New Roman" w:cs="Times New Roman"/>
          <w:sz w:val="24"/>
          <w:szCs w:val="24"/>
          <w:lang w:val="ro-RO"/>
        </w:rPr>
        <w:t>l</w:t>
      </w:r>
      <w:r w:rsidR="005811E3" w:rsidRPr="0033281D">
        <w:rPr>
          <w:rFonts w:ascii="Times New Roman" w:hAnsi="Times New Roman" w:cs="Times New Roman"/>
          <w:sz w:val="24"/>
          <w:szCs w:val="24"/>
          <w:lang w:val="ro-RO"/>
        </w:rPr>
        <w:t>egislați</w:t>
      </w:r>
      <w:r w:rsidR="00E245AF">
        <w:rPr>
          <w:rFonts w:ascii="Times New Roman" w:hAnsi="Times New Roman" w:cs="Times New Roman"/>
          <w:sz w:val="24"/>
          <w:szCs w:val="24"/>
          <w:lang w:val="ro-RO"/>
        </w:rPr>
        <w:t>ei</w:t>
      </w:r>
      <w:r w:rsidR="005811E3" w:rsidRPr="0033281D">
        <w:rPr>
          <w:rFonts w:ascii="Times New Roman" w:hAnsi="Times New Roman" w:cs="Times New Roman"/>
          <w:sz w:val="24"/>
          <w:szCs w:val="24"/>
          <w:lang w:val="ro-RO"/>
        </w:rPr>
        <w:t xml:space="preserve"> național</w:t>
      </w:r>
      <w:r w:rsidR="00E245AF">
        <w:rPr>
          <w:rFonts w:ascii="Times New Roman" w:hAnsi="Times New Roman" w:cs="Times New Roman"/>
          <w:sz w:val="24"/>
          <w:szCs w:val="24"/>
          <w:lang w:val="ro-RO"/>
        </w:rPr>
        <w:t>e</w:t>
      </w:r>
      <w:r w:rsidR="005811E3" w:rsidRPr="0033281D">
        <w:rPr>
          <w:rFonts w:ascii="Times New Roman" w:hAnsi="Times New Roman" w:cs="Times New Roman"/>
          <w:sz w:val="24"/>
          <w:szCs w:val="24"/>
          <w:lang w:val="ro-RO"/>
        </w:rPr>
        <w:t xml:space="preserve"> </w:t>
      </w:r>
      <w:r w:rsidR="005811E3" w:rsidRPr="0033281D">
        <w:rPr>
          <w:rFonts w:ascii="Times New Roman" w:hAnsi="Times New Roman" w:cs="Times New Roman"/>
          <w:bCs/>
          <w:sz w:val="24"/>
          <w:szCs w:val="24"/>
          <w:lang w:val="ro-RO"/>
        </w:rPr>
        <w:t>privind protecția datelor cu caracter personal</w:t>
      </w:r>
      <w:r w:rsidR="00E245AF">
        <w:rPr>
          <w:rFonts w:ascii="Times New Roman" w:hAnsi="Times New Roman" w:cs="Times New Roman"/>
          <w:bCs/>
          <w:sz w:val="24"/>
          <w:szCs w:val="24"/>
          <w:lang w:val="ro-RO"/>
        </w:rPr>
        <w:t xml:space="preserve"> la prevederile legislației comunitare (UE);</w:t>
      </w:r>
      <w:r w:rsidR="005D3E11">
        <w:rPr>
          <w:rFonts w:ascii="Times New Roman" w:eastAsia="Times New Roman" w:hAnsi="Times New Roman" w:cs="Times New Roman"/>
          <w:sz w:val="24"/>
          <w:szCs w:val="24"/>
          <w:lang w:val="ro-RO"/>
        </w:rPr>
        <w:t xml:space="preserve"> </w:t>
      </w:r>
      <w:r w:rsidR="00E245AF">
        <w:rPr>
          <w:rFonts w:ascii="Times New Roman" w:eastAsia="Times New Roman" w:hAnsi="Times New Roman" w:cs="Times New Roman"/>
          <w:sz w:val="24"/>
          <w:szCs w:val="24"/>
          <w:lang w:val="ro-RO"/>
        </w:rPr>
        <w:t>i</w:t>
      </w:r>
      <w:r w:rsidR="005D3E11" w:rsidRPr="0033281D">
        <w:rPr>
          <w:rFonts w:ascii="Times New Roman" w:hAnsi="Times New Roman" w:cs="Times New Roman"/>
          <w:sz w:val="24"/>
          <w:szCs w:val="24"/>
        </w:rPr>
        <w:t>v)</w:t>
      </w:r>
      <w:r w:rsidR="005D3E11" w:rsidRPr="0033281D">
        <w:rPr>
          <w:rFonts w:ascii="Times New Roman" w:hAnsi="Times New Roman" w:cs="Times New Roman"/>
          <w:i/>
          <w:sz w:val="24"/>
          <w:szCs w:val="24"/>
          <w:lang w:val="ro-RO"/>
        </w:rPr>
        <w:t xml:space="preserve"> </w:t>
      </w:r>
      <w:r w:rsidR="005D3E11" w:rsidRPr="005D3E11">
        <w:rPr>
          <w:rFonts w:ascii="Times New Roman" w:hAnsi="Times New Roman" w:cs="Times New Roman"/>
          <w:sz w:val="24"/>
          <w:szCs w:val="24"/>
        </w:rPr>
        <w:t>lips</w:t>
      </w:r>
      <w:r w:rsidR="00977515">
        <w:rPr>
          <w:rFonts w:ascii="Times New Roman" w:hAnsi="Times New Roman" w:cs="Times New Roman"/>
          <w:sz w:val="24"/>
          <w:szCs w:val="24"/>
        </w:rPr>
        <w:t>ei</w:t>
      </w:r>
      <w:r w:rsidR="005D3E11" w:rsidRPr="005D3E11">
        <w:rPr>
          <w:rFonts w:ascii="Times New Roman" w:hAnsi="Times New Roman" w:cs="Times New Roman"/>
          <w:sz w:val="24"/>
          <w:szCs w:val="24"/>
        </w:rPr>
        <w:t xml:space="preserve"> unei Strategii în domeniul protecției datelor cu caracter personal;</w:t>
      </w:r>
    </w:p>
    <w:p w14:paraId="47060803" w14:textId="7F1170A0" w:rsidR="00BA76F2" w:rsidRPr="00CA0CA1" w:rsidRDefault="00BA76F2" w:rsidP="00317688">
      <w:pPr>
        <w:pStyle w:val="ListParagraph"/>
        <w:widowControl w:val="0"/>
        <w:numPr>
          <w:ilvl w:val="0"/>
          <w:numId w:val="35"/>
        </w:numPr>
        <w:tabs>
          <w:tab w:val="left" w:pos="747"/>
        </w:tabs>
        <w:spacing w:after="120" w:line="276" w:lineRule="auto"/>
        <w:ind w:left="0" w:firstLine="360"/>
        <w:jc w:val="both"/>
        <w:rPr>
          <w:rFonts w:ascii="Times New Roman" w:hAnsi="Times New Roman" w:cs="Times New Roman"/>
          <w:sz w:val="24"/>
          <w:szCs w:val="24"/>
        </w:rPr>
      </w:pPr>
      <w:r w:rsidRPr="00CA0CA1">
        <w:rPr>
          <w:rFonts w:ascii="Times New Roman" w:hAnsi="Times New Roman" w:cs="Times New Roman"/>
          <w:sz w:val="24"/>
          <w:szCs w:val="24"/>
        </w:rPr>
        <w:t xml:space="preserve">conformitatea executării cheltuielilor a fost afectată de </w:t>
      </w:r>
      <w:r w:rsidR="001B76E5">
        <w:rPr>
          <w:rFonts w:ascii="Times New Roman" w:hAnsi="Times New Roman" w:cs="Times New Roman"/>
          <w:sz w:val="24"/>
          <w:szCs w:val="24"/>
        </w:rPr>
        <w:t>următoarele problematici</w:t>
      </w:r>
      <w:r w:rsidRPr="00CA0CA1">
        <w:rPr>
          <w:rFonts w:ascii="Times New Roman" w:hAnsi="Times New Roman" w:cs="Times New Roman"/>
          <w:sz w:val="24"/>
          <w:szCs w:val="24"/>
        </w:rPr>
        <w:t xml:space="preserve">: </w:t>
      </w:r>
      <w:r w:rsidR="00EE01A9" w:rsidRPr="00CA0CA1">
        <w:rPr>
          <w:rFonts w:ascii="Times New Roman" w:hAnsi="Times New Roman" w:cs="Times New Roman"/>
          <w:sz w:val="24"/>
          <w:szCs w:val="24"/>
        </w:rPr>
        <w:t xml:space="preserve">i) </w:t>
      </w:r>
      <w:r w:rsidR="00E245AF">
        <w:rPr>
          <w:rFonts w:ascii="Times New Roman" w:hAnsi="Times New Roman" w:cs="Times New Roman"/>
          <w:sz w:val="24"/>
          <w:szCs w:val="24"/>
        </w:rPr>
        <w:t>nevalorific</w:t>
      </w:r>
      <w:r w:rsidR="00977515">
        <w:rPr>
          <w:rFonts w:ascii="Times New Roman" w:hAnsi="Times New Roman" w:cs="Times New Roman"/>
          <w:sz w:val="24"/>
          <w:szCs w:val="24"/>
        </w:rPr>
        <w:t>area</w:t>
      </w:r>
      <w:r w:rsidR="00E245AF">
        <w:rPr>
          <w:rFonts w:ascii="Times New Roman" w:hAnsi="Times New Roman" w:cs="Times New Roman"/>
          <w:sz w:val="24"/>
          <w:szCs w:val="24"/>
        </w:rPr>
        <w:t xml:space="preserve"> </w:t>
      </w:r>
      <w:r w:rsidR="006638EE" w:rsidRPr="00CA0CA1">
        <w:rPr>
          <w:rFonts w:ascii="Times New Roman" w:eastAsia="Times New Roman" w:hAnsi="Times New Roman" w:cs="Times New Roman"/>
          <w:sz w:val="24"/>
          <w:szCs w:val="24"/>
          <w:lang w:val="ro-RO" w:eastAsia="ru-RU"/>
        </w:rPr>
        <w:t>indicatorilor precizați la partea de venituri și cheltuieli</w:t>
      </w:r>
      <w:r w:rsidR="00EE01A9" w:rsidRPr="00CA0CA1">
        <w:rPr>
          <w:rFonts w:ascii="Times New Roman" w:eastAsia="Times New Roman" w:hAnsi="Times New Roman" w:cs="Times New Roman"/>
          <w:noProof/>
          <w:sz w:val="24"/>
          <w:szCs w:val="24"/>
          <w:lang w:val="ro-RO" w:eastAsia="ru-RU"/>
        </w:rPr>
        <w:t>;</w:t>
      </w:r>
      <w:r w:rsidR="006638EE" w:rsidRPr="00CA0CA1">
        <w:rPr>
          <w:rFonts w:ascii="Times New Roman" w:hAnsi="Times New Roman" w:cs="Times New Roman"/>
          <w:sz w:val="24"/>
          <w:szCs w:val="24"/>
        </w:rPr>
        <w:t xml:space="preserve"> </w:t>
      </w:r>
      <w:r w:rsidR="003951F7" w:rsidRPr="00CA0CA1">
        <w:rPr>
          <w:rFonts w:ascii="Times New Roman" w:hAnsi="Times New Roman" w:cs="Times New Roman"/>
          <w:sz w:val="24"/>
          <w:szCs w:val="24"/>
        </w:rPr>
        <w:t>i</w:t>
      </w:r>
      <w:r w:rsidR="003E015D" w:rsidRPr="00CA0CA1">
        <w:rPr>
          <w:rFonts w:ascii="Times New Roman" w:hAnsi="Times New Roman" w:cs="Times New Roman"/>
          <w:sz w:val="24"/>
          <w:szCs w:val="24"/>
        </w:rPr>
        <w:t>i</w:t>
      </w:r>
      <w:r w:rsidR="003951F7" w:rsidRPr="00CA0CA1">
        <w:rPr>
          <w:rFonts w:ascii="Times New Roman" w:hAnsi="Times New Roman" w:cs="Times New Roman"/>
          <w:sz w:val="24"/>
          <w:szCs w:val="24"/>
        </w:rPr>
        <w:t xml:space="preserve">) </w:t>
      </w:r>
      <w:r w:rsidR="008D3203" w:rsidRPr="00CA0CA1">
        <w:rPr>
          <w:rFonts w:ascii="Times New Roman" w:hAnsi="Times New Roman" w:cs="Times New Roman"/>
          <w:sz w:val="24"/>
          <w:szCs w:val="24"/>
        </w:rPr>
        <w:t>planific</w:t>
      </w:r>
      <w:r w:rsidR="00977515">
        <w:rPr>
          <w:rFonts w:ascii="Times New Roman" w:hAnsi="Times New Roman" w:cs="Times New Roman"/>
          <w:sz w:val="24"/>
          <w:szCs w:val="24"/>
        </w:rPr>
        <w:t>area</w:t>
      </w:r>
      <w:r w:rsidR="008D3203" w:rsidRPr="00CA0CA1">
        <w:rPr>
          <w:rFonts w:ascii="Times New Roman" w:hAnsi="Times New Roman" w:cs="Times New Roman"/>
          <w:sz w:val="24"/>
          <w:szCs w:val="24"/>
        </w:rPr>
        <w:t xml:space="preserve"> lacunar</w:t>
      </w:r>
      <w:r w:rsidR="00977515">
        <w:rPr>
          <w:rFonts w:ascii="Times New Roman" w:hAnsi="Times New Roman" w:cs="Times New Roman"/>
          <w:sz w:val="24"/>
          <w:szCs w:val="24"/>
        </w:rPr>
        <w:t>ă</w:t>
      </w:r>
      <w:r w:rsidR="008D3203" w:rsidRPr="00CA0CA1">
        <w:rPr>
          <w:rFonts w:ascii="Times New Roman" w:hAnsi="Times New Roman" w:cs="Times New Roman"/>
          <w:sz w:val="24"/>
          <w:szCs w:val="24"/>
        </w:rPr>
        <w:t xml:space="preserve"> a necesităților de achiziții</w:t>
      </w:r>
      <w:r w:rsidR="00E245AF">
        <w:rPr>
          <w:rFonts w:ascii="Times New Roman" w:hAnsi="Times New Roman" w:cs="Times New Roman"/>
          <w:sz w:val="24"/>
          <w:szCs w:val="24"/>
        </w:rPr>
        <w:t xml:space="preserve">, </w:t>
      </w:r>
      <w:r w:rsidR="00CB4C46" w:rsidRPr="00CA0CA1">
        <w:rPr>
          <w:rFonts w:ascii="Times New Roman" w:hAnsi="Times New Roman" w:cs="Times New Roman"/>
          <w:sz w:val="24"/>
          <w:szCs w:val="24"/>
          <w:lang w:val="ro-RO"/>
        </w:rPr>
        <w:t>nemodificarea planurilor anuale de achiziție pe paginile web deținute ținând cont de alocațiile precizate</w:t>
      </w:r>
      <w:r w:rsidR="00CB4C46">
        <w:rPr>
          <w:rFonts w:ascii="Times New Roman" w:hAnsi="Times New Roman" w:cs="Times New Roman"/>
          <w:sz w:val="24"/>
          <w:szCs w:val="24"/>
          <w:lang w:val="ro-RO"/>
        </w:rPr>
        <w:t>,</w:t>
      </w:r>
      <w:r w:rsidR="00CB4C46" w:rsidRPr="00CB4C46">
        <w:rPr>
          <w:rFonts w:ascii="Times New Roman" w:hAnsi="Times New Roman" w:cs="Times New Roman"/>
          <w:sz w:val="24"/>
          <w:szCs w:val="24"/>
        </w:rPr>
        <w:t xml:space="preserve"> </w:t>
      </w:r>
      <w:r w:rsidR="00CB4C46" w:rsidRPr="00CA0CA1">
        <w:rPr>
          <w:rFonts w:ascii="Times New Roman" w:hAnsi="Times New Roman" w:cs="Times New Roman"/>
          <w:sz w:val="24"/>
          <w:szCs w:val="24"/>
        </w:rPr>
        <w:t>divizarea</w:t>
      </w:r>
      <w:r w:rsidR="00472383" w:rsidRPr="00472383">
        <w:rPr>
          <w:rFonts w:ascii="Times New Roman" w:hAnsi="Times New Roman" w:cs="Times New Roman"/>
          <w:sz w:val="24"/>
          <w:szCs w:val="24"/>
        </w:rPr>
        <w:t xml:space="preserve"> </w:t>
      </w:r>
      <w:r w:rsidR="00472383" w:rsidRPr="00CA0CA1">
        <w:rPr>
          <w:rFonts w:ascii="Times New Roman" w:hAnsi="Times New Roman" w:cs="Times New Roman"/>
          <w:sz w:val="24"/>
          <w:szCs w:val="24"/>
        </w:rPr>
        <w:t>achiziții</w:t>
      </w:r>
      <w:r w:rsidR="00472383">
        <w:rPr>
          <w:rFonts w:ascii="Times New Roman" w:hAnsi="Times New Roman" w:cs="Times New Roman"/>
          <w:sz w:val="24"/>
          <w:szCs w:val="24"/>
        </w:rPr>
        <w:t xml:space="preserve">lor; </w:t>
      </w:r>
      <w:r w:rsidR="0096780E">
        <w:rPr>
          <w:rFonts w:ascii="Times New Roman" w:hAnsi="Times New Roman" w:cs="Times New Roman"/>
          <w:sz w:val="24"/>
          <w:szCs w:val="24"/>
        </w:rPr>
        <w:t>i</w:t>
      </w:r>
      <w:r w:rsidR="00CB4C46">
        <w:rPr>
          <w:rFonts w:ascii="Times New Roman" w:hAnsi="Times New Roman" w:cs="Times New Roman"/>
          <w:sz w:val="24"/>
          <w:szCs w:val="24"/>
        </w:rPr>
        <w:t>ii</w:t>
      </w:r>
      <w:r w:rsidR="008D3203" w:rsidRPr="00CA0CA1">
        <w:rPr>
          <w:rFonts w:ascii="Times New Roman" w:hAnsi="Times New Roman" w:cs="Times New Roman"/>
          <w:sz w:val="24"/>
          <w:szCs w:val="24"/>
        </w:rPr>
        <w:t xml:space="preserve">) </w:t>
      </w:r>
      <w:r w:rsidR="006638EE" w:rsidRPr="00CA0CA1">
        <w:rPr>
          <w:rFonts w:ascii="Times New Roman" w:hAnsi="Times New Roman" w:cs="Times New Roman"/>
          <w:sz w:val="24"/>
          <w:szCs w:val="24"/>
        </w:rPr>
        <w:t>calcul</w:t>
      </w:r>
      <w:r w:rsidR="00F96DDA">
        <w:rPr>
          <w:rFonts w:ascii="Times New Roman" w:hAnsi="Times New Roman" w:cs="Times New Roman"/>
          <w:sz w:val="24"/>
          <w:szCs w:val="24"/>
        </w:rPr>
        <w:t>area</w:t>
      </w:r>
      <w:r w:rsidR="006638EE" w:rsidRPr="00CA0CA1">
        <w:rPr>
          <w:rFonts w:ascii="Times New Roman" w:hAnsi="Times New Roman" w:cs="Times New Roman"/>
          <w:sz w:val="24"/>
          <w:szCs w:val="24"/>
        </w:rPr>
        <w:t xml:space="preserve"> și achit</w:t>
      </w:r>
      <w:r w:rsidR="00F96DDA">
        <w:rPr>
          <w:rFonts w:ascii="Times New Roman" w:hAnsi="Times New Roman" w:cs="Times New Roman"/>
          <w:sz w:val="24"/>
          <w:szCs w:val="24"/>
        </w:rPr>
        <w:t>area</w:t>
      </w:r>
      <w:r w:rsidR="006638EE" w:rsidRPr="00CA0CA1">
        <w:rPr>
          <w:rFonts w:ascii="Times New Roman" w:hAnsi="Times New Roman" w:cs="Times New Roman"/>
          <w:sz w:val="24"/>
          <w:szCs w:val="24"/>
        </w:rPr>
        <w:t xml:space="preserve"> neregulamentar</w:t>
      </w:r>
      <w:r w:rsidR="00F96DDA">
        <w:rPr>
          <w:rFonts w:ascii="Times New Roman" w:hAnsi="Times New Roman" w:cs="Times New Roman"/>
          <w:sz w:val="24"/>
          <w:szCs w:val="24"/>
        </w:rPr>
        <w:t>ă</w:t>
      </w:r>
      <w:r w:rsidR="006638EE" w:rsidRPr="00CA0CA1">
        <w:rPr>
          <w:rFonts w:ascii="Times New Roman" w:hAnsi="Times New Roman" w:cs="Times New Roman"/>
          <w:sz w:val="24"/>
          <w:szCs w:val="24"/>
        </w:rPr>
        <w:t xml:space="preserve"> a unor plăți salariale</w:t>
      </w:r>
      <w:r w:rsidR="008D3203" w:rsidRPr="00CA0CA1">
        <w:rPr>
          <w:rFonts w:ascii="Times New Roman" w:hAnsi="Times New Roman" w:cs="Times New Roman"/>
          <w:sz w:val="24"/>
          <w:szCs w:val="24"/>
        </w:rPr>
        <w:t xml:space="preserve"> personalului</w:t>
      </w:r>
      <w:r w:rsidR="00472383">
        <w:rPr>
          <w:rFonts w:ascii="Times New Roman" w:hAnsi="Times New Roman" w:cs="Times New Roman"/>
          <w:sz w:val="24"/>
          <w:szCs w:val="24"/>
        </w:rPr>
        <w:t>;</w:t>
      </w:r>
      <w:r w:rsidR="00873501" w:rsidRPr="00CA0CA1">
        <w:rPr>
          <w:rFonts w:ascii="Times New Roman" w:hAnsi="Times New Roman" w:cs="Times New Roman"/>
          <w:sz w:val="24"/>
          <w:szCs w:val="24"/>
        </w:rPr>
        <w:t xml:space="preserve"> </w:t>
      </w:r>
      <w:r w:rsidR="00A27F8D">
        <w:rPr>
          <w:rFonts w:ascii="Times New Roman" w:hAnsi="Times New Roman" w:cs="Times New Roman"/>
          <w:sz w:val="24"/>
          <w:szCs w:val="24"/>
        </w:rPr>
        <w:t>i</w:t>
      </w:r>
      <w:r w:rsidR="00F96DF9" w:rsidRPr="00CA0CA1">
        <w:rPr>
          <w:rFonts w:ascii="Times New Roman" w:hAnsi="Times New Roman" w:cs="Times New Roman"/>
          <w:sz w:val="24"/>
          <w:szCs w:val="24"/>
        </w:rPr>
        <w:t>v) executarea unor cheltuieli neeficiente pentru întreținerea mijloacelor de transport</w:t>
      </w:r>
      <w:r w:rsidR="00CB4C46">
        <w:rPr>
          <w:rFonts w:ascii="Times New Roman" w:hAnsi="Times New Roman" w:cs="Times New Roman"/>
          <w:sz w:val="24"/>
          <w:szCs w:val="24"/>
        </w:rPr>
        <w:t xml:space="preserve">; </w:t>
      </w:r>
      <w:r w:rsidR="00472383" w:rsidRPr="00CA0CA1">
        <w:rPr>
          <w:rFonts w:ascii="Times New Roman" w:hAnsi="Times New Roman" w:cs="Times New Roman"/>
          <w:sz w:val="24"/>
          <w:szCs w:val="24"/>
        </w:rPr>
        <w:t xml:space="preserve">v) </w:t>
      </w:r>
      <w:r w:rsidR="00CB4C46">
        <w:rPr>
          <w:rFonts w:ascii="Times New Roman" w:hAnsi="Times New Roman" w:cs="Times New Roman"/>
          <w:sz w:val="24"/>
          <w:szCs w:val="24"/>
        </w:rPr>
        <w:t xml:space="preserve">nerespectarea unor reglementări privind </w:t>
      </w:r>
      <w:r w:rsidR="00AB1F9F" w:rsidRPr="00CA0CA1">
        <w:rPr>
          <w:rFonts w:ascii="Times New Roman" w:hAnsi="Times New Roman" w:cs="Times New Roman"/>
          <w:sz w:val="24"/>
          <w:szCs w:val="24"/>
          <w:lang w:val="ro-RO"/>
        </w:rPr>
        <w:t>deplasări</w:t>
      </w:r>
      <w:r w:rsidR="00CB4C46">
        <w:rPr>
          <w:rFonts w:ascii="Times New Roman" w:hAnsi="Times New Roman" w:cs="Times New Roman"/>
          <w:sz w:val="24"/>
          <w:szCs w:val="24"/>
          <w:lang w:val="ro-RO"/>
        </w:rPr>
        <w:t>le</w:t>
      </w:r>
      <w:r w:rsidR="00AB1F9F" w:rsidRPr="00CA0CA1">
        <w:rPr>
          <w:rFonts w:ascii="Times New Roman" w:hAnsi="Times New Roman" w:cs="Times New Roman"/>
          <w:sz w:val="24"/>
          <w:szCs w:val="24"/>
          <w:lang w:val="ro-RO"/>
        </w:rPr>
        <w:t xml:space="preserve"> de serviciu în străinătate</w:t>
      </w:r>
      <w:r w:rsidR="00AB1F9F" w:rsidRPr="00CA0CA1">
        <w:rPr>
          <w:rFonts w:ascii="Times New Roman" w:eastAsia="Calibri" w:hAnsi="Times New Roman" w:cs="Times New Roman"/>
          <w:color w:val="000000"/>
          <w:sz w:val="24"/>
          <w:szCs w:val="24"/>
          <w:lang w:val="ro-RO"/>
        </w:rPr>
        <w:t>;</w:t>
      </w:r>
    </w:p>
    <w:p w14:paraId="4D6E33E1" w14:textId="79B357F7" w:rsidR="0054077C" w:rsidRDefault="001523CB" w:rsidP="0054077C">
      <w:pPr>
        <w:pStyle w:val="ListParagraph"/>
        <w:widowControl w:val="0"/>
        <w:numPr>
          <w:ilvl w:val="0"/>
          <w:numId w:val="36"/>
        </w:numPr>
        <w:tabs>
          <w:tab w:val="left" w:pos="360"/>
        </w:tabs>
        <w:spacing w:after="120" w:line="276" w:lineRule="auto"/>
        <w:ind w:left="0" w:firstLine="360"/>
        <w:jc w:val="both"/>
        <w:rPr>
          <w:rFonts w:ascii="Times New Roman" w:hAnsi="Times New Roman" w:cs="Times New Roman"/>
          <w:sz w:val="24"/>
          <w:szCs w:val="24"/>
          <w:lang w:val="ro-RO"/>
        </w:rPr>
      </w:pPr>
      <w:r w:rsidRPr="006638EE">
        <w:rPr>
          <w:rFonts w:ascii="Times New Roman" w:hAnsi="Times New Roman" w:cs="Times New Roman"/>
          <w:sz w:val="24"/>
          <w:szCs w:val="24"/>
        </w:rPr>
        <w:t>conformitatea gestionării patrimoniului a fost influențată de efectele: i) neefectuării conforme a inventarierii</w:t>
      </w:r>
      <w:r w:rsidR="00890E2F">
        <w:rPr>
          <w:rFonts w:ascii="Times New Roman" w:hAnsi="Times New Roman" w:cs="Times New Roman"/>
          <w:sz w:val="24"/>
          <w:szCs w:val="24"/>
        </w:rPr>
        <w:t>;</w:t>
      </w:r>
      <w:r w:rsidR="00890E2F" w:rsidRPr="00890E2F">
        <w:rPr>
          <w:rFonts w:ascii="Times New Roman" w:hAnsi="Times New Roman" w:cs="Times New Roman"/>
          <w:sz w:val="24"/>
          <w:szCs w:val="24"/>
          <w:lang w:val="ro-RO"/>
        </w:rPr>
        <w:t xml:space="preserve"> </w:t>
      </w:r>
      <w:r w:rsidR="00890E2F" w:rsidRPr="008D3203">
        <w:rPr>
          <w:rFonts w:ascii="Times New Roman" w:hAnsi="Times New Roman" w:cs="Times New Roman"/>
          <w:sz w:val="24"/>
          <w:szCs w:val="24"/>
        </w:rPr>
        <w:t>i</w:t>
      </w:r>
      <w:r w:rsidR="00890E2F">
        <w:rPr>
          <w:rFonts w:ascii="Times New Roman" w:hAnsi="Times New Roman" w:cs="Times New Roman"/>
          <w:sz w:val="24"/>
          <w:szCs w:val="24"/>
        </w:rPr>
        <w:t>i</w:t>
      </w:r>
      <w:r w:rsidR="00890E2F" w:rsidRPr="008D3203">
        <w:rPr>
          <w:rFonts w:ascii="Times New Roman" w:hAnsi="Times New Roman" w:cs="Times New Roman"/>
          <w:sz w:val="24"/>
          <w:szCs w:val="24"/>
        </w:rPr>
        <w:t xml:space="preserve">) </w:t>
      </w:r>
      <w:r w:rsidR="0019533D">
        <w:rPr>
          <w:rFonts w:ascii="Times New Roman" w:hAnsi="Times New Roman" w:cs="Times New Roman"/>
          <w:sz w:val="24"/>
          <w:szCs w:val="24"/>
        </w:rPr>
        <w:t>existenț</w:t>
      </w:r>
      <w:r w:rsidR="00F96DDA">
        <w:rPr>
          <w:rFonts w:ascii="Times New Roman" w:hAnsi="Times New Roman" w:cs="Times New Roman"/>
          <w:sz w:val="24"/>
          <w:szCs w:val="24"/>
        </w:rPr>
        <w:t>ei</w:t>
      </w:r>
      <w:r w:rsidR="0019533D">
        <w:rPr>
          <w:rFonts w:ascii="Times New Roman" w:hAnsi="Times New Roman" w:cs="Times New Roman"/>
          <w:sz w:val="24"/>
          <w:szCs w:val="24"/>
        </w:rPr>
        <w:t xml:space="preserve"> unor </w:t>
      </w:r>
      <w:r w:rsidR="00890E2F" w:rsidRPr="004D2FF7">
        <w:rPr>
          <w:rFonts w:ascii="Times New Roman" w:hAnsi="Times New Roman" w:cs="Times New Roman"/>
          <w:sz w:val="24"/>
          <w:szCs w:val="24"/>
          <w:lang w:val="ro-RO"/>
        </w:rPr>
        <w:t>stocuri de</w:t>
      </w:r>
      <w:r w:rsidR="0019533D">
        <w:rPr>
          <w:rFonts w:ascii="Times New Roman" w:hAnsi="Times New Roman" w:cs="Times New Roman"/>
          <w:sz w:val="24"/>
          <w:szCs w:val="24"/>
          <w:lang w:val="ro-RO"/>
        </w:rPr>
        <w:t xml:space="preserve"> mijloace fixe, active nemateriale și</w:t>
      </w:r>
      <w:r w:rsidR="00890E2F" w:rsidRPr="004D2FF7">
        <w:rPr>
          <w:rFonts w:ascii="Times New Roman" w:hAnsi="Times New Roman" w:cs="Times New Roman"/>
          <w:sz w:val="24"/>
          <w:szCs w:val="24"/>
          <w:lang w:val="ro-RO"/>
        </w:rPr>
        <w:t xml:space="preserve"> materiale circulante</w:t>
      </w:r>
      <w:r w:rsidR="00890E2F" w:rsidRPr="00890E2F">
        <w:rPr>
          <w:rFonts w:ascii="Times New Roman" w:hAnsi="Times New Roman" w:cs="Times New Roman"/>
          <w:sz w:val="24"/>
          <w:szCs w:val="24"/>
          <w:lang w:val="ro-RO"/>
        </w:rPr>
        <w:t xml:space="preserve"> </w:t>
      </w:r>
      <w:r w:rsidR="00890E2F" w:rsidRPr="004D2FF7">
        <w:rPr>
          <w:rFonts w:ascii="Times New Roman" w:hAnsi="Times New Roman" w:cs="Times New Roman"/>
          <w:sz w:val="24"/>
          <w:szCs w:val="24"/>
          <w:lang w:val="ro-RO"/>
        </w:rPr>
        <w:lastRenderedPageBreak/>
        <w:t>supraevaluate</w:t>
      </w:r>
      <w:r w:rsidR="00890E2F">
        <w:rPr>
          <w:rFonts w:ascii="Times New Roman" w:hAnsi="Times New Roman" w:cs="Times New Roman"/>
          <w:sz w:val="24"/>
          <w:szCs w:val="24"/>
          <w:lang w:val="ro-RO"/>
        </w:rPr>
        <w:t>;</w:t>
      </w:r>
      <w:r w:rsidR="00890E2F" w:rsidRPr="00890E2F">
        <w:rPr>
          <w:rFonts w:ascii="Times New Roman" w:hAnsi="Times New Roman" w:cs="Times New Roman"/>
          <w:sz w:val="24"/>
          <w:szCs w:val="24"/>
        </w:rPr>
        <w:t xml:space="preserve"> </w:t>
      </w:r>
      <w:r w:rsidR="00890E2F" w:rsidRPr="008D3203">
        <w:rPr>
          <w:rFonts w:ascii="Times New Roman" w:hAnsi="Times New Roman" w:cs="Times New Roman"/>
          <w:sz w:val="24"/>
          <w:szCs w:val="24"/>
        </w:rPr>
        <w:t>i</w:t>
      </w:r>
      <w:r w:rsidR="00890E2F">
        <w:rPr>
          <w:rFonts w:ascii="Times New Roman" w:hAnsi="Times New Roman" w:cs="Times New Roman"/>
          <w:sz w:val="24"/>
          <w:szCs w:val="24"/>
        </w:rPr>
        <w:t>i</w:t>
      </w:r>
      <w:r w:rsidR="003E015D">
        <w:rPr>
          <w:rFonts w:ascii="Times New Roman" w:hAnsi="Times New Roman" w:cs="Times New Roman"/>
          <w:sz w:val="24"/>
          <w:szCs w:val="24"/>
        </w:rPr>
        <w:t>i</w:t>
      </w:r>
      <w:r w:rsidR="00890E2F" w:rsidRPr="008D3203">
        <w:rPr>
          <w:rFonts w:ascii="Times New Roman" w:hAnsi="Times New Roman" w:cs="Times New Roman"/>
          <w:sz w:val="24"/>
          <w:szCs w:val="24"/>
        </w:rPr>
        <w:t>)</w:t>
      </w:r>
      <w:r w:rsidR="00890E2F" w:rsidRPr="00890E2F">
        <w:rPr>
          <w:rFonts w:ascii="Times New Roman" w:hAnsi="Times New Roman" w:cs="Times New Roman"/>
          <w:color w:val="000000" w:themeColor="text1"/>
          <w:sz w:val="24"/>
          <w:szCs w:val="24"/>
          <w:lang w:val="ro-RO"/>
        </w:rPr>
        <w:t xml:space="preserve"> </w:t>
      </w:r>
      <w:r w:rsidR="00890E2F">
        <w:rPr>
          <w:rFonts w:ascii="Times New Roman" w:hAnsi="Times New Roman" w:cs="Times New Roman"/>
          <w:color w:val="000000" w:themeColor="text1"/>
          <w:sz w:val="24"/>
          <w:szCs w:val="24"/>
          <w:lang w:val="ro-RO"/>
        </w:rPr>
        <w:t>ne</w:t>
      </w:r>
      <w:r w:rsidR="00890E2F" w:rsidRPr="004D2FF7">
        <w:rPr>
          <w:rFonts w:ascii="Times New Roman" w:hAnsi="Times New Roman" w:cs="Times New Roman"/>
          <w:color w:val="000000" w:themeColor="text1"/>
          <w:sz w:val="24"/>
          <w:szCs w:val="24"/>
          <w:lang w:val="ro-RO"/>
        </w:rPr>
        <w:t>calcul</w:t>
      </w:r>
      <w:r w:rsidR="00F96DDA">
        <w:rPr>
          <w:rFonts w:ascii="Times New Roman" w:hAnsi="Times New Roman" w:cs="Times New Roman"/>
          <w:color w:val="000000" w:themeColor="text1"/>
          <w:sz w:val="24"/>
          <w:szCs w:val="24"/>
          <w:lang w:val="ro-RO"/>
        </w:rPr>
        <w:t>ării</w:t>
      </w:r>
      <w:r w:rsidR="00890E2F" w:rsidRPr="004D2FF7">
        <w:rPr>
          <w:rFonts w:ascii="Times New Roman" w:hAnsi="Times New Roman" w:cs="Times New Roman"/>
          <w:color w:val="000000" w:themeColor="text1"/>
          <w:sz w:val="24"/>
          <w:szCs w:val="24"/>
          <w:lang w:val="ro-RO"/>
        </w:rPr>
        <w:t xml:space="preserve"> regulamentar</w:t>
      </w:r>
      <w:r w:rsidR="00F96DDA">
        <w:rPr>
          <w:rFonts w:ascii="Times New Roman" w:hAnsi="Times New Roman" w:cs="Times New Roman"/>
          <w:color w:val="000000" w:themeColor="text1"/>
          <w:sz w:val="24"/>
          <w:szCs w:val="24"/>
          <w:lang w:val="ro-RO"/>
        </w:rPr>
        <w:t>e</w:t>
      </w:r>
      <w:r w:rsidR="003951F7">
        <w:rPr>
          <w:rFonts w:ascii="Times New Roman" w:hAnsi="Times New Roman" w:cs="Times New Roman"/>
          <w:color w:val="000000" w:themeColor="text1"/>
          <w:sz w:val="24"/>
          <w:szCs w:val="24"/>
          <w:lang w:val="ro-RO"/>
        </w:rPr>
        <w:t xml:space="preserve"> a</w:t>
      </w:r>
      <w:r w:rsidR="00890E2F" w:rsidRPr="004D2FF7">
        <w:rPr>
          <w:rFonts w:ascii="Times New Roman" w:hAnsi="Times New Roman" w:cs="Times New Roman"/>
          <w:color w:val="000000" w:themeColor="text1"/>
          <w:sz w:val="24"/>
          <w:szCs w:val="24"/>
          <w:lang w:val="ro-RO"/>
        </w:rPr>
        <w:t xml:space="preserve"> uzur</w:t>
      </w:r>
      <w:r w:rsidR="003951F7">
        <w:rPr>
          <w:rFonts w:ascii="Times New Roman" w:hAnsi="Times New Roman" w:cs="Times New Roman"/>
          <w:color w:val="000000" w:themeColor="text1"/>
          <w:sz w:val="24"/>
          <w:szCs w:val="24"/>
          <w:lang w:val="ro-RO"/>
        </w:rPr>
        <w:t>ii</w:t>
      </w:r>
      <w:r w:rsidR="00890E2F" w:rsidRPr="004D2FF7">
        <w:rPr>
          <w:rFonts w:ascii="Times New Roman" w:hAnsi="Times New Roman" w:cs="Times New Roman"/>
          <w:color w:val="000000" w:themeColor="text1"/>
          <w:sz w:val="24"/>
          <w:szCs w:val="24"/>
          <w:lang w:val="ro-RO"/>
        </w:rPr>
        <w:t>/amortiz</w:t>
      </w:r>
      <w:r w:rsidR="003951F7">
        <w:rPr>
          <w:rFonts w:ascii="Times New Roman" w:hAnsi="Times New Roman" w:cs="Times New Roman"/>
          <w:color w:val="000000" w:themeColor="text1"/>
          <w:sz w:val="24"/>
          <w:szCs w:val="24"/>
          <w:lang w:val="ro-RO"/>
        </w:rPr>
        <w:t>ării</w:t>
      </w:r>
      <w:r w:rsidR="00890E2F" w:rsidRPr="004D2FF7">
        <w:rPr>
          <w:rFonts w:ascii="Times New Roman" w:hAnsi="Times New Roman" w:cs="Times New Roman"/>
          <w:color w:val="000000" w:themeColor="text1"/>
          <w:sz w:val="24"/>
          <w:szCs w:val="24"/>
          <w:lang w:val="ro-RO"/>
        </w:rPr>
        <w:t xml:space="preserve"> mijloace</w:t>
      </w:r>
      <w:r w:rsidR="00DE6EC8">
        <w:rPr>
          <w:rFonts w:ascii="Times New Roman" w:hAnsi="Times New Roman" w:cs="Times New Roman"/>
          <w:color w:val="000000" w:themeColor="text1"/>
          <w:sz w:val="24"/>
          <w:szCs w:val="24"/>
          <w:lang w:val="ro-RO"/>
        </w:rPr>
        <w:t>lor</w:t>
      </w:r>
      <w:r w:rsidR="00890E2F" w:rsidRPr="004D2FF7">
        <w:rPr>
          <w:rFonts w:ascii="Times New Roman" w:hAnsi="Times New Roman" w:cs="Times New Roman"/>
          <w:color w:val="000000" w:themeColor="text1"/>
          <w:sz w:val="24"/>
          <w:szCs w:val="24"/>
          <w:lang w:val="ro-RO"/>
        </w:rPr>
        <w:t xml:space="preserve"> fixe/active</w:t>
      </w:r>
      <w:r w:rsidR="00DE6EC8">
        <w:rPr>
          <w:rFonts w:ascii="Times New Roman" w:hAnsi="Times New Roman" w:cs="Times New Roman"/>
          <w:color w:val="000000" w:themeColor="text1"/>
          <w:sz w:val="24"/>
          <w:szCs w:val="24"/>
          <w:lang w:val="ro-RO"/>
        </w:rPr>
        <w:t>lor</w:t>
      </w:r>
      <w:r w:rsidR="00890E2F" w:rsidRPr="004D2FF7">
        <w:rPr>
          <w:rFonts w:ascii="Times New Roman" w:hAnsi="Times New Roman" w:cs="Times New Roman"/>
          <w:color w:val="000000" w:themeColor="text1"/>
          <w:sz w:val="24"/>
          <w:szCs w:val="24"/>
          <w:lang w:val="ro-RO"/>
        </w:rPr>
        <w:t xml:space="preserve"> nemateriale</w:t>
      </w:r>
      <w:r w:rsidR="00890E2F">
        <w:rPr>
          <w:rFonts w:ascii="Times New Roman" w:hAnsi="Times New Roman" w:cs="Times New Roman"/>
          <w:color w:val="000000" w:themeColor="text1"/>
          <w:sz w:val="24"/>
          <w:szCs w:val="24"/>
          <w:lang w:val="ro-RO"/>
        </w:rPr>
        <w:t>;</w:t>
      </w:r>
      <w:r w:rsidR="00890E2F" w:rsidRPr="00890E2F">
        <w:rPr>
          <w:rFonts w:ascii="Times New Roman" w:hAnsi="Times New Roman" w:cs="Times New Roman"/>
          <w:sz w:val="24"/>
          <w:szCs w:val="24"/>
        </w:rPr>
        <w:t xml:space="preserve"> </w:t>
      </w:r>
      <w:r w:rsidR="00890E2F" w:rsidRPr="008D3203">
        <w:rPr>
          <w:rFonts w:ascii="Times New Roman" w:hAnsi="Times New Roman" w:cs="Times New Roman"/>
          <w:sz w:val="24"/>
          <w:szCs w:val="24"/>
        </w:rPr>
        <w:t>i</w:t>
      </w:r>
      <w:r w:rsidR="003E015D">
        <w:rPr>
          <w:rFonts w:ascii="Times New Roman" w:hAnsi="Times New Roman" w:cs="Times New Roman"/>
          <w:sz w:val="24"/>
          <w:szCs w:val="24"/>
        </w:rPr>
        <w:t>v</w:t>
      </w:r>
      <w:r w:rsidR="00890E2F" w:rsidRPr="008D3203">
        <w:rPr>
          <w:rFonts w:ascii="Times New Roman" w:hAnsi="Times New Roman" w:cs="Times New Roman"/>
          <w:sz w:val="24"/>
          <w:szCs w:val="24"/>
        </w:rPr>
        <w:t>)</w:t>
      </w:r>
      <w:r w:rsidR="00890E2F" w:rsidRPr="00890E2F">
        <w:rPr>
          <w:rFonts w:ascii="Times New Roman" w:hAnsi="Times New Roman" w:cs="Times New Roman"/>
          <w:sz w:val="24"/>
          <w:szCs w:val="24"/>
          <w:lang w:val="ro-RO"/>
        </w:rPr>
        <w:t xml:space="preserve"> </w:t>
      </w:r>
      <w:r w:rsidR="00890E2F">
        <w:rPr>
          <w:rFonts w:ascii="Times New Roman" w:hAnsi="Times New Roman" w:cs="Times New Roman"/>
          <w:sz w:val="24"/>
          <w:szCs w:val="24"/>
          <w:lang w:val="ro-RO"/>
        </w:rPr>
        <w:t>n</w:t>
      </w:r>
      <w:r w:rsidR="00890E2F" w:rsidRPr="004D2FF7">
        <w:rPr>
          <w:rFonts w:ascii="Times New Roman" w:hAnsi="Times New Roman" w:cs="Times New Roman"/>
          <w:sz w:val="24"/>
          <w:szCs w:val="24"/>
          <w:lang w:val="ro-RO"/>
        </w:rPr>
        <w:t>erecunoașter</w:t>
      </w:r>
      <w:r w:rsidR="00F96DDA">
        <w:rPr>
          <w:rFonts w:ascii="Times New Roman" w:hAnsi="Times New Roman" w:cs="Times New Roman"/>
          <w:sz w:val="24"/>
          <w:szCs w:val="24"/>
          <w:lang w:val="ro-RO"/>
        </w:rPr>
        <w:t>ii</w:t>
      </w:r>
      <w:r w:rsidR="00DE6EC8">
        <w:rPr>
          <w:rFonts w:ascii="Times New Roman" w:hAnsi="Times New Roman" w:cs="Times New Roman"/>
          <w:sz w:val="24"/>
          <w:szCs w:val="24"/>
          <w:lang w:val="ro-RO"/>
        </w:rPr>
        <w:t xml:space="preserve"> unor </w:t>
      </w:r>
      <w:r w:rsidR="00890E2F" w:rsidRPr="004D2FF7">
        <w:rPr>
          <w:rFonts w:ascii="Times New Roman" w:hAnsi="Times New Roman" w:cs="Times New Roman"/>
          <w:sz w:val="24"/>
          <w:szCs w:val="24"/>
          <w:lang w:val="ro-RO"/>
        </w:rPr>
        <w:t>active</w:t>
      </w:r>
      <w:r w:rsidR="00890E2F">
        <w:rPr>
          <w:rFonts w:ascii="Times New Roman" w:hAnsi="Times New Roman" w:cs="Times New Roman"/>
          <w:sz w:val="24"/>
          <w:szCs w:val="24"/>
          <w:lang w:val="ro-RO"/>
        </w:rPr>
        <w:t>;</w:t>
      </w:r>
    </w:p>
    <w:p w14:paraId="17C921F2" w14:textId="7042AA8B" w:rsidR="00DE6EC8" w:rsidRPr="00DE6EC8" w:rsidRDefault="00F96DDA" w:rsidP="0054077C">
      <w:pPr>
        <w:pStyle w:val="ListParagraph"/>
        <w:widowControl w:val="0"/>
        <w:numPr>
          <w:ilvl w:val="0"/>
          <w:numId w:val="36"/>
        </w:numPr>
        <w:tabs>
          <w:tab w:val="left" w:pos="360"/>
        </w:tabs>
        <w:spacing w:after="120" w:line="276" w:lineRule="auto"/>
        <w:ind w:left="0" w:firstLine="360"/>
        <w:jc w:val="both"/>
        <w:rPr>
          <w:rFonts w:ascii="Times New Roman" w:hAnsi="Times New Roman" w:cs="Times New Roman"/>
          <w:sz w:val="24"/>
          <w:szCs w:val="24"/>
          <w:lang w:val="ro-RO"/>
        </w:rPr>
      </w:pPr>
      <w:r>
        <w:rPr>
          <w:rFonts w:ascii="Times New Roman" w:eastAsia="Times New Roman" w:hAnsi="Times New Roman" w:cs="Times New Roman"/>
          <w:sz w:val="24"/>
          <w:szCs w:val="24"/>
        </w:rPr>
        <w:t>a</w:t>
      </w:r>
      <w:r w:rsidR="0054077C" w:rsidRPr="0054077C">
        <w:rPr>
          <w:rFonts w:ascii="Times New Roman" w:eastAsia="Times New Roman" w:hAnsi="Times New Roman" w:cs="Times New Roman"/>
          <w:sz w:val="24"/>
          <w:szCs w:val="24"/>
        </w:rPr>
        <w:t>uditul identifică că factorii care au determinat neconformitățile menționate</w:t>
      </w:r>
      <w:r w:rsidR="00DE6EC8">
        <w:rPr>
          <w:rFonts w:ascii="Times New Roman" w:eastAsia="Times New Roman" w:hAnsi="Times New Roman" w:cs="Times New Roman"/>
          <w:sz w:val="24"/>
          <w:szCs w:val="24"/>
        </w:rPr>
        <w:t xml:space="preserve"> sunt și o consecință a </w:t>
      </w:r>
      <w:r w:rsidR="0054077C" w:rsidRPr="0054077C">
        <w:rPr>
          <w:rFonts w:ascii="Times New Roman" w:hAnsi="Times New Roman" w:cs="Times New Roman"/>
          <w:sz w:val="24"/>
          <w:szCs w:val="24"/>
        </w:rPr>
        <w:t>neimplement</w:t>
      </w:r>
      <w:r w:rsidR="00DE6EC8">
        <w:rPr>
          <w:rFonts w:ascii="Times New Roman" w:hAnsi="Times New Roman" w:cs="Times New Roman"/>
          <w:sz w:val="24"/>
          <w:szCs w:val="24"/>
        </w:rPr>
        <w:t>ării</w:t>
      </w:r>
      <w:r w:rsidR="0054077C" w:rsidRPr="0054077C">
        <w:rPr>
          <w:rFonts w:ascii="Times New Roman" w:hAnsi="Times New Roman" w:cs="Times New Roman"/>
          <w:sz w:val="24"/>
          <w:szCs w:val="24"/>
        </w:rPr>
        <w:t xml:space="preserve"> pe deplin a</w:t>
      </w:r>
      <w:r w:rsidR="0096780E">
        <w:rPr>
          <w:rFonts w:ascii="Times New Roman" w:hAnsi="Times New Roman" w:cs="Times New Roman"/>
          <w:sz w:val="24"/>
          <w:szCs w:val="24"/>
        </w:rPr>
        <w:t xml:space="preserve"> unui</w:t>
      </w:r>
      <w:r w:rsidR="0054077C" w:rsidRPr="0054077C">
        <w:rPr>
          <w:rFonts w:ascii="Times New Roman" w:hAnsi="Times New Roman" w:cs="Times New Roman"/>
          <w:sz w:val="24"/>
          <w:szCs w:val="24"/>
        </w:rPr>
        <w:t xml:space="preserve"> </w:t>
      </w:r>
      <w:r w:rsidR="00DE6EC8">
        <w:rPr>
          <w:rFonts w:ascii="Times New Roman" w:hAnsi="Times New Roman" w:cs="Times New Roman"/>
          <w:sz w:val="24"/>
          <w:szCs w:val="24"/>
        </w:rPr>
        <w:t xml:space="preserve">sistem de </w:t>
      </w:r>
      <w:r w:rsidR="0054077C" w:rsidRPr="0054077C">
        <w:rPr>
          <w:rFonts w:ascii="Times New Roman" w:hAnsi="Times New Roman" w:cs="Times New Roman"/>
          <w:sz w:val="24"/>
          <w:szCs w:val="24"/>
        </w:rPr>
        <w:t>control intern managerial</w:t>
      </w:r>
      <w:r w:rsidR="0096780E">
        <w:rPr>
          <w:rFonts w:ascii="Times New Roman" w:hAnsi="Times New Roman" w:cs="Times New Roman"/>
          <w:sz w:val="24"/>
          <w:szCs w:val="24"/>
        </w:rPr>
        <w:t xml:space="preserve"> conform rigorilor</w:t>
      </w:r>
      <w:r w:rsidR="0054077C" w:rsidRPr="0054077C">
        <w:rPr>
          <w:rFonts w:ascii="Times New Roman" w:hAnsi="Times New Roman" w:cs="Times New Roman"/>
          <w:sz w:val="24"/>
          <w:szCs w:val="24"/>
        </w:rPr>
        <w:t>, inclusiv</w:t>
      </w:r>
      <w:r w:rsidR="00DE6EC8">
        <w:rPr>
          <w:rFonts w:ascii="Times New Roman" w:hAnsi="Times New Roman" w:cs="Times New Roman"/>
          <w:sz w:val="24"/>
          <w:szCs w:val="24"/>
        </w:rPr>
        <w:t xml:space="preserve"> elaborarea și</w:t>
      </w:r>
      <w:r w:rsidR="0054077C" w:rsidRPr="0054077C">
        <w:rPr>
          <w:rFonts w:ascii="Times New Roman" w:hAnsi="Times New Roman" w:cs="Times New Roman"/>
          <w:sz w:val="24"/>
          <w:szCs w:val="24"/>
        </w:rPr>
        <w:t xml:space="preserve"> documentarea tuturor proceselor</w:t>
      </w:r>
      <w:r w:rsidR="00DE6EC8">
        <w:rPr>
          <w:rFonts w:ascii="Times New Roman" w:hAnsi="Times New Roman" w:cs="Times New Roman"/>
          <w:sz w:val="24"/>
          <w:szCs w:val="24"/>
        </w:rPr>
        <w:t xml:space="preserve"> și </w:t>
      </w:r>
      <w:r w:rsidR="0054077C" w:rsidRPr="0054077C">
        <w:rPr>
          <w:rFonts w:ascii="Times New Roman" w:hAnsi="Times New Roman" w:cs="Times New Roman"/>
          <w:sz w:val="24"/>
          <w:szCs w:val="24"/>
        </w:rPr>
        <w:t xml:space="preserve">procedurilor aferente acestora, </w:t>
      </w:r>
      <w:r w:rsidR="00DE6EC8">
        <w:rPr>
          <w:rFonts w:ascii="Times New Roman" w:hAnsi="Times New Roman" w:cs="Times New Roman"/>
          <w:sz w:val="24"/>
          <w:szCs w:val="24"/>
        </w:rPr>
        <w:t xml:space="preserve">reglementarea și </w:t>
      </w:r>
      <w:r w:rsidR="0054077C" w:rsidRPr="0054077C">
        <w:rPr>
          <w:rFonts w:ascii="Times New Roman" w:hAnsi="Times New Roman" w:cs="Times New Roman"/>
          <w:sz w:val="24"/>
          <w:szCs w:val="24"/>
        </w:rPr>
        <w:t>divizarea clară a responsabilităților</w:t>
      </w:r>
      <w:r w:rsidR="0054077C" w:rsidRPr="0054077C">
        <w:rPr>
          <w:rFonts w:ascii="Times New Roman" w:eastAsia="Times New Roman" w:hAnsi="Times New Roman" w:cs="Times New Roman"/>
          <w:sz w:val="24"/>
          <w:szCs w:val="24"/>
        </w:rPr>
        <w:t xml:space="preserve">. </w:t>
      </w:r>
    </w:p>
    <w:p w14:paraId="1A280746" w14:textId="5FD4A7F3" w:rsidR="00000EB3" w:rsidRPr="00DE6EC8" w:rsidRDefault="0054077C" w:rsidP="00DE6EC8">
      <w:pPr>
        <w:widowControl w:val="0"/>
        <w:tabs>
          <w:tab w:val="left" w:pos="360"/>
        </w:tabs>
        <w:spacing w:after="120" w:line="276" w:lineRule="auto"/>
        <w:jc w:val="both"/>
        <w:rPr>
          <w:rFonts w:ascii="Times New Roman" w:hAnsi="Times New Roman" w:cs="Times New Roman"/>
          <w:sz w:val="24"/>
          <w:szCs w:val="24"/>
          <w:lang w:val="ro-RO"/>
        </w:rPr>
      </w:pPr>
      <w:r w:rsidRPr="00DE6EC8">
        <w:rPr>
          <w:rFonts w:ascii="Times New Roman" w:eastAsia="Times New Roman" w:hAnsi="Times New Roman" w:cs="Times New Roman"/>
          <w:sz w:val="24"/>
          <w:szCs w:val="24"/>
        </w:rPr>
        <w:t>A</w:t>
      </w:r>
      <w:r w:rsidR="00000EB3" w:rsidRPr="00DE6EC8">
        <w:rPr>
          <w:rFonts w:ascii="Times New Roman" w:hAnsi="Times New Roman" w:cs="Times New Roman"/>
          <w:sz w:val="24"/>
          <w:szCs w:val="24"/>
        </w:rPr>
        <w:t>uditul</w:t>
      </w:r>
      <w:r w:rsidR="00DE6EC8">
        <w:rPr>
          <w:rFonts w:ascii="Times New Roman" w:hAnsi="Times New Roman" w:cs="Times New Roman"/>
          <w:sz w:val="24"/>
          <w:szCs w:val="24"/>
        </w:rPr>
        <w:t xml:space="preserve"> public extern </w:t>
      </w:r>
      <w:r w:rsidR="00000EB3" w:rsidRPr="00DE6EC8">
        <w:rPr>
          <w:rFonts w:ascii="Times New Roman" w:hAnsi="Times New Roman" w:cs="Times New Roman"/>
          <w:sz w:val="24"/>
          <w:szCs w:val="24"/>
        </w:rPr>
        <w:t xml:space="preserve">indică necesitatea de asumare a unor decizii manageriale pentru elucidarea situațiilor expuse, </w:t>
      </w:r>
      <w:r w:rsidR="00DE6EC8">
        <w:rPr>
          <w:rFonts w:ascii="Times New Roman" w:hAnsi="Times New Roman" w:cs="Times New Roman"/>
          <w:sz w:val="24"/>
          <w:szCs w:val="24"/>
        </w:rPr>
        <w:t>sporirea și c</w:t>
      </w:r>
      <w:r w:rsidR="00000EB3" w:rsidRPr="00DE6EC8">
        <w:rPr>
          <w:rFonts w:ascii="Times New Roman" w:hAnsi="Times New Roman" w:cs="Times New Roman"/>
          <w:sz w:val="24"/>
          <w:szCs w:val="24"/>
        </w:rPr>
        <w:t>onsolidarea sistemului de control intern capabil să asigure gestionarea conformă a patrimoniului și a resurselor financiare</w:t>
      </w:r>
      <w:r w:rsidR="004F487E" w:rsidRPr="00DE6EC8">
        <w:rPr>
          <w:rFonts w:ascii="Times New Roman" w:hAnsi="Times New Roman" w:cs="Times New Roman"/>
          <w:sz w:val="24"/>
          <w:szCs w:val="24"/>
        </w:rPr>
        <w:t xml:space="preserve"> publice</w:t>
      </w:r>
      <w:r w:rsidR="00F96DDA">
        <w:rPr>
          <w:rFonts w:ascii="Times New Roman" w:hAnsi="Times New Roman" w:cs="Times New Roman"/>
          <w:sz w:val="24"/>
          <w:szCs w:val="24"/>
        </w:rPr>
        <w:t>,</w:t>
      </w:r>
      <w:r w:rsidR="00000EB3" w:rsidRPr="00DE6EC8">
        <w:rPr>
          <w:rFonts w:ascii="Times New Roman" w:hAnsi="Times New Roman" w:cs="Times New Roman"/>
          <w:sz w:val="24"/>
          <w:szCs w:val="24"/>
        </w:rPr>
        <w:t xml:space="preserve"> prin remedierea aspectelor vulnerabile depistate</w:t>
      </w:r>
      <w:r w:rsidR="00DE6EC8">
        <w:rPr>
          <w:rFonts w:ascii="Times New Roman" w:hAnsi="Times New Roman" w:cs="Times New Roman"/>
          <w:sz w:val="24"/>
          <w:szCs w:val="24"/>
        </w:rPr>
        <w:t xml:space="preserve"> și care</w:t>
      </w:r>
      <w:r w:rsidR="00F96DDA">
        <w:rPr>
          <w:rFonts w:ascii="Times New Roman" w:hAnsi="Times New Roman" w:cs="Times New Roman"/>
          <w:sz w:val="24"/>
          <w:szCs w:val="24"/>
        </w:rPr>
        <w:t>,</w:t>
      </w:r>
      <w:r w:rsidR="00DE6EC8">
        <w:rPr>
          <w:rFonts w:ascii="Times New Roman" w:hAnsi="Times New Roman" w:cs="Times New Roman"/>
          <w:sz w:val="24"/>
          <w:szCs w:val="24"/>
        </w:rPr>
        <w:t xml:space="preserve"> respectiv, </w:t>
      </w:r>
      <w:r w:rsidR="00000EB3" w:rsidRPr="00DE6EC8">
        <w:rPr>
          <w:rFonts w:ascii="Times New Roman" w:hAnsi="Times New Roman" w:cs="Times New Roman"/>
          <w:sz w:val="24"/>
          <w:szCs w:val="24"/>
        </w:rPr>
        <w:t xml:space="preserve">vor contribui la </w:t>
      </w:r>
      <w:r w:rsidR="000D720C" w:rsidRPr="00DE6EC8">
        <w:rPr>
          <w:rFonts w:ascii="Times New Roman" w:hAnsi="Times New Roman" w:cs="Times New Roman"/>
          <w:sz w:val="24"/>
          <w:szCs w:val="24"/>
        </w:rPr>
        <w:t>realizarea obiectivelor</w:t>
      </w:r>
      <w:r w:rsidRPr="00DE6EC8">
        <w:rPr>
          <w:rFonts w:ascii="Times New Roman" w:hAnsi="Times New Roman" w:cs="Times New Roman"/>
          <w:sz w:val="24"/>
          <w:szCs w:val="24"/>
        </w:rPr>
        <w:t xml:space="preserve"> și programelor </w:t>
      </w:r>
      <w:r w:rsidR="00000EB3" w:rsidRPr="00DE6EC8">
        <w:rPr>
          <w:rFonts w:ascii="Times New Roman" w:hAnsi="Times New Roman" w:cs="Times New Roman"/>
          <w:sz w:val="24"/>
          <w:szCs w:val="24"/>
        </w:rPr>
        <w:t>instituției.</w:t>
      </w:r>
    </w:p>
    <w:p w14:paraId="0CABD16A" w14:textId="77777777" w:rsidR="0092553E" w:rsidRDefault="00B359EC" w:rsidP="0092553E">
      <w:pPr>
        <w:pStyle w:val="FootnoteText"/>
        <w:spacing w:line="276" w:lineRule="auto"/>
        <w:jc w:val="both"/>
        <w:rPr>
          <w:rFonts w:ascii="Times New Roman" w:hAnsi="Times New Roman" w:cs="Times New Roman"/>
          <w:sz w:val="24"/>
          <w:szCs w:val="24"/>
        </w:rPr>
      </w:pPr>
      <w:r w:rsidRPr="0092553E">
        <w:rPr>
          <w:rFonts w:ascii="Times New Roman" w:hAnsi="Times New Roman" w:cs="Times New Roman"/>
          <w:sz w:val="24"/>
          <w:szCs w:val="24"/>
        </w:rPr>
        <w:t xml:space="preserve">În contextul celor stabilite și concluzionate, </w:t>
      </w:r>
      <w:r w:rsidR="0092553E" w:rsidRPr="0092553E">
        <w:rPr>
          <w:rFonts w:ascii="Times New Roman" w:hAnsi="Times New Roman" w:cs="Times New Roman"/>
          <w:sz w:val="24"/>
          <w:szCs w:val="24"/>
        </w:rPr>
        <w:t xml:space="preserve">auditul public extern a comunicat constatările și concluziile formulate și a </w:t>
      </w:r>
      <w:r w:rsidR="0092553E">
        <w:rPr>
          <w:rFonts w:ascii="Times New Roman" w:hAnsi="Times New Roman" w:cs="Times New Roman"/>
          <w:sz w:val="24"/>
          <w:szCs w:val="24"/>
        </w:rPr>
        <w:t>înaintat</w:t>
      </w:r>
      <w:r w:rsidR="0092553E" w:rsidRPr="0092553E">
        <w:rPr>
          <w:rFonts w:ascii="Times New Roman" w:hAnsi="Times New Roman" w:cs="Times New Roman"/>
          <w:sz w:val="24"/>
          <w:szCs w:val="24"/>
        </w:rPr>
        <w:t xml:space="preserve"> recomandări pentru remedierea deficiențelor enunțate în prezentul Raport de audit, acestea fiind acceptate de către instituțiile vizate.</w:t>
      </w:r>
    </w:p>
    <w:p w14:paraId="368D7FD6" w14:textId="77777777" w:rsidR="0092553E" w:rsidRPr="0092553E" w:rsidRDefault="0092553E" w:rsidP="0092553E">
      <w:pPr>
        <w:pStyle w:val="FootnoteText"/>
        <w:spacing w:line="276" w:lineRule="auto"/>
        <w:jc w:val="both"/>
        <w:rPr>
          <w:rFonts w:ascii="Times New Roman" w:hAnsi="Times New Roman" w:cs="Times New Roman"/>
          <w:sz w:val="24"/>
          <w:szCs w:val="24"/>
        </w:rPr>
      </w:pPr>
    </w:p>
    <w:p w14:paraId="6D6E14A6" w14:textId="77777777" w:rsidR="006049D5" w:rsidRPr="004D2FF7" w:rsidRDefault="00652A5E" w:rsidP="00ED5A00">
      <w:pPr>
        <w:pStyle w:val="Heading1"/>
        <w:numPr>
          <w:ilvl w:val="0"/>
          <w:numId w:val="11"/>
        </w:numPr>
        <w:tabs>
          <w:tab w:val="left" w:pos="3600"/>
          <w:tab w:val="left" w:pos="3780"/>
        </w:tabs>
        <w:spacing w:before="0" w:after="120" w:line="276" w:lineRule="auto"/>
        <w:ind w:left="284" w:firstLine="0"/>
        <w:rPr>
          <w:rFonts w:ascii="Times New Roman" w:hAnsi="Times New Roman" w:cs="Times New Roman"/>
          <w:color w:val="auto"/>
          <w:sz w:val="24"/>
          <w:szCs w:val="24"/>
        </w:rPr>
      </w:pPr>
      <w:r w:rsidRPr="004D2FF7">
        <w:rPr>
          <w:rFonts w:ascii="Times New Roman" w:hAnsi="Times New Roman" w:cs="Times New Roman"/>
          <w:b/>
          <w:color w:val="auto"/>
          <w:sz w:val="24"/>
          <w:szCs w:val="24"/>
        </w:rPr>
        <w:t xml:space="preserve"> </w:t>
      </w:r>
      <w:bookmarkStart w:id="41" w:name="_Toc157776103"/>
      <w:r w:rsidR="006049D5" w:rsidRPr="004D2FF7">
        <w:rPr>
          <w:rFonts w:ascii="Times New Roman" w:hAnsi="Times New Roman" w:cs="Times New Roman"/>
          <w:b/>
          <w:color w:val="auto"/>
          <w:sz w:val="24"/>
          <w:szCs w:val="24"/>
        </w:rPr>
        <w:t>RECOMANDĂRI</w:t>
      </w:r>
      <w:bookmarkEnd w:id="41"/>
    </w:p>
    <w:p w14:paraId="331B1154" w14:textId="77777777" w:rsidR="006049D5" w:rsidRPr="004D2FF7" w:rsidRDefault="00A669DF" w:rsidP="008C1B8F">
      <w:pPr>
        <w:tabs>
          <w:tab w:val="left" w:pos="426"/>
        </w:tabs>
        <w:spacing w:after="0" w:line="276" w:lineRule="auto"/>
        <w:jc w:val="both"/>
        <w:rPr>
          <w:rFonts w:ascii="Times New Roman" w:eastAsia="Times New Roman" w:hAnsi="Times New Roman" w:cs="Times New Roman"/>
          <w:b/>
          <w:i/>
          <w:color w:val="000000"/>
          <w:sz w:val="24"/>
          <w:szCs w:val="24"/>
        </w:rPr>
      </w:pPr>
      <w:r w:rsidRPr="004D2FF7">
        <w:rPr>
          <w:rFonts w:ascii="Times New Roman" w:hAnsi="Times New Roman" w:cs="Times New Roman"/>
          <w:b/>
          <w:i/>
          <w:sz w:val="24"/>
          <w:szCs w:val="24"/>
        </w:rPr>
        <w:t>Centrului Național pentru Protecția Datelor cu Caracter Personal</w:t>
      </w:r>
      <w:r w:rsidR="006049D5" w:rsidRPr="004D2FF7">
        <w:rPr>
          <w:rFonts w:ascii="Times New Roman" w:hAnsi="Times New Roman" w:cs="Times New Roman"/>
          <w:b/>
          <w:i/>
          <w:sz w:val="24"/>
          <w:szCs w:val="24"/>
        </w:rPr>
        <w:t>:</w:t>
      </w:r>
      <w:r w:rsidR="006049D5" w:rsidRPr="004D2FF7">
        <w:rPr>
          <w:rFonts w:ascii="Times New Roman" w:eastAsia="Times New Roman" w:hAnsi="Times New Roman" w:cs="Times New Roman"/>
          <w:b/>
          <w:i/>
          <w:color w:val="000000"/>
          <w:sz w:val="24"/>
          <w:szCs w:val="24"/>
        </w:rPr>
        <w:t xml:space="preserve"> </w:t>
      </w:r>
    </w:p>
    <w:p w14:paraId="30748215" w14:textId="01E8D5CB" w:rsidR="00D63C6D" w:rsidRPr="007F316D" w:rsidRDefault="000627C2" w:rsidP="00533FC8">
      <w:pPr>
        <w:numPr>
          <w:ilvl w:val="0"/>
          <w:numId w:val="5"/>
        </w:numPr>
        <w:tabs>
          <w:tab w:val="left" w:pos="90"/>
          <w:tab w:val="left" w:pos="360"/>
          <w:tab w:val="left" w:pos="851"/>
        </w:tabs>
        <w:spacing w:after="120" w:line="276" w:lineRule="auto"/>
        <w:ind w:left="0" w:firstLine="426"/>
        <w:jc w:val="both"/>
        <w:rPr>
          <w:rFonts w:ascii="Times New Roman" w:hAnsi="Times New Roman" w:cs="Times New Roman"/>
          <w:i/>
          <w:sz w:val="24"/>
          <w:szCs w:val="24"/>
        </w:rPr>
      </w:pPr>
      <w:r w:rsidRPr="007F316D">
        <w:rPr>
          <w:rFonts w:ascii="Times New Roman" w:eastAsia="Times New Roman" w:hAnsi="Times New Roman" w:cs="Times New Roman"/>
          <w:i/>
          <w:color w:val="000000"/>
          <w:sz w:val="24"/>
          <w:szCs w:val="24"/>
        </w:rPr>
        <w:t>s</w:t>
      </w:r>
      <w:r w:rsidR="006049D5" w:rsidRPr="007F316D">
        <w:rPr>
          <w:rFonts w:ascii="Times New Roman" w:eastAsia="Times New Roman" w:hAnsi="Times New Roman" w:cs="Times New Roman"/>
          <w:i/>
          <w:color w:val="000000"/>
          <w:sz w:val="24"/>
          <w:szCs w:val="24"/>
        </w:rPr>
        <w:t>ă asigure descrierea proceselor operaționale aferente</w:t>
      </w:r>
      <w:r w:rsidR="00004B18" w:rsidRPr="007F316D">
        <w:rPr>
          <w:rFonts w:ascii="Times New Roman" w:eastAsia="Times New Roman" w:hAnsi="Times New Roman" w:cs="Times New Roman"/>
          <w:i/>
          <w:color w:val="000000"/>
          <w:sz w:val="24"/>
          <w:szCs w:val="24"/>
        </w:rPr>
        <w:t>:</w:t>
      </w:r>
      <w:r w:rsidR="006049D5" w:rsidRPr="007F316D">
        <w:rPr>
          <w:rFonts w:ascii="Times New Roman" w:eastAsia="Times New Roman" w:hAnsi="Times New Roman" w:cs="Times New Roman"/>
          <w:i/>
          <w:color w:val="000000"/>
          <w:sz w:val="24"/>
          <w:szCs w:val="24"/>
        </w:rPr>
        <w:t xml:space="preserve"> </w:t>
      </w:r>
      <w:r w:rsidR="00231FC0" w:rsidRPr="007F316D">
        <w:rPr>
          <w:rFonts w:ascii="Times New Roman" w:eastAsia="Times New Roman" w:hAnsi="Times New Roman" w:cs="Times New Roman"/>
          <w:i/>
          <w:color w:val="000000"/>
          <w:sz w:val="24"/>
          <w:szCs w:val="24"/>
        </w:rPr>
        <w:t>administrării</w:t>
      </w:r>
      <w:r w:rsidR="00CD69ED" w:rsidRPr="007F316D">
        <w:rPr>
          <w:rFonts w:ascii="Times New Roman" w:eastAsia="Times New Roman" w:hAnsi="Times New Roman" w:cs="Times New Roman"/>
          <w:i/>
          <w:color w:val="000000"/>
          <w:sz w:val="24"/>
          <w:szCs w:val="24"/>
        </w:rPr>
        <w:t xml:space="preserve"> achizițiilor de valoare mică, acord</w:t>
      </w:r>
      <w:r w:rsidR="00767241" w:rsidRPr="007F316D">
        <w:rPr>
          <w:rFonts w:ascii="Times New Roman" w:eastAsia="Times New Roman" w:hAnsi="Times New Roman" w:cs="Times New Roman"/>
          <w:i/>
          <w:color w:val="000000"/>
          <w:sz w:val="24"/>
          <w:szCs w:val="24"/>
        </w:rPr>
        <w:t>ul</w:t>
      </w:r>
      <w:r w:rsidR="00F96DDA" w:rsidRPr="007F316D">
        <w:rPr>
          <w:rFonts w:ascii="Times New Roman" w:eastAsia="Times New Roman" w:hAnsi="Times New Roman" w:cs="Times New Roman"/>
          <w:i/>
          <w:color w:val="000000"/>
          <w:sz w:val="24"/>
          <w:szCs w:val="24"/>
        </w:rPr>
        <w:t>ui</w:t>
      </w:r>
      <w:r w:rsidR="00CD69ED" w:rsidRPr="007F316D">
        <w:rPr>
          <w:rFonts w:ascii="Times New Roman" w:eastAsia="Times New Roman" w:hAnsi="Times New Roman" w:cs="Times New Roman"/>
          <w:i/>
          <w:color w:val="000000"/>
          <w:sz w:val="24"/>
          <w:szCs w:val="24"/>
        </w:rPr>
        <w:t>-cadru</w:t>
      </w:r>
      <w:r w:rsidR="00AE0AFF" w:rsidRPr="007F316D">
        <w:rPr>
          <w:rFonts w:ascii="Times New Roman" w:eastAsia="Times New Roman" w:hAnsi="Times New Roman" w:cs="Times New Roman"/>
          <w:i/>
          <w:color w:val="000000"/>
          <w:sz w:val="24"/>
          <w:szCs w:val="24"/>
        </w:rPr>
        <w:t>, negocier</w:t>
      </w:r>
      <w:r w:rsidR="00F96DDA" w:rsidRPr="007F316D">
        <w:rPr>
          <w:rFonts w:ascii="Times New Roman" w:eastAsia="Times New Roman" w:hAnsi="Times New Roman" w:cs="Times New Roman"/>
          <w:i/>
          <w:color w:val="000000"/>
          <w:sz w:val="24"/>
          <w:szCs w:val="24"/>
        </w:rPr>
        <w:t>ii</w:t>
      </w:r>
      <w:r w:rsidR="00AE0AFF" w:rsidRPr="007F316D">
        <w:rPr>
          <w:rFonts w:ascii="Times New Roman" w:eastAsia="Times New Roman" w:hAnsi="Times New Roman" w:cs="Times New Roman"/>
          <w:i/>
          <w:color w:val="000000"/>
          <w:sz w:val="24"/>
          <w:szCs w:val="24"/>
        </w:rPr>
        <w:t xml:space="preserve"> fără publicarea prealabilă a anunț</w:t>
      </w:r>
      <w:r w:rsidR="00B0067B" w:rsidRPr="007F316D">
        <w:rPr>
          <w:rFonts w:ascii="Times New Roman" w:eastAsia="Times New Roman" w:hAnsi="Times New Roman" w:cs="Times New Roman"/>
          <w:i/>
          <w:color w:val="000000"/>
          <w:sz w:val="24"/>
          <w:szCs w:val="24"/>
        </w:rPr>
        <w:t>ului</w:t>
      </w:r>
      <w:r w:rsidR="00AE0AFF" w:rsidRPr="007F316D">
        <w:rPr>
          <w:rFonts w:ascii="Times New Roman" w:eastAsia="Times New Roman" w:hAnsi="Times New Roman" w:cs="Times New Roman"/>
          <w:i/>
          <w:color w:val="000000"/>
          <w:sz w:val="24"/>
          <w:szCs w:val="24"/>
        </w:rPr>
        <w:t xml:space="preserve"> de participare</w:t>
      </w:r>
      <w:r w:rsidR="00004B18" w:rsidRPr="007F316D">
        <w:rPr>
          <w:rFonts w:ascii="Times New Roman" w:eastAsia="Times New Roman" w:hAnsi="Times New Roman" w:cs="Times New Roman"/>
          <w:i/>
          <w:color w:val="000000"/>
          <w:sz w:val="24"/>
          <w:szCs w:val="24"/>
        </w:rPr>
        <w:t xml:space="preserve">; </w:t>
      </w:r>
      <w:r w:rsidR="00CD69ED" w:rsidRPr="007F316D">
        <w:rPr>
          <w:rFonts w:ascii="Times New Roman" w:eastAsia="Times New Roman" w:hAnsi="Times New Roman" w:cs="Times New Roman"/>
          <w:i/>
          <w:color w:val="000000"/>
          <w:sz w:val="24"/>
          <w:szCs w:val="24"/>
        </w:rPr>
        <w:t>a</w:t>
      </w:r>
      <w:r w:rsidR="00231FC0" w:rsidRPr="007F316D">
        <w:rPr>
          <w:rFonts w:ascii="Times New Roman" w:eastAsia="Times New Roman" w:hAnsi="Times New Roman" w:cs="Times New Roman"/>
          <w:i/>
          <w:color w:val="000000"/>
          <w:sz w:val="24"/>
          <w:szCs w:val="24"/>
        </w:rPr>
        <w:t xml:space="preserve"> patrimoniului </w:t>
      </w:r>
      <w:r w:rsidR="00707BE0" w:rsidRPr="007F316D">
        <w:rPr>
          <w:rFonts w:ascii="Times New Roman" w:eastAsia="Times New Roman" w:hAnsi="Times New Roman" w:cs="Times New Roman"/>
          <w:i/>
          <w:color w:val="000000"/>
          <w:sz w:val="24"/>
          <w:szCs w:val="24"/>
        </w:rPr>
        <w:t>public</w:t>
      </w:r>
      <w:r w:rsidR="00215F5D" w:rsidRPr="007F316D">
        <w:rPr>
          <w:rFonts w:ascii="Times New Roman" w:eastAsia="Times New Roman" w:hAnsi="Times New Roman" w:cs="Times New Roman"/>
          <w:i/>
          <w:color w:val="000000"/>
          <w:sz w:val="24"/>
          <w:szCs w:val="24"/>
        </w:rPr>
        <w:t xml:space="preserve">, inclusiv a </w:t>
      </w:r>
      <w:r w:rsidR="00A100B7" w:rsidRPr="007F316D">
        <w:rPr>
          <w:rFonts w:ascii="Times New Roman" w:eastAsia="Times New Roman" w:hAnsi="Times New Roman" w:cs="Times New Roman"/>
          <w:i/>
          <w:color w:val="000000"/>
          <w:sz w:val="24"/>
          <w:szCs w:val="24"/>
        </w:rPr>
        <w:t>mijloace</w:t>
      </w:r>
      <w:r w:rsidR="00215F5D" w:rsidRPr="007F316D">
        <w:rPr>
          <w:rFonts w:ascii="Times New Roman" w:eastAsia="Times New Roman" w:hAnsi="Times New Roman" w:cs="Times New Roman"/>
          <w:i/>
          <w:color w:val="000000"/>
          <w:sz w:val="24"/>
          <w:szCs w:val="24"/>
        </w:rPr>
        <w:t>lor</w:t>
      </w:r>
      <w:r w:rsidR="00A100B7" w:rsidRPr="007F316D">
        <w:rPr>
          <w:rFonts w:ascii="Times New Roman" w:eastAsia="Times New Roman" w:hAnsi="Times New Roman" w:cs="Times New Roman"/>
          <w:i/>
          <w:color w:val="000000"/>
          <w:sz w:val="24"/>
          <w:szCs w:val="24"/>
        </w:rPr>
        <w:t xml:space="preserve"> fixe</w:t>
      </w:r>
      <w:r w:rsidR="00215F5D" w:rsidRPr="007F316D">
        <w:rPr>
          <w:rFonts w:ascii="Times New Roman" w:eastAsia="Times New Roman" w:hAnsi="Times New Roman" w:cs="Times New Roman"/>
          <w:i/>
          <w:color w:val="000000"/>
          <w:sz w:val="24"/>
          <w:szCs w:val="24"/>
        </w:rPr>
        <w:t>;</w:t>
      </w:r>
      <w:r w:rsidR="00A100B7" w:rsidRPr="007F316D">
        <w:rPr>
          <w:rFonts w:ascii="Times New Roman" w:eastAsia="Times New Roman" w:hAnsi="Times New Roman" w:cs="Times New Roman"/>
          <w:i/>
          <w:color w:val="000000"/>
          <w:sz w:val="24"/>
          <w:szCs w:val="24"/>
        </w:rPr>
        <w:t xml:space="preserve"> </w:t>
      </w:r>
      <w:r w:rsidR="00F6703F" w:rsidRPr="007F316D">
        <w:rPr>
          <w:rFonts w:ascii="Times New Roman" w:eastAsia="Times New Roman" w:hAnsi="Times New Roman" w:cs="Times New Roman"/>
          <w:i/>
          <w:color w:val="000000"/>
          <w:sz w:val="24"/>
          <w:szCs w:val="24"/>
        </w:rPr>
        <w:t>stocuri</w:t>
      </w:r>
      <w:r w:rsidR="00215F5D" w:rsidRPr="007F316D">
        <w:rPr>
          <w:rFonts w:ascii="Times New Roman" w:eastAsia="Times New Roman" w:hAnsi="Times New Roman" w:cs="Times New Roman"/>
          <w:i/>
          <w:color w:val="000000"/>
          <w:sz w:val="24"/>
          <w:szCs w:val="24"/>
        </w:rPr>
        <w:t>lor</w:t>
      </w:r>
      <w:r w:rsidR="00F6703F" w:rsidRPr="007F316D">
        <w:rPr>
          <w:rFonts w:ascii="Times New Roman" w:eastAsia="Times New Roman" w:hAnsi="Times New Roman" w:cs="Times New Roman"/>
          <w:i/>
          <w:color w:val="000000"/>
          <w:sz w:val="24"/>
          <w:szCs w:val="24"/>
        </w:rPr>
        <w:t xml:space="preserve"> de materiale circulante</w:t>
      </w:r>
      <w:r w:rsidR="00004B18" w:rsidRPr="007F316D">
        <w:rPr>
          <w:rFonts w:ascii="Times New Roman" w:eastAsia="Times New Roman" w:hAnsi="Times New Roman" w:cs="Times New Roman"/>
          <w:i/>
          <w:color w:val="000000"/>
          <w:sz w:val="24"/>
          <w:szCs w:val="24"/>
        </w:rPr>
        <w:t xml:space="preserve">, </w:t>
      </w:r>
      <w:r w:rsidR="004E664B" w:rsidRPr="007F316D">
        <w:rPr>
          <w:rFonts w:ascii="Times New Roman" w:hAnsi="Times New Roman" w:cs="Times New Roman"/>
          <w:i/>
          <w:sz w:val="24"/>
          <w:szCs w:val="24"/>
        </w:rPr>
        <w:t>decont</w:t>
      </w:r>
      <w:r w:rsidRPr="007F316D">
        <w:rPr>
          <w:rFonts w:ascii="Times New Roman" w:hAnsi="Times New Roman" w:cs="Times New Roman"/>
          <w:i/>
          <w:sz w:val="24"/>
          <w:szCs w:val="24"/>
        </w:rPr>
        <w:t>ării</w:t>
      </w:r>
      <w:r w:rsidR="004E664B" w:rsidRPr="007F316D">
        <w:rPr>
          <w:rFonts w:ascii="Times New Roman" w:hAnsi="Times New Roman" w:cs="Times New Roman"/>
          <w:i/>
          <w:sz w:val="24"/>
          <w:szCs w:val="24"/>
        </w:rPr>
        <w:t xml:space="preserve"> </w:t>
      </w:r>
      <w:r w:rsidR="00F81701">
        <w:rPr>
          <w:rFonts w:ascii="Times New Roman" w:hAnsi="Times New Roman" w:cs="Times New Roman"/>
          <w:i/>
          <w:sz w:val="24"/>
          <w:szCs w:val="24"/>
        </w:rPr>
        <w:t>carburanți</w:t>
      </w:r>
      <w:r w:rsidR="00641CD1">
        <w:rPr>
          <w:rFonts w:ascii="Times New Roman" w:hAnsi="Times New Roman" w:cs="Times New Roman"/>
          <w:i/>
          <w:sz w:val="24"/>
          <w:szCs w:val="24"/>
        </w:rPr>
        <w:t>lor</w:t>
      </w:r>
      <w:r w:rsidR="00004B18" w:rsidRPr="007F316D">
        <w:rPr>
          <w:rFonts w:ascii="Times New Roman" w:hAnsi="Times New Roman" w:cs="Times New Roman"/>
          <w:i/>
          <w:sz w:val="24"/>
          <w:szCs w:val="24"/>
        </w:rPr>
        <w:t xml:space="preserve">; </w:t>
      </w:r>
      <w:r w:rsidR="006471EE" w:rsidRPr="007F316D">
        <w:rPr>
          <w:rFonts w:ascii="Times New Roman" w:eastAsia="Times New Roman" w:hAnsi="Times New Roman" w:cs="Times New Roman"/>
          <w:i/>
          <w:color w:val="000000"/>
          <w:sz w:val="24"/>
          <w:szCs w:val="24"/>
        </w:rPr>
        <w:t>procesel</w:t>
      </w:r>
      <w:r w:rsidR="00937325">
        <w:rPr>
          <w:rFonts w:ascii="Times New Roman" w:eastAsia="Times New Roman" w:hAnsi="Times New Roman" w:cs="Times New Roman"/>
          <w:i/>
          <w:color w:val="000000"/>
          <w:sz w:val="24"/>
          <w:szCs w:val="24"/>
        </w:rPr>
        <w:t>e</w:t>
      </w:r>
      <w:r w:rsidR="00004B18" w:rsidRPr="007F316D">
        <w:rPr>
          <w:rFonts w:ascii="Times New Roman" w:eastAsia="Times New Roman" w:hAnsi="Times New Roman" w:cs="Times New Roman"/>
          <w:i/>
          <w:color w:val="000000"/>
          <w:sz w:val="24"/>
          <w:szCs w:val="24"/>
        </w:rPr>
        <w:t xml:space="preserve"> operaționale</w:t>
      </w:r>
      <w:r w:rsidR="00F42654" w:rsidRPr="007F316D">
        <w:rPr>
          <w:rFonts w:ascii="Times New Roman" w:eastAsia="Times New Roman" w:hAnsi="Times New Roman" w:cs="Times New Roman"/>
          <w:i/>
          <w:color w:val="000000"/>
          <w:sz w:val="24"/>
          <w:szCs w:val="24"/>
        </w:rPr>
        <w:t xml:space="preserve"> </w:t>
      </w:r>
      <w:r w:rsidR="006471EE" w:rsidRPr="007F316D">
        <w:rPr>
          <w:rFonts w:ascii="Times New Roman" w:eastAsia="Times New Roman" w:hAnsi="Times New Roman" w:cs="Times New Roman"/>
          <w:i/>
          <w:color w:val="000000"/>
          <w:sz w:val="24"/>
          <w:szCs w:val="24"/>
        </w:rPr>
        <w:t>aferente</w:t>
      </w:r>
      <w:r w:rsidR="00215F5D" w:rsidRPr="007F316D">
        <w:rPr>
          <w:rFonts w:ascii="Times New Roman" w:eastAsia="Times New Roman" w:hAnsi="Times New Roman" w:cs="Times New Roman"/>
          <w:i/>
          <w:color w:val="000000"/>
          <w:sz w:val="24"/>
          <w:szCs w:val="24"/>
        </w:rPr>
        <w:t xml:space="preserve"> </w:t>
      </w:r>
      <w:r w:rsidR="00215F5D" w:rsidRPr="007F316D">
        <w:rPr>
          <w:rFonts w:ascii="Times New Roman" w:hAnsi="Times New Roman" w:cs="Times New Roman"/>
          <w:i/>
          <w:sz w:val="24"/>
          <w:szCs w:val="24"/>
          <w:shd w:val="clear" w:color="auto" w:fill="FFFFFF" w:themeFill="background1"/>
        </w:rPr>
        <w:t>planific</w:t>
      </w:r>
      <w:r w:rsidR="006471EE" w:rsidRPr="007F316D">
        <w:rPr>
          <w:rFonts w:ascii="Times New Roman" w:hAnsi="Times New Roman" w:cs="Times New Roman"/>
          <w:i/>
          <w:sz w:val="24"/>
          <w:szCs w:val="24"/>
          <w:shd w:val="clear" w:color="auto" w:fill="FFFFFF" w:themeFill="background1"/>
        </w:rPr>
        <w:t>ării</w:t>
      </w:r>
      <w:r w:rsidR="00215F5D" w:rsidRPr="007F316D">
        <w:rPr>
          <w:rFonts w:ascii="Times New Roman" w:hAnsi="Times New Roman" w:cs="Times New Roman"/>
          <w:i/>
          <w:sz w:val="24"/>
          <w:szCs w:val="24"/>
          <w:shd w:val="clear" w:color="auto" w:fill="FFFFFF" w:themeFill="background1"/>
        </w:rPr>
        <w:t>, aprob</w:t>
      </w:r>
      <w:r w:rsidR="006471EE" w:rsidRPr="007F316D">
        <w:rPr>
          <w:rFonts w:ascii="Times New Roman" w:hAnsi="Times New Roman" w:cs="Times New Roman"/>
          <w:i/>
          <w:sz w:val="24"/>
          <w:szCs w:val="24"/>
          <w:shd w:val="clear" w:color="auto" w:fill="FFFFFF" w:themeFill="background1"/>
        </w:rPr>
        <w:t>ării</w:t>
      </w:r>
      <w:r w:rsidR="00215F5D" w:rsidRPr="007F316D">
        <w:rPr>
          <w:rFonts w:ascii="Times New Roman" w:hAnsi="Times New Roman" w:cs="Times New Roman"/>
          <w:i/>
          <w:sz w:val="24"/>
          <w:szCs w:val="24"/>
          <w:shd w:val="clear" w:color="auto" w:fill="FFFFFF" w:themeFill="background1"/>
        </w:rPr>
        <w:t xml:space="preserve"> și execut</w:t>
      </w:r>
      <w:r w:rsidR="006471EE" w:rsidRPr="007F316D">
        <w:rPr>
          <w:rFonts w:ascii="Times New Roman" w:hAnsi="Times New Roman" w:cs="Times New Roman"/>
          <w:i/>
          <w:sz w:val="24"/>
          <w:szCs w:val="24"/>
          <w:shd w:val="clear" w:color="auto" w:fill="FFFFFF" w:themeFill="background1"/>
        </w:rPr>
        <w:t>ării</w:t>
      </w:r>
      <w:r w:rsidR="00215F5D" w:rsidRPr="007F316D">
        <w:rPr>
          <w:rFonts w:ascii="Times New Roman" w:hAnsi="Times New Roman" w:cs="Times New Roman"/>
          <w:i/>
          <w:sz w:val="24"/>
          <w:szCs w:val="24"/>
          <w:shd w:val="clear" w:color="auto" w:fill="FFFFFF" w:themeFill="background1"/>
        </w:rPr>
        <w:t xml:space="preserve"> cheltuielilor pentru reparația curentă a </w:t>
      </w:r>
      <w:r w:rsidR="00215F5D" w:rsidRPr="007F316D">
        <w:rPr>
          <w:rFonts w:ascii="Times New Roman" w:hAnsi="Times New Roman" w:cs="Times New Roman"/>
          <w:i/>
          <w:sz w:val="24"/>
          <w:szCs w:val="24"/>
        </w:rPr>
        <w:t>autoturismelor de serviciu</w:t>
      </w:r>
      <w:r w:rsidR="00B0067B" w:rsidRPr="007F316D">
        <w:rPr>
          <w:rFonts w:ascii="Times New Roman" w:hAnsi="Times New Roman" w:cs="Times New Roman"/>
          <w:i/>
          <w:sz w:val="24"/>
          <w:szCs w:val="24"/>
        </w:rPr>
        <w:t>,</w:t>
      </w:r>
      <w:r w:rsidR="00184FCF" w:rsidRPr="007F316D">
        <w:rPr>
          <w:rFonts w:ascii="Times New Roman" w:hAnsi="Times New Roman" w:cs="Times New Roman"/>
          <w:i/>
          <w:sz w:val="24"/>
          <w:szCs w:val="24"/>
        </w:rPr>
        <w:t xml:space="preserve"> cu identificarea</w:t>
      </w:r>
      <w:r w:rsidR="006049D5" w:rsidRPr="007F316D">
        <w:rPr>
          <w:rFonts w:ascii="Times New Roman" w:eastAsia="Times New Roman" w:hAnsi="Times New Roman" w:cs="Times New Roman"/>
          <w:i/>
          <w:color w:val="000000"/>
          <w:sz w:val="24"/>
          <w:szCs w:val="24"/>
        </w:rPr>
        <w:t xml:space="preserve"> riscuril</w:t>
      </w:r>
      <w:r w:rsidR="00184FCF" w:rsidRPr="007F316D">
        <w:rPr>
          <w:rFonts w:ascii="Times New Roman" w:eastAsia="Times New Roman" w:hAnsi="Times New Roman" w:cs="Times New Roman"/>
          <w:i/>
          <w:color w:val="000000"/>
          <w:sz w:val="24"/>
          <w:szCs w:val="24"/>
        </w:rPr>
        <w:t>or</w:t>
      </w:r>
      <w:r w:rsidR="006049D5" w:rsidRPr="007F316D">
        <w:rPr>
          <w:rFonts w:ascii="Times New Roman" w:eastAsia="Times New Roman" w:hAnsi="Times New Roman" w:cs="Times New Roman"/>
          <w:i/>
          <w:color w:val="000000"/>
          <w:sz w:val="24"/>
          <w:szCs w:val="24"/>
        </w:rPr>
        <w:t xml:space="preserve"> </w:t>
      </w:r>
      <w:r w:rsidR="00D93F46">
        <w:rPr>
          <w:rFonts w:ascii="Times New Roman" w:eastAsia="Times New Roman" w:hAnsi="Times New Roman" w:cs="Times New Roman"/>
          <w:i/>
          <w:color w:val="000000"/>
          <w:sz w:val="24"/>
          <w:szCs w:val="24"/>
        </w:rPr>
        <w:t>acestor</w:t>
      </w:r>
      <w:r w:rsidR="006049D5" w:rsidRPr="007F316D">
        <w:rPr>
          <w:rFonts w:ascii="Times New Roman" w:eastAsia="Times New Roman" w:hAnsi="Times New Roman" w:cs="Times New Roman"/>
          <w:i/>
          <w:color w:val="000000"/>
          <w:sz w:val="24"/>
          <w:szCs w:val="24"/>
        </w:rPr>
        <w:t xml:space="preserve"> procese </w:t>
      </w:r>
      <w:r w:rsidR="00184FCF" w:rsidRPr="007F316D">
        <w:rPr>
          <w:rFonts w:ascii="Times New Roman" w:eastAsia="Times New Roman" w:hAnsi="Times New Roman" w:cs="Times New Roman"/>
          <w:i/>
          <w:color w:val="000000"/>
          <w:sz w:val="24"/>
          <w:szCs w:val="24"/>
        </w:rPr>
        <w:t>și actualizarea</w:t>
      </w:r>
      <w:r w:rsidR="009B68BE" w:rsidRPr="007F316D">
        <w:rPr>
          <w:rFonts w:ascii="Times New Roman" w:eastAsia="Times New Roman" w:hAnsi="Times New Roman" w:cs="Times New Roman"/>
          <w:i/>
          <w:color w:val="000000"/>
          <w:sz w:val="24"/>
          <w:szCs w:val="24"/>
        </w:rPr>
        <w:t xml:space="preserve"> registrului</w:t>
      </w:r>
      <w:r w:rsidR="00184FCF" w:rsidRPr="007F316D">
        <w:rPr>
          <w:rFonts w:ascii="Times New Roman" w:eastAsia="Times New Roman" w:hAnsi="Times New Roman" w:cs="Times New Roman"/>
          <w:i/>
          <w:color w:val="000000"/>
          <w:sz w:val="24"/>
          <w:szCs w:val="24"/>
        </w:rPr>
        <w:t xml:space="preserve"> riscurilor</w:t>
      </w:r>
      <w:r w:rsidR="009B5090" w:rsidRPr="007F316D">
        <w:rPr>
          <w:rFonts w:ascii="Times New Roman" w:eastAsia="Times New Roman" w:hAnsi="Times New Roman" w:cs="Times New Roman"/>
          <w:i/>
          <w:color w:val="000000"/>
          <w:sz w:val="24"/>
          <w:szCs w:val="24"/>
        </w:rPr>
        <w:t xml:space="preserve"> (pct. 4.4.1)</w:t>
      </w:r>
      <w:r w:rsidR="00B0067B" w:rsidRPr="007F316D">
        <w:rPr>
          <w:rFonts w:ascii="Times New Roman" w:eastAsia="Times New Roman" w:hAnsi="Times New Roman" w:cs="Times New Roman"/>
          <w:i/>
          <w:color w:val="000000"/>
          <w:sz w:val="24"/>
          <w:szCs w:val="24"/>
        </w:rPr>
        <w:t xml:space="preserve">; </w:t>
      </w:r>
      <w:r w:rsidR="006049D5" w:rsidRPr="007F316D">
        <w:rPr>
          <w:rFonts w:ascii="Times New Roman" w:eastAsia="Times New Roman" w:hAnsi="Times New Roman" w:cs="Times New Roman"/>
          <w:i/>
          <w:color w:val="000000"/>
          <w:sz w:val="24"/>
          <w:szCs w:val="24"/>
        </w:rPr>
        <w:t xml:space="preserve"> </w:t>
      </w:r>
    </w:p>
    <w:p w14:paraId="00AF2CCF" w14:textId="77E6BA90" w:rsidR="00D63C6D" w:rsidRPr="004D2FF7" w:rsidRDefault="000627C2" w:rsidP="00533FC8">
      <w:pPr>
        <w:numPr>
          <w:ilvl w:val="0"/>
          <w:numId w:val="5"/>
        </w:numPr>
        <w:tabs>
          <w:tab w:val="left" w:pos="90"/>
          <w:tab w:val="left" w:pos="360"/>
          <w:tab w:val="left" w:pos="851"/>
        </w:tabs>
        <w:spacing w:after="120" w:line="276" w:lineRule="auto"/>
        <w:ind w:left="0" w:firstLine="426"/>
        <w:jc w:val="both"/>
        <w:rPr>
          <w:rFonts w:ascii="Times New Roman" w:hAnsi="Times New Roman" w:cs="Times New Roman"/>
          <w:i/>
          <w:sz w:val="24"/>
          <w:szCs w:val="24"/>
        </w:rPr>
      </w:pPr>
      <w:r>
        <w:rPr>
          <w:rFonts w:ascii="Times New Roman" w:hAnsi="Times New Roman" w:cs="Times New Roman"/>
          <w:bCs/>
          <w:i/>
          <w:iCs/>
          <w:noProof/>
          <w:sz w:val="24"/>
          <w:szCs w:val="24"/>
        </w:rPr>
        <w:t>s</w:t>
      </w:r>
      <w:r w:rsidR="00A03D7B" w:rsidRPr="004D2FF7">
        <w:rPr>
          <w:rFonts w:ascii="Times New Roman" w:hAnsi="Times New Roman" w:cs="Times New Roman"/>
          <w:bCs/>
          <w:i/>
          <w:iCs/>
          <w:noProof/>
          <w:sz w:val="24"/>
          <w:szCs w:val="24"/>
        </w:rPr>
        <w:t>ă planifice cheltuielile bugetare în conformitate cu principiile bunei guvernări, iar</w:t>
      </w:r>
      <w:r w:rsidR="00A03D7B" w:rsidRPr="004D2FF7">
        <w:rPr>
          <w:rFonts w:ascii="Times New Roman" w:hAnsi="Times New Roman" w:cs="Times New Roman"/>
          <w:i/>
          <w:noProof/>
          <w:sz w:val="24"/>
          <w:szCs w:val="24"/>
        </w:rPr>
        <w:t xml:space="preserve"> propunerile de buget să fie fundamentate și clasificate reieșind din necesitățile reale, cu justificarea necesarului de resurse bugetare </w:t>
      </w:r>
      <w:r w:rsidR="00A03D7B" w:rsidRPr="004D2FF7">
        <w:rPr>
          <w:rFonts w:ascii="Times New Roman" w:eastAsia="Times New Roman" w:hAnsi="Times New Roman" w:cs="Times New Roman"/>
          <w:i/>
          <w:color w:val="000000"/>
          <w:sz w:val="24"/>
          <w:szCs w:val="24"/>
        </w:rPr>
        <w:t>(pct.4.1.</w:t>
      </w:r>
      <w:r w:rsidR="00D63C6D" w:rsidRPr="004D2FF7">
        <w:rPr>
          <w:rFonts w:ascii="Times New Roman" w:eastAsia="Times New Roman" w:hAnsi="Times New Roman" w:cs="Times New Roman"/>
          <w:i/>
          <w:color w:val="000000"/>
          <w:sz w:val="24"/>
          <w:szCs w:val="24"/>
        </w:rPr>
        <w:t>1)</w:t>
      </w:r>
      <w:r>
        <w:rPr>
          <w:rFonts w:ascii="Times New Roman" w:eastAsia="Times New Roman" w:hAnsi="Times New Roman" w:cs="Times New Roman"/>
          <w:i/>
          <w:color w:val="000000"/>
          <w:sz w:val="24"/>
          <w:szCs w:val="24"/>
        </w:rPr>
        <w:t>;</w:t>
      </w:r>
    </w:p>
    <w:p w14:paraId="5B56B81F" w14:textId="574E084A" w:rsidR="00D63C6D" w:rsidRPr="004D2FF7" w:rsidRDefault="000627C2" w:rsidP="00533FC8">
      <w:pPr>
        <w:numPr>
          <w:ilvl w:val="0"/>
          <w:numId w:val="5"/>
        </w:numPr>
        <w:tabs>
          <w:tab w:val="left" w:pos="90"/>
          <w:tab w:val="left" w:pos="360"/>
          <w:tab w:val="left" w:pos="851"/>
        </w:tabs>
        <w:spacing w:after="120" w:line="276" w:lineRule="auto"/>
        <w:ind w:left="0" w:firstLine="426"/>
        <w:jc w:val="both"/>
        <w:rPr>
          <w:rFonts w:ascii="Times New Roman" w:hAnsi="Times New Roman" w:cs="Times New Roman"/>
          <w:i/>
          <w:sz w:val="24"/>
          <w:szCs w:val="24"/>
        </w:rPr>
      </w:pPr>
      <w:r>
        <w:rPr>
          <w:rFonts w:ascii="Times New Roman" w:eastAsia="Times New Roman" w:hAnsi="Times New Roman" w:cs="Times New Roman"/>
          <w:i/>
          <w:color w:val="000000"/>
          <w:sz w:val="24"/>
          <w:szCs w:val="24"/>
        </w:rPr>
        <w:t>s</w:t>
      </w:r>
      <w:r w:rsidR="006049D5" w:rsidRPr="004D2FF7">
        <w:rPr>
          <w:rFonts w:ascii="Times New Roman" w:eastAsia="Times New Roman" w:hAnsi="Times New Roman" w:cs="Times New Roman"/>
          <w:i/>
          <w:color w:val="000000"/>
          <w:sz w:val="24"/>
          <w:szCs w:val="24"/>
        </w:rPr>
        <w:t>ă asigure elaborarea unor indicatori de performanță relevanți activităților desfășurate de</w:t>
      </w:r>
      <w:r w:rsidR="00D63C6D" w:rsidRPr="004D2FF7">
        <w:rPr>
          <w:rFonts w:ascii="Times New Roman" w:eastAsia="Times New Roman" w:hAnsi="Times New Roman" w:cs="Times New Roman"/>
          <w:i/>
          <w:color w:val="000000"/>
          <w:sz w:val="24"/>
          <w:szCs w:val="24"/>
        </w:rPr>
        <w:t xml:space="preserve"> către</w:t>
      </w:r>
      <w:r w:rsidR="006049D5" w:rsidRPr="004D2FF7">
        <w:rPr>
          <w:rFonts w:ascii="Times New Roman" w:eastAsia="Times New Roman" w:hAnsi="Times New Roman" w:cs="Times New Roman"/>
          <w:i/>
          <w:color w:val="000000"/>
          <w:sz w:val="24"/>
          <w:szCs w:val="24"/>
        </w:rPr>
        <w:t xml:space="preserve"> </w:t>
      </w:r>
      <w:r w:rsidR="006E1CD3" w:rsidRPr="004D2FF7">
        <w:rPr>
          <w:rFonts w:ascii="Times New Roman" w:eastAsia="Times New Roman" w:hAnsi="Times New Roman" w:cs="Times New Roman"/>
          <w:i/>
          <w:color w:val="000000"/>
          <w:sz w:val="24"/>
          <w:szCs w:val="24"/>
        </w:rPr>
        <w:t>CNPDCP</w:t>
      </w:r>
      <w:r w:rsidR="004158FF" w:rsidRPr="004D2FF7">
        <w:rPr>
          <w:rFonts w:ascii="Times New Roman" w:eastAsia="Times New Roman" w:hAnsi="Times New Roman" w:cs="Times New Roman"/>
          <w:i/>
          <w:color w:val="000000"/>
          <w:sz w:val="24"/>
          <w:szCs w:val="24"/>
        </w:rPr>
        <w:t xml:space="preserve"> și</w:t>
      </w:r>
      <w:r w:rsidR="004158FF" w:rsidRPr="004D2FF7">
        <w:rPr>
          <w:rFonts w:ascii="Times New Roman" w:hAnsi="Times New Roman" w:cs="Times New Roman"/>
          <w:i/>
          <w:sz w:val="24"/>
          <w:szCs w:val="24"/>
        </w:rPr>
        <w:t xml:space="preserve"> formulați în baza principiului SMART</w:t>
      </w:r>
      <w:r w:rsidR="009B5090" w:rsidRPr="004D2FF7">
        <w:rPr>
          <w:rFonts w:ascii="Times New Roman" w:eastAsia="Times New Roman" w:hAnsi="Times New Roman" w:cs="Times New Roman"/>
          <w:i/>
          <w:color w:val="000000"/>
          <w:sz w:val="24"/>
          <w:szCs w:val="24"/>
        </w:rPr>
        <w:t xml:space="preserve"> (pct.4.1.2)</w:t>
      </w:r>
      <w:r>
        <w:rPr>
          <w:rFonts w:ascii="Times New Roman" w:eastAsia="Times New Roman" w:hAnsi="Times New Roman" w:cs="Times New Roman"/>
          <w:i/>
          <w:color w:val="000000"/>
          <w:sz w:val="24"/>
          <w:szCs w:val="24"/>
        </w:rPr>
        <w:t>;</w:t>
      </w:r>
    </w:p>
    <w:p w14:paraId="28E25C93" w14:textId="42D28E30" w:rsidR="00D63C6D" w:rsidRPr="004D2FF7" w:rsidRDefault="000627C2" w:rsidP="00533FC8">
      <w:pPr>
        <w:numPr>
          <w:ilvl w:val="0"/>
          <w:numId w:val="5"/>
        </w:numPr>
        <w:tabs>
          <w:tab w:val="left" w:pos="90"/>
          <w:tab w:val="left" w:pos="360"/>
          <w:tab w:val="left" w:pos="851"/>
        </w:tabs>
        <w:spacing w:after="120" w:line="276" w:lineRule="auto"/>
        <w:ind w:left="0" w:firstLine="426"/>
        <w:jc w:val="both"/>
        <w:rPr>
          <w:rStyle w:val="Bodytext285pt"/>
          <w:rFonts w:ascii="Times New Roman" w:eastAsiaTheme="minorHAnsi" w:hAnsi="Times New Roman" w:cs="Times New Roman"/>
          <w:i/>
          <w:color w:val="auto"/>
          <w:sz w:val="24"/>
          <w:szCs w:val="24"/>
          <w:shd w:val="clear" w:color="auto" w:fill="auto"/>
          <w:lang w:val="ro-MD" w:bidi="ar-SA"/>
        </w:rPr>
      </w:pPr>
      <w:bookmarkStart w:id="42" w:name="bookmark8"/>
      <w:r>
        <w:rPr>
          <w:rFonts w:ascii="Times New Roman" w:hAnsi="Times New Roman" w:cs="Times New Roman"/>
          <w:i/>
          <w:sz w:val="24"/>
          <w:szCs w:val="24"/>
          <w:lang w:val="ro-RO"/>
        </w:rPr>
        <w:t>s</w:t>
      </w:r>
      <w:r w:rsidR="00DD6385" w:rsidRPr="004D2FF7">
        <w:rPr>
          <w:rFonts w:ascii="Times New Roman" w:hAnsi="Times New Roman" w:cs="Times New Roman"/>
          <w:i/>
          <w:sz w:val="24"/>
          <w:szCs w:val="24"/>
          <w:lang w:val="ro-RO"/>
        </w:rPr>
        <w:t xml:space="preserve">ă </w:t>
      </w:r>
      <w:r w:rsidR="00F76EDE" w:rsidRPr="004D2FF7">
        <w:rPr>
          <w:rFonts w:ascii="Times New Roman" w:hAnsi="Times New Roman" w:cs="Times New Roman"/>
          <w:i/>
          <w:sz w:val="24"/>
          <w:szCs w:val="24"/>
        </w:rPr>
        <w:t>asigure</w:t>
      </w:r>
      <w:r w:rsidR="00184FCF">
        <w:rPr>
          <w:rFonts w:ascii="Times New Roman" w:hAnsi="Times New Roman" w:cs="Times New Roman"/>
          <w:i/>
          <w:sz w:val="24"/>
          <w:szCs w:val="24"/>
        </w:rPr>
        <w:t xml:space="preserve"> elaborarea </w:t>
      </w:r>
      <w:r w:rsidR="0008143F" w:rsidRPr="004D2FF7">
        <w:rPr>
          <w:rFonts w:ascii="Times New Roman" w:hAnsi="Times New Roman" w:cs="Times New Roman"/>
          <w:i/>
          <w:sz w:val="24"/>
          <w:szCs w:val="24"/>
          <w:lang w:val="ro-RO"/>
        </w:rPr>
        <w:t>Strateg</w:t>
      </w:r>
      <w:r w:rsidR="00184FCF">
        <w:rPr>
          <w:rFonts w:ascii="Times New Roman" w:hAnsi="Times New Roman" w:cs="Times New Roman"/>
          <w:i/>
          <w:sz w:val="24"/>
          <w:szCs w:val="24"/>
          <w:lang w:val="ro-RO"/>
        </w:rPr>
        <w:t>iei naționale</w:t>
      </w:r>
      <w:r w:rsidR="0008143F" w:rsidRPr="004D2FF7">
        <w:rPr>
          <w:rFonts w:ascii="Times New Roman" w:hAnsi="Times New Roman" w:cs="Times New Roman"/>
          <w:i/>
          <w:sz w:val="24"/>
          <w:szCs w:val="24"/>
          <w:lang w:val="ro-RO"/>
        </w:rPr>
        <w:t xml:space="preserve"> în domeniul protecției datelor cu caracter personal</w:t>
      </w:r>
      <w:bookmarkEnd w:id="42"/>
      <w:r w:rsidR="00B1367B">
        <w:rPr>
          <w:rFonts w:ascii="Times New Roman" w:hAnsi="Times New Roman" w:cs="Times New Roman"/>
          <w:i/>
          <w:sz w:val="24"/>
          <w:szCs w:val="24"/>
          <w:lang w:val="ro-RO"/>
        </w:rPr>
        <w:t xml:space="preserve">, </w:t>
      </w:r>
      <w:r w:rsidR="00B1367B" w:rsidRPr="004D2FF7">
        <w:rPr>
          <w:rFonts w:ascii="Times New Roman" w:hAnsi="Times New Roman" w:cs="Times New Roman"/>
          <w:i/>
          <w:sz w:val="24"/>
          <w:szCs w:val="24"/>
        </w:rPr>
        <w:t xml:space="preserve">care ar asigura </w:t>
      </w:r>
      <w:r w:rsidR="00B1367B" w:rsidRPr="004D2FF7">
        <w:rPr>
          <w:rFonts w:ascii="Times New Roman" w:eastAsia="Times New Roman" w:hAnsi="Times New Roman" w:cs="Times New Roman"/>
          <w:i/>
          <w:sz w:val="24"/>
          <w:szCs w:val="24"/>
        </w:rPr>
        <w:t>consolidarea cadrului juridic, instituțional</w:t>
      </w:r>
      <w:r w:rsidR="00B1367B" w:rsidRPr="004D2FF7">
        <w:rPr>
          <w:rFonts w:ascii="Times New Roman" w:hAnsi="Times New Roman" w:cs="Times New Roman"/>
          <w:i/>
          <w:sz w:val="24"/>
          <w:szCs w:val="24"/>
        </w:rPr>
        <w:t xml:space="preserve"> și </w:t>
      </w:r>
      <w:r w:rsidR="00B1367B" w:rsidRPr="004D2FF7">
        <w:rPr>
          <w:rFonts w:ascii="Times New Roman" w:hAnsi="Times New Roman" w:cs="Times New Roman"/>
          <w:i/>
          <w:color w:val="00000A"/>
          <w:sz w:val="24"/>
          <w:szCs w:val="24"/>
        </w:rPr>
        <w:t xml:space="preserve">social adecvat în scopul </w:t>
      </w:r>
      <w:r w:rsidR="00B1367B" w:rsidRPr="004D2FF7">
        <w:rPr>
          <w:rFonts w:ascii="Times New Roman" w:hAnsi="Times New Roman" w:cs="Times New Roman"/>
          <w:i/>
          <w:color w:val="000000"/>
          <w:sz w:val="24"/>
          <w:szCs w:val="24"/>
        </w:rPr>
        <w:t xml:space="preserve">asigurării </w:t>
      </w:r>
      <w:r w:rsidR="00B1367B" w:rsidRPr="004D2FF7">
        <w:rPr>
          <w:rFonts w:ascii="Times New Roman" w:hAnsi="Times New Roman" w:cs="Times New Roman"/>
          <w:i/>
          <w:color w:val="00000A"/>
          <w:sz w:val="24"/>
          <w:szCs w:val="24"/>
        </w:rPr>
        <w:t>protecției drepturilor şi libertăților fundamentale ale persoanei fizice în ceea ce privește prelucrarea datelor cu caracter personal</w:t>
      </w:r>
      <w:r w:rsidR="00DD6385" w:rsidRPr="004D2FF7">
        <w:rPr>
          <w:rFonts w:ascii="Times New Roman" w:hAnsi="Times New Roman" w:cs="Times New Roman"/>
          <w:i/>
          <w:sz w:val="24"/>
          <w:szCs w:val="24"/>
          <w:lang w:val="ro-RO"/>
        </w:rPr>
        <w:t xml:space="preserve"> </w:t>
      </w:r>
      <w:r w:rsidR="00AA4719" w:rsidRPr="004D2FF7">
        <w:rPr>
          <w:rFonts w:ascii="Times New Roman" w:hAnsi="Times New Roman" w:cs="Times New Roman"/>
          <w:i/>
          <w:sz w:val="24"/>
          <w:szCs w:val="24"/>
        </w:rPr>
        <w:t>(pct.4.1.3)</w:t>
      </w:r>
      <w:r>
        <w:rPr>
          <w:rFonts w:ascii="Times New Roman" w:hAnsi="Times New Roman" w:cs="Times New Roman"/>
          <w:i/>
          <w:sz w:val="24"/>
          <w:szCs w:val="24"/>
        </w:rPr>
        <w:t>;</w:t>
      </w:r>
    </w:p>
    <w:p w14:paraId="0F063425" w14:textId="20DDB0B8" w:rsidR="00D63C6D" w:rsidRPr="004D2FF7" w:rsidRDefault="000627C2" w:rsidP="00533FC8">
      <w:pPr>
        <w:numPr>
          <w:ilvl w:val="0"/>
          <w:numId w:val="5"/>
        </w:numPr>
        <w:tabs>
          <w:tab w:val="left" w:pos="90"/>
          <w:tab w:val="left" w:pos="360"/>
          <w:tab w:val="left" w:pos="851"/>
        </w:tabs>
        <w:spacing w:after="120" w:line="276" w:lineRule="auto"/>
        <w:ind w:left="0" w:firstLine="426"/>
        <w:jc w:val="both"/>
        <w:rPr>
          <w:rFonts w:ascii="Times New Roman" w:hAnsi="Times New Roman" w:cs="Times New Roman"/>
          <w:i/>
          <w:sz w:val="24"/>
          <w:szCs w:val="24"/>
        </w:rPr>
      </w:pPr>
      <w:r>
        <w:rPr>
          <w:rFonts w:ascii="Times New Roman" w:hAnsi="Times New Roman" w:cs="Times New Roman"/>
          <w:i/>
          <w:noProof/>
          <w:sz w:val="24"/>
          <w:szCs w:val="24"/>
          <w:lang w:val="ro-RO"/>
        </w:rPr>
        <w:t>s</w:t>
      </w:r>
      <w:r w:rsidR="006967FC" w:rsidRPr="004D2FF7">
        <w:rPr>
          <w:rFonts w:ascii="Times New Roman" w:hAnsi="Times New Roman" w:cs="Times New Roman"/>
          <w:i/>
          <w:noProof/>
          <w:sz w:val="24"/>
          <w:szCs w:val="24"/>
          <w:lang w:val="ro-RO"/>
        </w:rPr>
        <w:t>ă asigure</w:t>
      </w:r>
      <w:r w:rsidR="008A2F6A" w:rsidRPr="004D2FF7">
        <w:rPr>
          <w:rFonts w:ascii="Times New Roman" w:hAnsi="Times New Roman" w:cs="Times New Roman"/>
          <w:i/>
          <w:noProof/>
          <w:sz w:val="24"/>
          <w:szCs w:val="24"/>
          <w:lang w:val="ro-RO"/>
        </w:rPr>
        <w:t xml:space="preserve"> </w:t>
      </w:r>
      <w:r w:rsidR="006967FC" w:rsidRPr="004D2FF7">
        <w:rPr>
          <w:rFonts w:ascii="Times New Roman" w:hAnsi="Times New Roman" w:cs="Times New Roman"/>
          <w:i/>
          <w:noProof/>
          <w:sz w:val="24"/>
          <w:szCs w:val="24"/>
          <w:lang w:val="ro-RO"/>
        </w:rPr>
        <w:t xml:space="preserve">respectarea regulilor de </w:t>
      </w:r>
      <w:r w:rsidR="006967FC" w:rsidRPr="004D2FF7">
        <w:rPr>
          <w:rFonts w:ascii="Times New Roman" w:hAnsi="Times New Roman" w:cs="Times New Roman"/>
          <w:i/>
          <w:sz w:val="24"/>
          <w:szCs w:val="24"/>
          <w:lang w:val="ro-RO"/>
        </w:rPr>
        <w:t>descriere a bunurilor</w:t>
      </w:r>
      <w:r w:rsidR="00572AE7" w:rsidRPr="004D2FF7">
        <w:rPr>
          <w:rFonts w:ascii="Times New Roman" w:hAnsi="Times New Roman" w:cs="Times New Roman"/>
          <w:i/>
          <w:sz w:val="24"/>
          <w:szCs w:val="24"/>
          <w:lang w:val="ro-RO"/>
        </w:rPr>
        <w:t xml:space="preserve">, </w:t>
      </w:r>
      <w:r>
        <w:rPr>
          <w:rFonts w:ascii="Times New Roman" w:hAnsi="Times New Roman" w:cs="Times New Roman"/>
          <w:i/>
          <w:sz w:val="24"/>
          <w:szCs w:val="24"/>
          <w:lang w:val="ro-RO"/>
        </w:rPr>
        <w:t xml:space="preserve">de </w:t>
      </w:r>
      <w:r w:rsidR="008A2F6A" w:rsidRPr="004D2FF7">
        <w:rPr>
          <w:rFonts w:ascii="Times New Roman" w:hAnsi="Times New Roman" w:cs="Times New Roman"/>
          <w:i/>
          <w:noProof/>
          <w:sz w:val="24"/>
          <w:szCs w:val="24"/>
          <w:lang w:val="ro-RO"/>
        </w:rPr>
        <w:t>consultare</w:t>
      </w:r>
      <w:r>
        <w:rPr>
          <w:rFonts w:ascii="Times New Roman" w:hAnsi="Times New Roman" w:cs="Times New Roman"/>
          <w:i/>
          <w:noProof/>
          <w:sz w:val="24"/>
          <w:szCs w:val="24"/>
          <w:lang w:val="ro-RO"/>
        </w:rPr>
        <w:t xml:space="preserve"> </w:t>
      </w:r>
      <w:r w:rsidR="008A2F6A" w:rsidRPr="004D2FF7">
        <w:rPr>
          <w:rFonts w:ascii="Times New Roman" w:hAnsi="Times New Roman" w:cs="Times New Roman"/>
          <w:i/>
          <w:noProof/>
          <w:sz w:val="24"/>
          <w:szCs w:val="24"/>
          <w:lang w:val="ro-RO"/>
        </w:rPr>
        <w:t>a pieț</w:t>
      </w:r>
      <w:r>
        <w:rPr>
          <w:rFonts w:ascii="Times New Roman" w:hAnsi="Times New Roman" w:cs="Times New Roman"/>
          <w:i/>
          <w:noProof/>
          <w:sz w:val="24"/>
          <w:szCs w:val="24"/>
          <w:lang w:val="ro-RO"/>
        </w:rPr>
        <w:t>e</w:t>
      </w:r>
      <w:r w:rsidR="008A2F6A" w:rsidRPr="004D2FF7">
        <w:rPr>
          <w:rFonts w:ascii="Times New Roman" w:hAnsi="Times New Roman" w:cs="Times New Roman"/>
          <w:i/>
          <w:noProof/>
          <w:sz w:val="24"/>
          <w:szCs w:val="24"/>
          <w:lang w:val="ro-RO"/>
        </w:rPr>
        <w:t>i</w:t>
      </w:r>
      <w:r w:rsidR="00384E86" w:rsidRPr="004D2FF7">
        <w:rPr>
          <w:rFonts w:ascii="Times New Roman" w:hAnsi="Times New Roman" w:cs="Times New Roman"/>
          <w:i/>
          <w:noProof/>
          <w:sz w:val="24"/>
          <w:szCs w:val="24"/>
          <w:lang w:val="ro-RO"/>
        </w:rPr>
        <w:t>,</w:t>
      </w:r>
      <w:r w:rsidR="009D4C51" w:rsidRPr="004D2FF7">
        <w:rPr>
          <w:rFonts w:ascii="Times New Roman" w:hAnsi="Times New Roman" w:cs="Times New Roman"/>
          <w:i/>
          <w:noProof/>
          <w:sz w:val="24"/>
          <w:szCs w:val="24"/>
          <w:lang w:val="ro-RO"/>
        </w:rPr>
        <w:t xml:space="preserve"> </w:t>
      </w:r>
      <w:r>
        <w:rPr>
          <w:rFonts w:ascii="Times New Roman" w:hAnsi="Times New Roman" w:cs="Times New Roman"/>
          <w:i/>
          <w:noProof/>
          <w:sz w:val="24"/>
          <w:szCs w:val="24"/>
          <w:lang w:val="ro-RO"/>
        </w:rPr>
        <w:t xml:space="preserve">de </w:t>
      </w:r>
      <w:r w:rsidR="009D4C51" w:rsidRPr="004D2FF7">
        <w:rPr>
          <w:rFonts w:ascii="Times New Roman" w:hAnsi="Times New Roman" w:cs="Times New Roman"/>
          <w:i/>
          <w:noProof/>
          <w:sz w:val="24"/>
          <w:szCs w:val="24"/>
          <w:lang w:val="ro-RO"/>
        </w:rPr>
        <w:t>efectuare</w:t>
      </w:r>
      <w:r>
        <w:rPr>
          <w:rFonts w:ascii="Times New Roman" w:hAnsi="Times New Roman" w:cs="Times New Roman"/>
          <w:i/>
          <w:noProof/>
          <w:sz w:val="24"/>
          <w:szCs w:val="24"/>
          <w:lang w:val="ro-RO"/>
        </w:rPr>
        <w:t xml:space="preserve"> </w:t>
      </w:r>
      <w:r w:rsidR="009D4C51" w:rsidRPr="004D2FF7">
        <w:rPr>
          <w:rFonts w:ascii="Times New Roman" w:hAnsi="Times New Roman" w:cs="Times New Roman"/>
          <w:i/>
          <w:noProof/>
          <w:sz w:val="24"/>
          <w:szCs w:val="24"/>
          <w:lang w:val="ro-RO"/>
        </w:rPr>
        <w:t xml:space="preserve">a achizițiilor pe loturi, </w:t>
      </w:r>
      <w:r w:rsidR="00384E86" w:rsidRPr="004D2FF7">
        <w:rPr>
          <w:rFonts w:ascii="Times New Roman" w:hAnsi="Times New Roman" w:cs="Times New Roman"/>
          <w:i/>
          <w:noProof/>
          <w:sz w:val="24"/>
          <w:szCs w:val="24"/>
          <w:lang w:val="ro-RO"/>
        </w:rPr>
        <w:t xml:space="preserve">precum și </w:t>
      </w:r>
      <w:r>
        <w:rPr>
          <w:rFonts w:ascii="Times New Roman" w:hAnsi="Times New Roman" w:cs="Times New Roman"/>
          <w:i/>
          <w:noProof/>
          <w:sz w:val="24"/>
          <w:szCs w:val="24"/>
          <w:lang w:val="ro-RO"/>
        </w:rPr>
        <w:t xml:space="preserve">de </w:t>
      </w:r>
      <w:r w:rsidR="006967FC" w:rsidRPr="004D2FF7">
        <w:rPr>
          <w:rFonts w:ascii="Times New Roman" w:hAnsi="Times New Roman" w:cs="Times New Roman"/>
          <w:i/>
          <w:noProof/>
          <w:sz w:val="24"/>
          <w:szCs w:val="24"/>
          <w:lang w:val="ro-RO"/>
        </w:rPr>
        <w:t>evaluare reală a prețurilor medii de piață</w:t>
      </w:r>
      <w:r w:rsidR="006967FC" w:rsidRPr="004D2FF7">
        <w:rPr>
          <w:rFonts w:ascii="Times New Roman" w:hAnsi="Times New Roman" w:cs="Times New Roman"/>
          <w:i/>
          <w:sz w:val="24"/>
          <w:szCs w:val="24"/>
          <w:lang w:val="ro-RO"/>
        </w:rPr>
        <w:t xml:space="preserve"> necesare stabilir</w:t>
      </w:r>
      <w:r w:rsidR="008A2F6A" w:rsidRPr="004D2FF7">
        <w:rPr>
          <w:rFonts w:ascii="Times New Roman" w:hAnsi="Times New Roman" w:cs="Times New Roman"/>
          <w:i/>
          <w:sz w:val="24"/>
          <w:szCs w:val="24"/>
          <w:lang w:val="ro-RO"/>
        </w:rPr>
        <w:t>ii</w:t>
      </w:r>
      <w:r w:rsidR="006967FC" w:rsidRPr="004D2FF7">
        <w:rPr>
          <w:rFonts w:ascii="Times New Roman" w:hAnsi="Times New Roman" w:cs="Times New Roman"/>
          <w:i/>
          <w:sz w:val="24"/>
          <w:szCs w:val="24"/>
          <w:lang w:val="ro-RO"/>
        </w:rPr>
        <w:t xml:space="preserve"> unor </w:t>
      </w:r>
      <w:r w:rsidR="006967FC" w:rsidRPr="004D2FF7">
        <w:rPr>
          <w:rFonts w:ascii="Times New Roman" w:hAnsi="Times New Roman" w:cs="Times New Roman"/>
          <w:bCs/>
          <w:i/>
          <w:noProof/>
          <w:color w:val="000000"/>
          <w:sz w:val="24"/>
          <w:szCs w:val="24"/>
          <w:lang w:val="ro-RO"/>
        </w:rPr>
        <w:t>criterii clare de calificare în</w:t>
      </w:r>
      <w:r w:rsidR="006967FC" w:rsidRPr="004D2FF7">
        <w:rPr>
          <w:rFonts w:ascii="Times New Roman" w:hAnsi="Times New Roman" w:cs="Times New Roman"/>
          <w:i/>
          <w:sz w:val="24"/>
          <w:szCs w:val="24"/>
          <w:lang w:val="ro-RO"/>
        </w:rPr>
        <w:t xml:space="preserve"> </w:t>
      </w:r>
      <w:r w:rsidR="006967FC" w:rsidRPr="004D2FF7">
        <w:rPr>
          <w:rFonts w:ascii="Times New Roman" w:hAnsi="Times New Roman" w:cs="Times New Roman"/>
          <w:i/>
          <w:noProof/>
          <w:sz w:val="24"/>
          <w:szCs w:val="24"/>
          <w:lang w:val="ro-RO"/>
        </w:rPr>
        <w:t>documentația de atribuire la inițierea achizițiilor de mărfuri, lucrări și servicii, menite să asigure regularitatea procedurilor de achiziții publice, concurența ofertelor și utilizarea eficientă a fondurilor publice</w:t>
      </w:r>
      <w:r w:rsidR="006B3E72" w:rsidRPr="004D2FF7">
        <w:rPr>
          <w:rFonts w:ascii="Times New Roman" w:eastAsia="Times New Roman" w:hAnsi="Times New Roman" w:cs="Times New Roman"/>
          <w:i/>
          <w:color w:val="000000"/>
          <w:sz w:val="24"/>
          <w:szCs w:val="24"/>
        </w:rPr>
        <w:t xml:space="preserve"> (pct.4.</w:t>
      </w:r>
      <w:r w:rsidR="003B5E7A" w:rsidRPr="004D2FF7">
        <w:rPr>
          <w:rFonts w:ascii="Times New Roman" w:eastAsia="Times New Roman" w:hAnsi="Times New Roman" w:cs="Times New Roman"/>
          <w:i/>
          <w:color w:val="000000"/>
          <w:sz w:val="24"/>
          <w:szCs w:val="24"/>
        </w:rPr>
        <w:t>2</w:t>
      </w:r>
      <w:r w:rsidR="006B3E72" w:rsidRPr="004D2FF7">
        <w:rPr>
          <w:rFonts w:ascii="Times New Roman" w:eastAsia="Times New Roman" w:hAnsi="Times New Roman" w:cs="Times New Roman"/>
          <w:i/>
          <w:color w:val="000000"/>
          <w:sz w:val="24"/>
          <w:szCs w:val="24"/>
        </w:rPr>
        <w:t>.</w:t>
      </w:r>
      <w:r w:rsidR="003B5E7A" w:rsidRPr="004D2FF7">
        <w:rPr>
          <w:rFonts w:ascii="Times New Roman" w:eastAsia="Times New Roman" w:hAnsi="Times New Roman" w:cs="Times New Roman"/>
          <w:i/>
          <w:color w:val="000000"/>
          <w:sz w:val="24"/>
          <w:szCs w:val="24"/>
        </w:rPr>
        <w:t>1</w:t>
      </w:r>
      <w:r w:rsidR="006B3E72" w:rsidRPr="004D2FF7">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w:t>
      </w:r>
    </w:p>
    <w:p w14:paraId="7C0B2084" w14:textId="5367D5C1" w:rsidR="00D63C6D" w:rsidRPr="004D2FF7" w:rsidRDefault="000627C2" w:rsidP="00533FC8">
      <w:pPr>
        <w:numPr>
          <w:ilvl w:val="0"/>
          <w:numId w:val="5"/>
        </w:numPr>
        <w:tabs>
          <w:tab w:val="left" w:pos="90"/>
          <w:tab w:val="left" w:pos="360"/>
          <w:tab w:val="left" w:pos="851"/>
        </w:tabs>
        <w:spacing w:after="120" w:line="276" w:lineRule="auto"/>
        <w:ind w:left="0" w:firstLine="426"/>
        <w:jc w:val="both"/>
        <w:rPr>
          <w:rFonts w:ascii="Times New Roman" w:hAnsi="Times New Roman" w:cs="Times New Roman"/>
          <w:i/>
          <w:sz w:val="24"/>
          <w:szCs w:val="24"/>
        </w:rPr>
      </w:pPr>
      <w:r>
        <w:rPr>
          <w:rFonts w:ascii="Times New Roman" w:hAnsi="Times New Roman" w:cs="Times New Roman"/>
          <w:i/>
          <w:noProof/>
          <w:sz w:val="24"/>
          <w:szCs w:val="24"/>
        </w:rPr>
        <w:t>s</w:t>
      </w:r>
      <w:r w:rsidR="006967FC" w:rsidRPr="004D2FF7">
        <w:rPr>
          <w:rFonts w:ascii="Times New Roman" w:hAnsi="Times New Roman" w:cs="Times New Roman"/>
          <w:i/>
          <w:noProof/>
          <w:sz w:val="24"/>
          <w:szCs w:val="24"/>
        </w:rPr>
        <w:t>ă asigure transparența tuturor procedurilor de achiziții publice</w:t>
      </w:r>
      <w:r w:rsidR="00DB667D" w:rsidRPr="004D2FF7">
        <w:rPr>
          <w:rFonts w:ascii="Times New Roman" w:hAnsi="Times New Roman" w:cs="Times New Roman"/>
          <w:i/>
          <w:noProof/>
          <w:sz w:val="24"/>
          <w:szCs w:val="24"/>
        </w:rPr>
        <w:t xml:space="preserve"> </w:t>
      </w:r>
      <w:r w:rsidR="006967FC" w:rsidRPr="004D2FF7">
        <w:rPr>
          <w:rFonts w:ascii="Times New Roman" w:hAnsi="Times New Roman" w:cs="Times New Roman"/>
          <w:i/>
          <w:noProof/>
          <w:sz w:val="24"/>
          <w:szCs w:val="24"/>
        </w:rPr>
        <w:t xml:space="preserve">cu obligativitatea desfășurării </w:t>
      </w:r>
      <w:r>
        <w:rPr>
          <w:rFonts w:ascii="Times New Roman" w:hAnsi="Times New Roman" w:cs="Times New Roman"/>
          <w:i/>
          <w:noProof/>
          <w:sz w:val="24"/>
          <w:szCs w:val="24"/>
        </w:rPr>
        <w:t>acestora</w:t>
      </w:r>
      <w:r w:rsidR="006967FC" w:rsidRPr="004D2FF7">
        <w:rPr>
          <w:rFonts w:ascii="Times New Roman" w:hAnsi="Times New Roman" w:cs="Times New Roman"/>
          <w:i/>
          <w:noProof/>
          <w:sz w:val="24"/>
          <w:szCs w:val="24"/>
        </w:rPr>
        <w:t xml:space="preserve"> prin intermediul Sistemului informațional automatizat MTender</w:t>
      </w:r>
      <w:r w:rsidR="003169ED" w:rsidRPr="004D2FF7">
        <w:rPr>
          <w:rFonts w:ascii="Times New Roman" w:hAnsi="Times New Roman" w:cs="Times New Roman"/>
          <w:i/>
          <w:noProof/>
          <w:sz w:val="24"/>
          <w:szCs w:val="24"/>
        </w:rPr>
        <w:t>, precum și să utilizeze documentația standard în cadrul procedurilor de</w:t>
      </w:r>
      <w:r w:rsidR="00EE3369" w:rsidRPr="004D2FF7">
        <w:rPr>
          <w:rFonts w:ascii="Times New Roman" w:hAnsi="Times New Roman" w:cs="Times New Roman"/>
          <w:i/>
          <w:noProof/>
          <w:sz w:val="24"/>
          <w:szCs w:val="24"/>
        </w:rPr>
        <w:t xml:space="preserve"> </w:t>
      </w:r>
      <w:r w:rsidR="003169ED" w:rsidRPr="004D2FF7">
        <w:rPr>
          <w:rFonts w:ascii="Times New Roman" w:hAnsi="Times New Roman" w:cs="Times New Roman"/>
          <w:i/>
          <w:noProof/>
          <w:sz w:val="24"/>
          <w:szCs w:val="24"/>
        </w:rPr>
        <w:t xml:space="preserve">achiziții publice </w:t>
      </w:r>
      <w:r w:rsidR="006B3E72" w:rsidRPr="004D2FF7">
        <w:rPr>
          <w:rFonts w:ascii="Times New Roman" w:eastAsia="Times New Roman" w:hAnsi="Times New Roman" w:cs="Times New Roman"/>
          <w:i/>
          <w:color w:val="000000"/>
          <w:sz w:val="24"/>
          <w:szCs w:val="24"/>
        </w:rPr>
        <w:t>(pct.4.</w:t>
      </w:r>
      <w:r w:rsidR="003B5E7A" w:rsidRPr="004D2FF7">
        <w:rPr>
          <w:rFonts w:ascii="Times New Roman" w:eastAsia="Times New Roman" w:hAnsi="Times New Roman" w:cs="Times New Roman"/>
          <w:i/>
          <w:color w:val="000000"/>
          <w:sz w:val="24"/>
          <w:szCs w:val="24"/>
        </w:rPr>
        <w:t>2</w:t>
      </w:r>
      <w:r w:rsidR="006B3E72" w:rsidRPr="004D2FF7">
        <w:rPr>
          <w:rFonts w:ascii="Times New Roman" w:eastAsia="Times New Roman" w:hAnsi="Times New Roman" w:cs="Times New Roman"/>
          <w:i/>
          <w:color w:val="000000"/>
          <w:sz w:val="24"/>
          <w:szCs w:val="24"/>
        </w:rPr>
        <w:t>.</w:t>
      </w:r>
      <w:r w:rsidR="003B5E7A" w:rsidRPr="004D2FF7">
        <w:rPr>
          <w:rFonts w:ascii="Times New Roman" w:eastAsia="Times New Roman" w:hAnsi="Times New Roman" w:cs="Times New Roman"/>
          <w:i/>
          <w:color w:val="000000"/>
          <w:sz w:val="24"/>
          <w:szCs w:val="24"/>
        </w:rPr>
        <w:t>1</w:t>
      </w:r>
      <w:r w:rsidR="006B3E72" w:rsidRPr="004D2FF7">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w:t>
      </w:r>
    </w:p>
    <w:p w14:paraId="51EB672E" w14:textId="3E8DF75A" w:rsidR="00D63C6D" w:rsidRPr="004D2FF7" w:rsidRDefault="000627C2" w:rsidP="00533FC8">
      <w:pPr>
        <w:numPr>
          <w:ilvl w:val="0"/>
          <w:numId w:val="5"/>
        </w:numPr>
        <w:tabs>
          <w:tab w:val="left" w:pos="90"/>
          <w:tab w:val="left" w:pos="360"/>
          <w:tab w:val="left" w:pos="851"/>
        </w:tabs>
        <w:spacing w:after="120" w:line="276" w:lineRule="auto"/>
        <w:ind w:left="0" w:firstLine="426"/>
        <w:jc w:val="both"/>
        <w:rPr>
          <w:rFonts w:ascii="Times New Roman" w:hAnsi="Times New Roman" w:cs="Times New Roman"/>
          <w:i/>
          <w:sz w:val="24"/>
          <w:szCs w:val="24"/>
        </w:rPr>
      </w:pPr>
      <w:r>
        <w:rPr>
          <w:rFonts w:ascii="Times New Roman" w:hAnsi="Times New Roman" w:cs="Times New Roman"/>
          <w:i/>
          <w:noProof/>
          <w:sz w:val="24"/>
          <w:szCs w:val="24"/>
        </w:rPr>
        <w:lastRenderedPageBreak/>
        <w:t>s</w:t>
      </w:r>
      <w:r w:rsidR="006967FC" w:rsidRPr="004D2FF7">
        <w:rPr>
          <w:rFonts w:ascii="Times New Roman" w:hAnsi="Times New Roman" w:cs="Times New Roman"/>
          <w:i/>
          <w:noProof/>
          <w:sz w:val="24"/>
          <w:szCs w:val="24"/>
        </w:rPr>
        <w:t>ă efectueze inventariea anuală cu stabilirea și evaluarea reală a elementelor bilanțiere, în vederea întocmirii situațiilor financiare reale și fidele</w:t>
      </w:r>
      <w:r w:rsidR="00AA3446" w:rsidRPr="004D2FF7">
        <w:rPr>
          <w:rFonts w:ascii="Times New Roman" w:hAnsi="Times New Roman" w:cs="Times New Roman"/>
          <w:i/>
          <w:noProof/>
          <w:sz w:val="24"/>
          <w:szCs w:val="24"/>
        </w:rPr>
        <w:t xml:space="preserve"> a</w:t>
      </w:r>
      <w:r>
        <w:rPr>
          <w:rFonts w:ascii="Times New Roman" w:hAnsi="Times New Roman" w:cs="Times New Roman"/>
          <w:i/>
          <w:noProof/>
          <w:sz w:val="24"/>
          <w:szCs w:val="24"/>
        </w:rPr>
        <w:t>le</w:t>
      </w:r>
      <w:r w:rsidR="00AA3446" w:rsidRPr="004D2FF7">
        <w:rPr>
          <w:rFonts w:ascii="Times New Roman" w:hAnsi="Times New Roman" w:cs="Times New Roman"/>
          <w:i/>
          <w:noProof/>
          <w:sz w:val="24"/>
          <w:szCs w:val="24"/>
        </w:rPr>
        <w:t xml:space="preserve"> entității</w:t>
      </w:r>
      <w:r w:rsidR="006B3E72" w:rsidRPr="004D2FF7">
        <w:rPr>
          <w:rFonts w:ascii="Times New Roman" w:eastAsia="Times New Roman" w:hAnsi="Times New Roman" w:cs="Times New Roman"/>
          <w:i/>
          <w:color w:val="000000"/>
          <w:sz w:val="24"/>
          <w:szCs w:val="24"/>
        </w:rPr>
        <w:t xml:space="preserve"> (pct.4.</w:t>
      </w:r>
      <w:r w:rsidR="003B5E7A" w:rsidRPr="004D2FF7">
        <w:rPr>
          <w:rFonts w:ascii="Times New Roman" w:eastAsia="Times New Roman" w:hAnsi="Times New Roman" w:cs="Times New Roman"/>
          <w:i/>
          <w:color w:val="000000"/>
          <w:sz w:val="24"/>
          <w:szCs w:val="24"/>
        </w:rPr>
        <w:t>3</w:t>
      </w:r>
      <w:r w:rsidR="006B3E72" w:rsidRPr="004D2FF7">
        <w:rPr>
          <w:rFonts w:ascii="Times New Roman" w:eastAsia="Times New Roman" w:hAnsi="Times New Roman" w:cs="Times New Roman"/>
          <w:i/>
          <w:color w:val="000000"/>
          <w:sz w:val="24"/>
          <w:szCs w:val="24"/>
        </w:rPr>
        <w:t>.</w:t>
      </w:r>
      <w:r w:rsidR="003B5E7A" w:rsidRPr="004D2FF7">
        <w:rPr>
          <w:rFonts w:ascii="Times New Roman" w:eastAsia="Times New Roman" w:hAnsi="Times New Roman" w:cs="Times New Roman"/>
          <w:i/>
          <w:color w:val="000000"/>
          <w:sz w:val="24"/>
          <w:szCs w:val="24"/>
        </w:rPr>
        <w:t>1</w:t>
      </w:r>
      <w:r w:rsidR="006B3E72" w:rsidRPr="004D2FF7">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w:t>
      </w:r>
    </w:p>
    <w:p w14:paraId="4EE23A09" w14:textId="13C11581" w:rsidR="00D63C6D" w:rsidRPr="004D2FF7" w:rsidRDefault="000627C2" w:rsidP="00533FC8">
      <w:pPr>
        <w:numPr>
          <w:ilvl w:val="0"/>
          <w:numId w:val="5"/>
        </w:numPr>
        <w:tabs>
          <w:tab w:val="left" w:pos="90"/>
          <w:tab w:val="left" w:pos="360"/>
          <w:tab w:val="left" w:pos="851"/>
        </w:tabs>
        <w:spacing w:after="120" w:line="276" w:lineRule="auto"/>
        <w:ind w:left="0" w:firstLine="426"/>
        <w:jc w:val="both"/>
        <w:rPr>
          <w:rFonts w:ascii="Times New Roman" w:hAnsi="Times New Roman" w:cs="Times New Roman"/>
          <w:i/>
          <w:sz w:val="24"/>
          <w:szCs w:val="24"/>
        </w:rPr>
      </w:pPr>
      <w:r>
        <w:rPr>
          <w:rFonts w:ascii="Times New Roman" w:hAnsi="Times New Roman" w:cs="Times New Roman"/>
          <w:i/>
          <w:noProof/>
          <w:sz w:val="24"/>
          <w:szCs w:val="24"/>
          <w:lang w:val="ro-RO"/>
        </w:rPr>
        <w:t>s</w:t>
      </w:r>
      <w:r w:rsidR="006967FC" w:rsidRPr="004D2FF7">
        <w:rPr>
          <w:rFonts w:ascii="Times New Roman" w:hAnsi="Times New Roman" w:cs="Times New Roman"/>
          <w:i/>
          <w:noProof/>
          <w:sz w:val="24"/>
          <w:szCs w:val="24"/>
          <w:lang w:val="ro-RO"/>
        </w:rPr>
        <w:t>ă întreprindă măsuri privind diminuarea stocurilor</w:t>
      </w:r>
      <w:r w:rsidR="006967FC" w:rsidRPr="004D2FF7">
        <w:rPr>
          <w:rFonts w:ascii="Times New Roman" w:hAnsi="Times New Roman" w:cs="Times New Roman"/>
          <w:i/>
          <w:sz w:val="24"/>
          <w:szCs w:val="24"/>
          <w:lang w:val="ro-RO"/>
        </w:rPr>
        <w:t xml:space="preserve"> de materiale circulante</w:t>
      </w:r>
      <w:r w:rsidR="003F71D3">
        <w:rPr>
          <w:rFonts w:ascii="Times New Roman" w:hAnsi="Times New Roman" w:cs="Times New Roman"/>
          <w:i/>
          <w:sz w:val="24"/>
          <w:szCs w:val="24"/>
          <w:lang w:val="ro-RO"/>
        </w:rPr>
        <w:t xml:space="preserve"> aflate la</w:t>
      </w:r>
      <w:r w:rsidR="006967FC" w:rsidRPr="004D2FF7">
        <w:rPr>
          <w:rFonts w:ascii="Times New Roman" w:hAnsi="Times New Roman" w:cs="Times New Roman"/>
          <w:i/>
          <w:sz w:val="24"/>
          <w:szCs w:val="24"/>
          <w:lang w:val="ro-RO"/>
        </w:rPr>
        <w:t xml:space="preserve"> </w:t>
      </w:r>
      <w:r w:rsidR="00777CEF">
        <w:rPr>
          <w:rFonts w:ascii="Times New Roman" w:hAnsi="Times New Roman" w:cs="Times New Roman"/>
          <w:i/>
          <w:sz w:val="24"/>
          <w:szCs w:val="24"/>
          <w:lang w:val="ro-RO"/>
        </w:rPr>
        <w:t xml:space="preserve">depozit </w:t>
      </w:r>
      <w:r w:rsidR="006B3E72" w:rsidRPr="004D2FF7">
        <w:rPr>
          <w:rFonts w:ascii="Times New Roman" w:eastAsia="Times New Roman" w:hAnsi="Times New Roman" w:cs="Times New Roman"/>
          <w:i/>
          <w:color w:val="000000"/>
          <w:sz w:val="24"/>
          <w:szCs w:val="24"/>
        </w:rPr>
        <w:t>(pct.4.</w:t>
      </w:r>
      <w:r w:rsidR="000044DB" w:rsidRPr="004D2FF7">
        <w:rPr>
          <w:rFonts w:ascii="Times New Roman" w:eastAsia="Times New Roman" w:hAnsi="Times New Roman" w:cs="Times New Roman"/>
          <w:i/>
          <w:color w:val="000000"/>
          <w:sz w:val="24"/>
          <w:szCs w:val="24"/>
        </w:rPr>
        <w:t>3</w:t>
      </w:r>
      <w:r w:rsidR="006B3E72" w:rsidRPr="004D2FF7">
        <w:rPr>
          <w:rFonts w:ascii="Times New Roman" w:eastAsia="Times New Roman" w:hAnsi="Times New Roman" w:cs="Times New Roman"/>
          <w:i/>
          <w:color w:val="000000"/>
          <w:sz w:val="24"/>
          <w:szCs w:val="24"/>
        </w:rPr>
        <w:t>.</w:t>
      </w:r>
      <w:r w:rsidR="000044DB" w:rsidRPr="004D2FF7">
        <w:rPr>
          <w:rFonts w:ascii="Times New Roman" w:eastAsia="Times New Roman" w:hAnsi="Times New Roman" w:cs="Times New Roman"/>
          <w:i/>
          <w:color w:val="000000"/>
          <w:sz w:val="24"/>
          <w:szCs w:val="24"/>
        </w:rPr>
        <w:t>1</w:t>
      </w:r>
      <w:r w:rsidR="006B3E72" w:rsidRPr="004D2FF7">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w:t>
      </w:r>
    </w:p>
    <w:p w14:paraId="57D93B71" w14:textId="3865F3F6" w:rsidR="00D63C6D" w:rsidRPr="004D2FF7" w:rsidRDefault="000627C2" w:rsidP="00533FC8">
      <w:pPr>
        <w:numPr>
          <w:ilvl w:val="0"/>
          <w:numId w:val="5"/>
        </w:numPr>
        <w:tabs>
          <w:tab w:val="left" w:pos="90"/>
          <w:tab w:val="left" w:pos="360"/>
          <w:tab w:val="left" w:pos="851"/>
        </w:tabs>
        <w:spacing w:after="120" w:line="276" w:lineRule="auto"/>
        <w:ind w:left="0" w:firstLine="426"/>
        <w:jc w:val="both"/>
        <w:rPr>
          <w:rFonts w:ascii="Times New Roman" w:hAnsi="Times New Roman" w:cs="Times New Roman"/>
          <w:i/>
          <w:sz w:val="24"/>
          <w:szCs w:val="24"/>
        </w:rPr>
      </w:pPr>
      <w:r>
        <w:rPr>
          <w:rFonts w:ascii="Times New Roman" w:eastAsia="Times New Roman" w:hAnsi="Times New Roman" w:cs="Times New Roman"/>
          <w:i/>
          <w:color w:val="000000"/>
          <w:sz w:val="24"/>
          <w:szCs w:val="24"/>
        </w:rPr>
        <w:t>s</w:t>
      </w:r>
      <w:r w:rsidR="0008143F" w:rsidRPr="004D2FF7">
        <w:rPr>
          <w:rFonts w:ascii="Times New Roman" w:eastAsia="Times New Roman" w:hAnsi="Times New Roman" w:cs="Times New Roman"/>
          <w:i/>
          <w:color w:val="000000"/>
          <w:sz w:val="24"/>
          <w:szCs w:val="24"/>
        </w:rPr>
        <w:t>ă analizeze și să examineze foile de parcurs, în vederea excluderii cazurilor de utilizare neargumentată de către angajați a mijloacelor de transport</w:t>
      </w:r>
      <w:r w:rsidR="00DB667D" w:rsidRPr="004D2FF7">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a </w:t>
      </w:r>
      <w:r w:rsidR="00DB667D" w:rsidRPr="004D2FF7">
        <w:rPr>
          <w:rFonts w:ascii="Times New Roman" w:eastAsia="Times New Roman" w:hAnsi="Times New Roman" w:cs="Times New Roman"/>
          <w:i/>
          <w:color w:val="000000"/>
          <w:sz w:val="24"/>
          <w:szCs w:val="24"/>
        </w:rPr>
        <w:t>carburanților și lubrifianților</w:t>
      </w:r>
      <w:r w:rsidR="0008143F" w:rsidRPr="004D2FF7">
        <w:rPr>
          <w:rFonts w:ascii="Times New Roman" w:eastAsia="Times New Roman" w:hAnsi="Times New Roman" w:cs="Times New Roman"/>
          <w:i/>
          <w:color w:val="000000"/>
          <w:sz w:val="24"/>
          <w:szCs w:val="24"/>
        </w:rPr>
        <w:t xml:space="preserve"> (pct.4.2.</w:t>
      </w:r>
      <w:r w:rsidR="000044DB" w:rsidRPr="004D2FF7">
        <w:rPr>
          <w:rFonts w:ascii="Times New Roman" w:eastAsia="Times New Roman" w:hAnsi="Times New Roman" w:cs="Times New Roman"/>
          <w:i/>
          <w:color w:val="000000"/>
          <w:sz w:val="24"/>
          <w:szCs w:val="24"/>
        </w:rPr>
        <w:t>4</w:t>
      </w:r>
      <w:r w:rsidR="0008143F" w:rsidRPr="004D2FF7">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w:t>
      </w:r>
    </w:p>
    <w:p w14:paraId="43CA4587" w14:textId="101815E6" w:rsidR="00D63C6D" w:rsidRPr="004D2FF7" w:rsidRDefault="000627C2" w:rsidP="00533FC8">
      <w:pPr>
        <w:numPr>
          <w:ilvl w:val="0"/>
          <w:numId w:val="5"/>
        </w:numPr>
        <w:tabs>
          <w:tab w:val="left" w:pos="90"/>
          <w:tab w:val="left" w:pos="360"/>
          <w:tab w:val="left" w:pos="851"/>
        </w:tabs>
        <w:spacing w:after="120" w:line="276" w:lineRule="auto"/>
        <w:ind w:left="0" w:firstLine="426"/>
        <w:jc w:val="both"/>
        <w:rPr>
          <w:rFonts w:ascii="Times New Roman" w:hAnsi="Times New Roman" w:cs="Times New Roman"/>
          <w:i/>
          <w:sz w:val="24"/>
          <w:szCs w:val="24"/>
        </w:rPr>
      </w:pPr>
      <w:r>
        <w:rPr>
          <w:rFonts w:ascii="Times New Roman" w:eastAsia="Times New Roman" w:hAnsi="Times New Roman" w:cs="Times New Roman"/>
          <w:i/>
          <w:color w:val="000000"/>
          <w:sz w:val="24"/>
          <w:szCs w:val="24"/>
        </w:rPr>
        <w:t>s</w:t>
      </w:r>
      <w:r w:rsidR="0008143F" w:rsidRPr="004D2FF7">
        <w:rPr>
          <w:rFonts w:ascii="Times New Roman" w:eastAsia="Times New Roman" w:hAnsi="Times New Roman" w:cs="Times New Roman"/>
          <w:i/>
          <w:color w:val="000000"/>
          <w:sz w:val="24"/>
          <w:szCs w:val="24"/>
        </w:rPr>
        <w:t xml:space="preserve">ă </w:t>
      </w:r>
      <w:r w:rsidR="00B0067B">
        <w:rPr>
          <w:rFonts w:ascii="Times New Roman" w:eastAsia="Times New Roman" w:hAnsi="Times New Roman" w:cs="Times New Roman"/>
          <w:i/>
          <w:color w:val="000000"/>
          <w:sz w:val="24"/>
          <w:szCs w:val="24"/>
        </w:rPr>
        <w:t>ajusteze</w:t>
      </w:r>
      <w:r w:rsidR="00B0067B" w:rsidRPr="004D2FF7">
        <w:rPr>
          <w:rFonts w:ascii="Times New Roman" w:eastAsia="Times New Roman" w:hAnsi="Times New Roman" w:cs="Times New Roman"/>
          <w:i/>
          <w:color w:val="000000"/>
          <w:sz w:val="24"/>
          <w:szCs w:val="24"/>
        </w:rPr>
        <w:t xml:space="preserve"> </w:t>
      </w:r>
      <w:r w:rsidR="0008143F" w:rsidRPr="004D2FF7">
        <w:rPr>
          <w:rFonts w:ascii="Times New Roman" w:eastAsia="Times New Roman" w:hAnsi="Times New Roman" w:cs="Times New Roman"/>
          <w:i/>
          <w:color w:val="000000"/>
          <w:sz w:val="24"/>
          <w:szCs w:val="24"/>
        </w:rPr>
        <w:t xml:space="preserve">normele de consum </w:t>
      </w:r>
      <w:r w:rsidR="00B0067B">
        <w:rPr>
          <w:rFonts w:ascii="Times New Roman" w:eastAsia="Times New Roman" w:hAnsi="Times New Roman" w:cs="Times New Roman"/>
          <w:i/>
          <w:color w:val="000000"/>
          <w:sz w:val="24"/>
          <w:szCs w:val="24"/>
        </w:rPr>
        <w:t>al</w:t>
      </w:r>
      <w:r w:rsidR="0008143F" w:rsidRPr="004D2FF7">
        <w:rPr>
          <w:rFonts w:ascii="Times New Roman" w:eastAsia="Times New Roman" w:hAnsi="Times New Roman" w:cs="Times New Roman"/>
          <w:i/>
          <w:color w:val="000000"/>
          <w:sz w:val="24"/>
          <w:szCs w:val="24"/>
        </w:rPr>
        <w:t xml:space="preserve"> carburanți</w:t>
      </w:r>
      <w:r w:rsidR="00B0067B">
        <w:rPr>
          <w:rFonts w:ascii="Times New Roman" w:eastAsia="Times New Roman" w:hAnsi="Times New Roman" w:cs="Times New Roman"/>
          <w:i/>
          <w:color w:val="000000"/>
          <w:sz w:val="24"/>
          <w:szCs w:val="24"/>
        </w:rPr>
        <w:t>lor</w:t>
      </w:r>
      <w:r w:rsidR="0008143F" w:rsidRPr="004D2FF7">
        <w:rPr>
          <w:rFonts w:ascii="Times New Roman" w:eastAsia="Times New Roman" w:hAnsi="Times New Roman" w:cs="Times New Roman"/>
          <w:i/>
          <w:color w:val="000000"/>
          <w:sz w:val="24"/>
          <w:szCs w:val="24"/>
        </w:rPr>
        <w:t xml:space="preserve"> pentru </w:t>
      </w:r>
      <w:r w:rsidR="00B0067B">
        <w:rPr>
          <w:rFonts w:ascii="Times New Roman" w:eastAsia="Times New Roman" w:hAnsi="Times New Roman" w:cs="Times New Roman"/>
          <w:i/>
          <w:color w:val="000000"/>
          <w:sz w:val="24"/>
          <w:szCs w:val="24"/>
        </w:rPr>
        <w:t>automobilele</w:t>
      </w:r>
      <w:r w:rsidR="0008143F" w:rsidRPr="004D2FF7">
        <w:rPr>
          <w:rFonts w:ascii="Times New Roman" w:eastAsia="Times New Roman" w:hAnsi="Times New Roman" w:cs="Times New Roman"/>
          <w:i/>
          <w:color w:val="000000"/>
          <w:sz w:val="24"/>
          <w:szCs w:val="24"/>
        </w:rPr>
        <w:t xml:space="preserve"> </w:t>
      </w:r>
      <w:r w:rsidR="008E645E">
        <w:rPr>
          <w:rFonts w:ascii="Times New Roman" w:eastAsia="Times New Roman" w:hAnsi="Times New Roman" w:cs="Times New Roman"/>
          <w:i/>
          <w:color w:val="000000"/>
          <w:sz w:val="24"/>
          <w:szCs w:val="24"/>
        </w:rPr>
        <w:t>de serviciu</w:t>
      </w:r>
      <w:r w:rsidR="00FC5A74" w:rsidRPr="00FC5A74">
        <w:rPr>
          <w:rFonts w:ascii="Times New Roman" w:eastAsia="Times New Roman" w:hAnsi="Times New Roman" w:cs="Times New Roman"/>
          <w:i/>
          <w:color w:val="000000"/>
          <w:sz w:val="24"/>
          <w:szCs w:val="24"/>
        </w:rPr>
        <w:t xml:space="preserve"> </w:t>
      </w:r>
      <w:r w:rsidR="00FC5A74" w:rsidRPr="004D2FF7">
        <w:rPr>
          <w:rFonts w:ascii="Times New Roman" w:eastAsia="Times New Roman" w:hAnsi="Times New Roman" w:cs="Times New Roman"/>
          <w:i/>
          <w:color w:val="000000"/>
          <w:sz w:val="24"/>
          <w:szCs w:val="24"/>
        </w:rPr>
        <w:t>la prevederile Ordinului nr.172/2005</w:t>
      </w:r>
      <w:r w:rsidR="004607CF">
        <w:rPr>
          <w:rFonts w:ascii="Times New Roman" w:eastAsia="Times New Roman" w:hAnsi="Times New Roman" w:cs="Times New Roman"/>
          <w:i/>
          <w:color w:val="000000"/>
          <w:sz w:val="24"/>
          <w:szCs w:val="24"/>
        </w:rPr>
        <w:t xml:space="preserve">, inclusiv </w:t>
      </w:r>
      <w:r w:rsidR="00B0067B">
        <w:rPr>
          <w:rFonts w:ascii="Times New Roman" w:eastAsia="Times New Roman" w:hAnsi="Times New Roman" w:cs="Times New Roman"/>
          <w:i/>
          <w:color w:val="000000"/>
          <w:sz w:val="24"/>
          <w:szCs w:val="24"/>
        </w:rPr>
        <w:t xml:space="preserve">pentru cele </w:t>
      </w:r>
      <w:r w:rsidR="004607CF">
        <w:rPr>
          <w:rFonts w:ascii="Times New Roman" w:eastAsia="Times New Roman" w:hAnsi="Times New Roman" w:cs="Times New Roman"/>
          <w:i/>
          <w:color w:val="000000"/>
          <w:sz w:val="24"/>
          <w:szCs w:val="24"/>
        </w:rPr>
        <w:t>care nu dispun de calculatoare de bord</w:t>
      </w:r>
      <w:r w:rsidR="0008143F" w:rsidRPr="004D2FF7">
        <w:rPr>
          <w:rFonts w:ascii="Times New Roman" w:eastAsia="Times New Roman" w:hAnsi="Times New Roman" w:cs="Times New Roman"/>
          <w:i/>
          <w:color w:val="000000"/>
          <w:sz w:val="24"/>
          <w:szCs w:val="24"/>
        </w:rPr>
        <w:t xml:space="preserve"> (pct.4.2.</w:t>
      </w:r>
      <w:r w:rsidR="000044DB" w:rsidRPr="004D2FF7">
        <w:rPr>
          <w:rFonts w:ascii="Times New Roman" w:eastAsia="Times New Roman" w:hAnsi="Times New Roman" w:cs="Times New Roman"/>
          <w:i/>
          <w:color w:val="000000"/>
          <w:sz w:val="24"/>
          <w:szCs w:val="24"/>
        </w:rPr>
        <w:t>4</w:t>
      </w:r>
      <w:r w:rsidR="0008143F" w:rsidRPr="004D2FF7">
        <w:rPr>
          <w:rFonts w:ascii="Times New Roman" w:eastAsia="Times New Roman" w:hAnsi="Times New Roman" w:cs="Times New Roman"/>
          <w:i/>
          <w:color w:val="000000"/>
          <w:sz w:val="24"/>
          <w:szCs w:val="24"/>
        </w:rPr>
        <w:t>)</w:t>
      </w:r>
      <w:r w:rsidR="00B0067B">
        <w:rPr>
          <w:rFonts w:ascii="Times New Roman" w:eastAsia="Times New Roman" w:hAnsi="Times New Roman" w:cs="Times New Roman"/>
          <w:i/>
          <w:color w:val="000000"/>
          <w:sz w:val="24"/>
          <w:szCs w:val="24"/>
        </w:rPr>
        <w:t>;</w:t>
      </w:r>
    </w:p>
    <w:p w14:paraId="41DA1FF6" w14:textId="0F4CF3FB" w:rsidR="00673046" w:rsidRPr="004D2FF7" w:rsidRDefault="00B0067B" w:rsidP="00533FC8">
      <w:pPr>
        <w:numPr>
          <w:ilvl w:val="0"/>
          <w:numId w:val="5"/>
        </w:numPr>
        <w:tabs>
          <w:tab w:val="left" w:pos="90"/>
          <w:tab w:val="left" w:pos="360"/>
          <w:tab w:val="left" w:pos="851"/>
        </w:tabs>
        <w:spacing w:after="120" w:line="276" w:lineRule="auto"/>
        <w:ind w:left="0" w:firstLine="426"/>
        <w:jc w:val="both"/>
        <w:rPr>
          <w:rFonts w:ascii="Times New Roman" w:hAnsi="Times New Roman" w:cs="Times New Roman"/>
          <w:i/>
          <w:sz w:val="24"/>
          <w:szCs w:val="24"/>
        </w:rPr>
      </w:pPr>
      <w:r>
        <w:rPr>
          <w:rFonts w:ascii="Times New Roman" w:eastAsia="Times New Roman" w:hAnsi="Times New Roman" w:cs="Times New Roman"/>
          <w:i/>
          <w:color w:val="000000"/>
          <w:sz w:val="24"/>
          <w:szCs w:val="24"/>
        </w:rPr>
        <w:t>s</w:t>
      </w:r>
      <w:r w:rsidR="00673046" w:rsidRPr="004D2FF7">
        <w:rPr>
          <w:rFonts w:ascii="Times New Roman" w:eastAsia="Times New Roman" w:hAnsi="Times New Roman" w:cs="Times New Roman"/>
          <w:i/>
          <w:color w:val="000000"/>
          <w:sz w:val="24"/>
          <w:szCs w:val="24"/>
        </w:rPr>
        <w:t xml:space="preserve">ă asigure </w:t>
      </w:r>
      <w:r w:rsidR="0098162B" w:rsidRPr="004D2FF7">
        <w:rPr>
          <w:rFonts w:ascii="Times New Roman" w:eastAsia="Times New Roman" w:hAnsi="Times New Roman" w:cs="Times New Roman"/>
          <w:i/>
          <w:color w:val="000000"/>
          <w:sz w:val="24"/>
          <w:szCs w:val="24"/>
        </w:rPr>
        <w:t xml:space="preserve">executarea cheltuielilor pentru deplasări de serviciu, precum și întocmirea informațiilor privind deplasările în străinătate în conformitate cu prevederile </w:t>
      </w:r>
      <w:r w:rsidR="0098162B" w:rsidRPr="004D2FF7">
        <w:rPr>
          <w:rFonts w:ascii="Times New Roman" w:hAnsi="Times New Roman" w:cs="Times New Roman"/>
          <w:i/>
          <w:sz w:val="24"/>
          <w:szCs w:val="24"/>
          <w:lang w:val="ro-RO"/>
        </w:rPr>
        <w:t>Regulamentului cu privire la delegarea salariaților entităților din Republica Moldova</w:t>
      </w:r>
      <w:r w:rsidR="00793F04" w:rsidRPr="004D2FF7">
        <w:rPr>
          <w:rFonts w:ascii="Times New Roman" w:hAnsi="Times New Roman" w:cs="Times New Roman"/>
          <w:i/>
          <w:sz w:val="24"/>
          <w:szCs w:val="24"/>
          <w:lang w:val="ro-RO"/>
        </w:rPr>
        <w:t xml:space="preserve"> </w:t>
      </w:r>
      <w:r w:rsidR="00793F04" w:rsidRPr="004D2FF7">
        <w:rPr>
          <w:rFonts w:ascii="Times New Roman" w:hAnsi="Times New Roman" w:cs="Times New Roman"/>
          <w:i/>
          <w:sz w:val="24"/>
          <w:szCs w:val="24"/>
        </w:rPr>
        <w:t>(pct.4.2.3)</w:t>
      </w:r>
      <w:r>
        <w:rPr>
          <w:rFonts w:ascii="Times New Roman" w:hAnsi="Times New Roman" w:cs="Times New Roman"/>
          <w:i/>
          <w:sz w:val="24"/>
          <w:szCs w:val="24"/>
          <w:lang w:val="ro-RO"/>
        </w:rPr>
        <w:t>;</w:t>
      </w:r>
    </w:p>
    <w:p w14:paraId="68090AFD" w14:textId="16389B8F" w:rsidR="00D63C6D" w:rsidRPr="004D2FF7" w:rsidRDefault="00170097" w:rsidP="00533FC8">
      <w:pPr>
        <w:numPr>
          <w:ilvl w:val="0"/>
          <w:numId w:val="5"/>
        </w:numPr>
        <w:tabs>
          <w:tab w:val="left" w:pos="90"/>
          <w:tab w:val="left" w:pos="360"/>
          <w:tab w:val="left" w:pos="851"/>
        </w:tabs>
        <w:spacing w:after="120" w:line="276" w:lineRule="auto"/>
        <w:ind w:left="0" w:firstLine="426"/>
        <w:jc w:val="both"/>
        <w:rPr>
          <w:rFonts w:ascii="Times New Roman" w:hAnsi="Times New Roman" w:cs="Times New Roman"/>
          <w:i/>
          <w:sz w:val="24"/>
          <w:szCs w:val="24"/>
        </w:rPr>
      </w:pPr>
      <w:r w:rsidRPr="004D2FF7">
        <w:rPr>
          <w:rFonts w:ascii="Times New Roman" w:eastAsia="Times New Roman" w:hAnsi="Times New Roman" w:cs="Times New Roman"/>
          <w:i/>
          <w:color w:val="000000"/>
          <w:sz w:val="24"/>
          <w:szCs w:val="24"/>
        </w:rPr>
        <w:t>Să încheie</w:t>
      </w:r>
      <w:r w:rsidR="00B0067B">
        <w:rPr>
          <w:rFonts w:ascii="Times New Roman" w:eastAsia="Times New Roman" w:hAnsi="Times New Roman" w:cs="Times New Roman"/>
          <w:i/>
          <w:color w:val="000000"/>
          <w:sz w:val="24"/>
          <w:szCs w:val="24"/>
        </w:rPr>
        <w:t>,</w:t>
      </w:r>
      <w:r w:rsidR="00D63C6D" w:rsidRPr="004D2FF7">
        <w:rPr>
          <w:rFonts w:ascii="Times New Roman" w:eastAsia="Times New Roman" w:hAnsi="Times New Roman" w:cs="Times New Roman"/>
          <w:i/>
          <w:color w:val="000000"/>
          <w:sz w:val="24"/>
          <w:szCs w:val="24"/>
        </w:rPr>
        <w:t xml:space="preserve"> în conformitate cu prevederile legale</w:t>
      </w:r>
      <w:r w:rsidR="00B0067B">
        <w:rPr>
          <w:rFonts w:ascii="Times New Roman" w:eastAsia="Times New Roman" w:hAnsi="Times New Roman" w:cs="Times New Roman"/>
          <w:i/>
          <w:color w:val="000000"/>
          <w:sz w:val="24"/>
          <w:szCs w:val="24"/>
        </w:rPr>
        <w:t>,</w:t>
      </w:r>
      <w:r w:rsidRPr="004D2FF7">
        <w:rPr>
          <w:rFonts w:ascii="Times New Roman" w:eastAsia="Times New Roman" w:hAnsi="Times New Roman" w:cs="Times New Roman"/>
          <w:i/>
          <w:color w:val="000000"/>
          <w:sz w:val="24"/>
          <w:szCs w:val="24"/>
        </w:rPr>
        <w:t xml:space="preserve"> contracte de răspundere materială cu angajații care</w:t>
      </w:r>
      <w:r w:rsidR="000044DB" w:rsidRPr="004D2FF7">
        <w:rPr>
          <w:rFonts w:ascii="Times New Roman" w:eastAsia="Times New Roman" w:hAnsi="Times New Roman" w:cs="Times New Roman"/>
          <w:i/>
          <w:color w:val="000000"/>
          <w:sz w:val="24"/>
          <w:szCs w:val="24"/>
        </w:rPr>
        <w:t xml:space="preserve"> administrează mijloacele financiare și patrimoniul public, în speță cu </w:t>
      </w:r>
      <w:r w:rsidR="00CE6E85" w:rsidRPr="004D2FF7">
        <w:rPr>
          <w:rFonts w:ascii="Times New Roman" w:eastAsia="Times New Roman" w:hAnsi="Times New Roman" w:cs="Times New Roman"/>
          <w:i/>
          <w:color w:val="000000"/>
          <w:sz w:val="24"/>
          <w:szCs w:val="24"/>
        </w:rPr>
        <w:t>personalul</w:t>
      </w:r>
      <w:r w:rsidR="000044DB" w:rsidRPr="004D2FF7">
        <w:rPr>
          <w:rFonts w:ascii="Times New Roman" w:eastAsia="Times New Roman" w:hAnsi="Times New Roman" w:cs="Times New Roman"/>
          <w:i/>
          <w:color w:val="000000"/>
          <w:sz w:val="24"/>
          <w:szCs w:val="24"/>
        </w:rPr>
        <w:t xml:space="preserve"> care</w:t>
      </w:r>
      <w:r w:rsidRPr="004D2FF7">
        <w:rPr>
          <w:rFonts w:ascii="Times New Roman" w:eastAsia="Times New Roman" w:hAnsi="Times New Roman" w:cs="Times New Roman"/>
          <w:i/>
          <w:color w:val="000000"/>
          <w:sz w:val="24"/>
          <w:szCs w:val="24"/>
        </w:rPr>
        <w:t xml:space="preserve"> exploatează autoturismele de serviciu</w:t>
      </w:r>
      <w:r w:rsidR="000044DB" w:rsidRPr="004D2FF7">
        <w:rPr>
          <w:rFonts w:ascii="Times New Roman" w:eastAsia="Times New Roman" w:hAnsi="Times New Roman" w:cs="Times New Roman"/>
          <w:i/>
          <w:color w:val="000000"/>
          <w:sz w:val="24"/>
          <w:szCs w:val="24"/>
        </w:rPr>
        <w:t xml:space="preserve"> (pct.4.2.4)</w:t>
      </w:r>
      <w:r w:rsidR="00D63C6D" w:rsidRPr="004D2FF7">
        <w:rPr>
          <w:rFonts w:ascii="Times New Roman" w:eastAsia="Times New Roman" w:hAnsi="Times New Roman" w:cs="Times New Roman"/>
          <w:i/>
          <w:color w:val="000000"/>
          <w:sz w:val="24"/>
          <w:szCs w:val="24"/>
        </w:rPr>
        <w:t>.</w:t>
      </w:r>
    </w:p>
    <w:p w14:paraId="3DF777F5" w14:textId="77777777" w:rsidR="00D63C6D" w:rsidRDefault="00D63C6D" w:rsidP="00533FC8">
      <w:pPr>
        <w:tabs>
          <w:tab w:val="left" w:pos="360"/>
          <w:tab w:val="left" w:pos="450"/>
        </w:tabs>
        <w:spacing w:after="80" w:line="276" w:lineRule="auto"/>
        <w:jc w:val="both"/>
        <w:rPr>
          <w:rFonts w:ascii="Times New Roman" w:eastAsia="Times New Roman" w:hAnsi="Times New Roman" w:cs="Times New Roman"/>
          <w:bCs/>
          <w:color w:val="000000" w:themeColor="text1"/>
          <w:sz w:val="24"/>
          <w:szCs w:val="24"/>
          <w:lang w:val="ro-RO"/>
        </w:rPr>
      </w:pPr>
    </w:p>
    <w:p w14:paraId="59C1C8FF" w14:textId="77777777" w:rsidR="00EB73F3" w:rsidRPr="004D2FF7" w:rsidRDefault="00EB73F3" w:rsidP="00533FC8">
      <w:pPr>
        <w:tabs>
          <w:tab w:val="left" w:pos="360"/>
          <w:tab w:val="left" w:pos="450"/>
        </w:tabs>
        <w:spacing w:after="80" w:line="276" w:lineRule="auto"/>
        <w:jc w:val="both"/>
        <w:rPr>
          <w:rFonts w:ascii="Times New Roman" w:eastAsia="Times New Roman" w:hAnsi="Times New Roman" w:cs="Times New Roman"/>
          <w:bCs/>
          <w:color w:val="000000" w:themeColor="text1"/>
          <w:sz w:val="24"/>
          <w:szCs w:val="24"/>
          <w:lang w:val="ro-RO"/>
        </w:rPr>
      </w:pPr>
    </w:p>
    <w:p w14:paraId="7A48B40D" w14:textId="77777777" w:rsidR="006049D5" w:rsidRPr="004D2FF7" w:rsidRDefault="006049D5" w:rsidP="00ED5A00">
      <w:pPr>
        <w:pStyle w:val="Heading1"/>
        <w:numPr>
          <w:ilvl w:val="0"/>
          <w:numId w:val="11"/>
        </w:numPr>
        <w:tabs>
          <w:tab w:val="left" w:pos="3600"/>
          <w:tab w:val="left" w:pos="3780"/>
        </w:tabs>
        <w:spacing w:before="0" w:after="120" w:line="276" w:lineRule="auto"/>
        <w:ind w:left="426" w:hanging="142"/>
        <w:rPr>
          <w:rFonts w:ascii="Times New Roman" w:eastAsia="TimesNewRoman" w:hAnsi="Times New Roman" w:cs="Times New Roman"/>
          <w:b/>
          <w:color w:val="auto"/>
          <w:sz w:val="24"/>
          <w:szCs w:val="24"/>
        </w:rPr>
      </w:pPr>
      <w:bookmarkStart w:id="43" w:name="_Toc157776104"/>
      <w:r w:rsidRPr="004D2FF7">
        <w:rPr>
          <w:rFonts w:ascii="Times New Roman" w:eastAsia="TimesNewRoman" w:hAnsi="Times New Roman" w:cs="Times New Roman"/>
          <w:b/>
          <w:color w:val="auto"/>
          <w:sz w:val="24"/>
          <w:szCs w:val="24"/>
        </w:rPr>
        <w:t>SEMNĂTURILE ECHIPEI DE AUDIT</w:t>
      </w:r>
      <w:bookmarkEnd w:id="43"/>
    </w:p>
    <w:p w14:paraId="5230599F" w14:textId="77777777" w:rsidR="006049D5" w:rsidRPr="004D2FF7" w:rsidRDefault="006049D5" w:rsidP="0079486A">
      <w:pPr>
        <w:spacing w:after="120" w:line="276" w:lineRule="auto"/>
        <w:jc w:val="both"/>
        <w:rPr>
          <w:rFonts w:ascii="Times New Roman" w:eastAsia="Times New Roman" w:hAnsi="Times New Roman" w:cs="Times New Roman"/>
          <w:b/>
          <w:bCs/>
          <w:i/>
          <w:iCs/>
          <w:color w:val="000000" w:themeColor="text1"/>
          <w:sz w:val="24"/>
          <w:szCs w:val="24"/>
        </w:rPr>
      </w:pPr>
      <w:r w:rsidRPr="004D2FF7">
        <w:rPr>
          <w:rFonts w:ascii="Times New Roman" w:eastAsia="Times New Roman" w:hAnsi="Times New Roman" w:cs="Times New Roman"/>
          <w:b/>
          <w:bCs/>
          <w:i/>
          <w:iCs/>
          <w:color w:val="000000" w:themeColor="text1"/>
          <w:sz w:val="24"/>
          <w:szCs w:val="24"/>
        </w:rPr>
        <w:t>Echipa de audit:</w:t>
      </w:r>
    </w:p>
    <w:p w14:paraId="23EB0F31" w14:textId="77777777" w:rsidR="006049D5" w:rsidRPr="00980E86" w:rsidRDefault="006049D5" w:rsidP="0032030F">
      <w:pPr>
        <w:tabs>
          <w:tab w:val="left" w:pos="1080"/>
        </w:tabs>
        <w:spacing w:after="0" w:line="276" w:lineRule="auto"/>
        <w:rPr>
          <w:rFonts w:ascii="Times New Roman" w:hAnsi="Times New Roman" w:cs="Times New Roman"/>
          <w:b/>
          <w:sz w:val="24"/>
          <w:szCs w:val="24"/>
        </w:rPr>
      </w:pPr>
      <w:r w:rsidRPr="00980E86">
        <w:rPr>
          <w:rFonts w:ascii="Times New Roman" w:eastAsia="Times New Roman" w:hAnsi="Times New Roman" w:cs="Times New Roman"/>
          <w:b/>
          <w:bCs/>
          <w:iCs/>
          <w:color w:val="000000" w:themeColor="text1"/>
          <w:sz w:val="24"/>
          <w:szCs w:val="24"/>
        </w:rPr>
        <w:t>șef</w:t>
      </w:r>
      <w:r w:rsidR="006F58BF" w:rsidRPr="00980E86">
        <w:rPr>
          <w:rFonts w:ascii="Times New Roman" w:eastAsia="Times New Roman" w:hAnsi="Times New Roman" w:cs="Times New Roman"/>
          <w:b/>
          <w:bCs/>
          <w:iCs/>
          <w:color w:val="000000" w:themeColor="text1"/>
          <w:sz w:val="24"/>
          <w:szCs w:val="24"/>
        </w:rPr>
        <w:t>ul</w:t>
      </w:r>
      <w:r w:rsidRPr="00980E86">
        <w:rPr>
          <w:rFonts w:ascii="Times New Roman" w:eastAsia="Times New Roman" w:hAnsi="Times New Roman" w:cs="Times New Roman"/>
          <w:b/>
          <w:bCs/>
          <w:iCs/>
          <w:color w:val="000000" w:themeColor="text1"/>
          <w:sz w:val="24"/>
          <w:szCs w:val="24"/>
        </w:rPr>
        <w:t xml:space="preserve"> echipei de audit,</w:t>
      </w:r>
      <w:r w:rsidRPr="00980E86">
        <w:rPr>
          <w:rFonts w:ascii="Times New Roman" w:hAnsi="Times New Roman" w:cs="Times New Roman"/>
          <w:b/>
          <w:sz w:val="24"/>
          <w:szCs w:val="24"/>
        </w:rPr>
        <w:t xml:space="preserve"> </w:t>
      </w:r>
    </w:p>
    <w:p w14:paraId="0BB289E5" w14:textId="14B47958" w:rsidR="00A669DF" w:rsidRPr="00980E86" w:rsidRDefault="006049D5" w:rsidP="0032030F">
      <w:pPr>
        <w:tabs>
          <w:tab w:val="left" w:pos="1080"/>
          <w:tab w:val="left" w:pos="8280"/>
        </w:tabs>
        <w:spacing w:after="0" w:line="276" w:lineRule="auto"/>
        <w:rPr>
          <w:rFonts w:ascii="Times New Roman" w:eastAsia="Times New Roman" w:hAnsi="Times New Roman" w:cs="Times New Roman"/>
          <w:b/>
          <w:color w:val="000000" w:themeColor="text1"/>
          <w:sz w:val="24"/>
          <w:szCs w:val="24"/>
        </w:rPr>
      </w:pPr>
      <w:r w:rsidRPr="00980E86">
        <w:rPr>
          <w:rFonts w:ascii="Times New Roman" w:eastAsia="Times New Roman" w:hAnsi="Times New Roman" w:cs="Times New Roman"/>
          <w:b/>
          <w:bCs/>
          <w:iCs/>
          <w:color w:val="000000" w:themeColor="text1"/>
          <w:sz w:val="24"/>
          <w:szCs w:val="24"/>
        </w:rPr>
        <w:t>șef</w:t>
      </w:r>
      <w:r w:rsidR="006F58BF" w:rsidRPr="00980E86">
        <w:rPr>
          <w:rFonts w:ascii="Times New Roman" w:eastAsia="Times New Roman" w:hAnsi="Times New Roman" w:cs="Times New Roman"/>
          <w:b/>
          <w:bCs/>
          <w:iCs/>
          <w:color w:val="000000" w:themeColor="text1"/>
          <w:sz w:val="24"/>
          <w:szCs w:val="24"/>
        </w:rPr>
        <w:t>ul Direcției</w:t>
      </w:r>
      <w:r w:rsidR="00980E86">
        <w:rPr>
          <w:rFonts w:ascii="Times New Roman" w:eastAsia="Times New Roman" w:hAnsi="Times New Roman" w:cs="Times New Roman"/>
          <w:b/>
          <w:bCs/>
          <w:iCs/>
          <w:color w:val="000000" w:themeColor="text1"/>
          <w:sz w:val="24"/>
          <w:szCs w:val="24"/>
        </w:rPr>
        <w:t xml:space="preserve"> </w:t>
      </w:r>
      <w:r w:rsidR="008873ED">
        <w:rPr>
          <w:rFonts w:ascii="Times New Roman" w:eastAsia="Times New Roman" w:hAnsi="Times New Roman" w:cs="Times New Roman"/>
          <w:b/>
          <w:bCs/>
          <w:iCs/>
          <w:color w:val="000000" w:themeColor="text1"/>
          <w:sz w:val="24"/>
          <w:szCs w:val="24"/>
        </w:rPr>
        <w:t xml:space="preserve">de </w:t>
      </w:r>
      <w:r w:rsidR="00980E86">
        <w:rPr>
          <w:rFonts w:ascii="Times New Roman" w:eastAsia="Times New Roman" w:hAnsi="Times New Roman" w:cs="Times New Roman"/>
          <w:b/>
          <w:bCs/>
          <w:iCs/>
          <w:color w:val="000000" w:themeColor="text1"/>
          <w:sz w:val="24"/>
          <w:szCs w:val="24"/>
        </w:rPr>
        <w:t>audit</w:t>
      </w:r>
      <w:r w:rsidR="006F58BF" w:rsidRPr="00980E86">
        <w:rPr>
          <w:rFonts w:ascii="Times New Roman" w:eastAsia="Times New Roman" w:hAnsi="Times New Roman" w:cs="Times New Roman"/>
          <w:b/>
          <w:bCs/>
          <w:iCs/>
          <w:color w:val="000000" w:themeColor="text1"/>
          <w:sz w:val="24"/>
          <w:szCs w:val="24"/>
        </w:rPr>
        <w:t xml:space="preserve"> </w:t>
      </w:r>
      <w:r w:rsidR="00A669DF" w:rsidRPr="00980E86">
        <w:rPr>
          <w:rFonts w:ascii="Times New Roman" w:eastAsia="Times New Roman" w:hAnsi="Times New Roman" w:cs="Times New Roman"/>
          <w:b/>
          <w:bCs/>
          <w:iCs/>
          <w:color w:val="000000" w:themeColor="text1"/>
          <w:sz w:val="24"/>
          <w:szCs w:val="24"/>
        </w:rPr>
        <w:t xml:space="preserve">III </w:t>
      </w:r>
      <w:r w:rsidR="006F58BF" w:rsidRPr="00980E86">
        <w:rPr>
          <w:rFonts w:ascii="Times New Roman" w:eastAsia="Times New Roman" w:hAnsi="Times New Roman" w:cs="Times New Roman"/>
          <w:b/>
          <w:bCs/>
          <w:iCs/>
          <w:color w:val="000000" w:themeColor="text1"/>
          <w:sz w:val="24"/>
          <w:szCs w:val="24"/>
        </w:rPr>
        <w:t xml:space="preserve">în cadrul </w:t>
      </w:r>
      <w:r w:rsidRPr="00980E86">
        <w:rPr>
          <w:rFonts w:ascii="Times New Roman" w:eastAsia="Times New Roman" w:hAnsi="Times New Roman" w:cs="Times New Roman"/>
          <w:b/>
          <w:bCs/>
          <w:iCs/>
          <w:color w:val="000000" w:themeColor="text1"/>
          <w:sz w:val="24"/>
          <w:szCs w:val="24"/>
        </w:rPr>
        <w:t>Direcției generale de audit I</w:t>
      </w:r>
      <w:r w:rsidR="008873ED">
        <w:rPr>
          <w:rFonts w:ascii="Times New Roman" w:eastAsia="Times New Roman" w:hAnsi="Times New Roman" w:cs="Times New Roman"/>
          <w:b/>
          <w:bCs/>
          <w:iCs/>
          <w:color w:val="000000" w:themeColor="text1"/>
          <w:sz w:val="24"/>
          <w:szCs w:val="24"/>
        </w:rPr>
        <w:t>:</w:t>
      </w:r>
      <w:r w:rsidRPr="00980E86">
        <w:rPr>
          <w:rFonts w:ascii="Times New Roman" w:eastAsia="Times New Roman" w:hAnsi="Times New Roman" w:cs="Times New Roman"/>
          <w:b/>
          <w:bCs/>
          <w:iCs/>
          <w:color w:val="000000" w:themeColor="text1"/>
          <w:sz w:val="24"/>
          <w:szCs w:val="24"/>
        </w:rPr>
        <w:t xml:space="preserve"> </w:t>
      </w:r>
      <w:r w:rsidR="00A669DF" w:rsidRPr="00980E86">
        <w:rPr>
          <w:rFonts w:ascii="Times New Roman" w:eastAsia="Times New Roman" w:hAnsi="Times New Roman" w:cs="Times New Roman"/>
          <w:b/>
          <w:bCs/>
          <w:iCs/>
          <w:color w:val="000000" w:themeColor="text1"/>
          <w:sz w:val="24"/>
          <w:szCs w:val="24"/>
        </w:rPr>
        <w:t xml:space="preserve">       </w:t>
      </w:r>
      <w:r w:rsidR="000C299F">
        <w:rPr>
          <w:rFonts w:ascii="Times New Roman" w:eastAsia="Times New Roman" w:hAnsi="Times New Roman" w:cs="Times New Roman"/>
          <w:b/>
          <w:bCs/>
          <w:iCs/>
          <w:color w:val="000000" w:themeColor="text1"/>
          <w:sz w:val="24"/>
          <w:szCs w:val="24"/>
        </w:rPr>
        <w:t xml:space="preserve">            </w:t>
      </w:r>
      <w:r w:rsidR="00A669DF" w:rsidRPr="00980E86">
        <w:rPr>
          <w:rFonts w:ascii="Times New Roman" w:eastAsia="Times New Roman" w:hAnsi="Times New Roman" w:cs="Times New Roman"/>
          <w:b/>
          <w:bCs/>
          <w:iCs/>
          <w:color w:val="000000" w:themeColor="text1"/>
          <w:sz w:val="24"/>
          <w:szCs w:val="24"/>
        </w:rPr>
        <w:t xml:space="preserve"> </w:t>
      </w:r>
      <w:r w:rsidR="00A669DF" w:rsidRPr="00980E86">
        <w:rPr>
          <w:rFonts w:ascii="Times New Roman" w:eastAsia="Times New Roman" w:hAnsi="Times New Roman" w:cs="Times New Roman"/>
          <w:b/>
          <w:color w:val="000000" w:themeColor="text1"/>
          <w:sz w:val="24"/>
          <w:szCs w:val="24"/>
        </w:rPr>
        <w:t>Victor Munteanu</w:t>
      </w:r>
      <w:r w:rsidRPr="00980E86">
        <w:rPr>
          <w:rFonts w:ascii="Times New Roman" w:eastAsia="Times New Roman" w:hAnsi="Times New Roman" w:cs="Times New Roman"/>
          <w:b/>
          <w:color w:val="000000" w:themeColor="text1"/>
          <w:sz w:val="24"/>
          <w:szCs w:val="24"/>
        </w:rPr>
        <w:t xml:space="preserve">   </w:t>
      </w:r>
    </w:p>
    <w:p w14:paraId="5B60C76B" w14:textId="6A9FE7E1" w:rsidR="006049D5" w:rsidRPr="00980E86" w:rsidRDefault="00A669DF" w:rsidP="00A669DF">
      <w:pPr>
        <w:tabs>
          <w:tab w:val="left" w:pos="1080"/>
          <w:tab w:val="left" w:pos="8280"/>
        </w:tabs>
        <w:spacing w:after="120" w:line="276" w:lineRule="auto"/>
        <w:rPr>
          <w:rFonts w:ascii="Times New Roman" w:eastAsia="Times New Roman" w:hAnsi="Times New Roman" w:cs="Times New Roman"/>
          <w:b/>
          <w:bCs/>
          <w:iCs/>
          <w:color w:val="000000" w:themeColor="text1"/>
          <w:sz w:val="24"/>
          <w:szCs w:val="24"/>
        </w:rPr>
      </w:pPr>
      <w:r w:rsidRPr="00980E86">
        <w:rPr>
          <w:rFonts w:ascii="Times New Roman" w:eastAsia="Times New Roman" w:hAnsi="Times New Roman" w:cs="Times New Roman"/>
          <w:b/>
          <w:bCs/>
          <w:iCs/>
          <w:color w:val="000000" w:themeColor="text1"/>
          <w:sz w:val="24"/>
          <w:szCs w:val="24"/>
        </w:rPr>
        <w:t xml:space="preserve">Bugetul de </w:t>
      </w:r>
      <w:r w:rsidR="008873ED">
        <w:rPr>
          <w:rFonts w:ascii="Times New Roman" w:eastAsia="Times New Roman" w:hAnsi="Times New Roman" w:cs="Times New Roman"/>
          <w:b/>
          <w:bCs/>
          <w:iCs/>
          <w:color w:val="000000" w:themeColor="text1"/>
          <w:sz w:val="24"/>
          <w:szCs w:val="24"/>
        </w:rPr>
        <w:t>s</w:t>
      </w:r>
      <w:r w:rsidRPr="00980E86">
        <w:rPr>
          <w:rFonts w:ascii="Times New Roman" w:eastAsia="Times New Roman" w:hAnsi="Times New Roman" w:cs="Times New Roman"/>
          <w:b/>
          <w:bCs/>
          <w:iCs/>
          <w:color w:val="000000" w:themeColor="text1"/>
          <w:sz w:val="24"/>
          <w:szCs w:val="24"/>
        </w:rPr>
        <w:t xml:space="preserve">tat și APC </w:t>
      </w:r>
      <w:r w:rsidRPr="00980E86">
        <w:rPr>
          <w:rFonts w:ascii="Times New Roman" w:eastAsia="Times New Roman" w:hAnsi="Times New Roman" w:cs="Times New Roman"/>
          <w:b/>
          <w:color w:val="000000" w:themeColor="text1"/>
          <w:sz w:val="24"/>
          <w:szCs w:val="24"/>
        </w:rPr>
        <w:t xml:space="preserve">  </w:t>
      </w:r>
      <w:r w:rsidR="006049D5" w:rsidRPr="00980E86">
        <w:rPr>
          <w:rFonts w:ascii="Times New Roman" w:eastAsia="Times New Roman" w:hAnsi="Times New Roman" w:cs="Times New Roman"/>
          <w:b/>
          <w:color w:val="000000" w:themeColor="text1"/>
          <w:sz w:val="24"/>
          <w:szCs w:val="24"/>
        </w:rPr>
        <w:t xml:space="preserve">                                                                                 </w:t>
      </w:r>
    </w:p>
    <w:p w14:paraId="2ACF3AAD" w14:textId="77777777" w:rsidR="0032030F" w:rsidRPr="00980E86" w:rsidRDefault="0032030F" w:rsidP="00A669DF">
      <w:pPr>
        <w:tabs>
          <w:tab w:val="left" w:pos="1080"/>
          <w:tab w:val="left" w:pos="7560"/>
          <w:tab w:val="left" w:pos="7740"/>
        </w:tabs>
        <w:spacing w:after="120" w:line="276" w:lineRule="auto"/>
        <w:rPr>
          <w:rFonts w:ascii="Times New Roman" w:eastAsia="Times New Roman" w:hAnsi="Times New Roman" w:cs="Times New Roman"/>
          <w:b/>
          <w:color w:val="000000" w:themeColor="text1"/>
          <w:sz w:val="24"/>
          <w:szCs w:val="24"/>
        </w:rPr>
      </w:pPr>
    </w:p>
    <w:p w14:paraId="6B0ABA6A" w14:textId="77777777" w:rsidR="006049D5" w:rsidRPr="00980E86" w:rsidRDefault="00A669DF" w:rsidP="00A669DF">
      <w:pPr>
        <w:tabs>
          <w:tab w:val="left" w:pos="1080"/>
          <w:tab w:val="left" w:pos="7560"/>
          <w:tab w:val="left" w:pos="7740"/>
        </w:tabs>
        <w:spacing w:after="120" w:line="276" w:lineRule="auto"/>
        <w:rPr>
          <w:rFonts w:ascii="Times New Roman" w:eastAsia="Times New Roman" w:hAnsi="Times New Roman" w:cs="Times New Roman"/>
          <w:b/>
          <w:color w:val="000000" w:themeColor="text1"/>
          <w:sz w:val="24"/>
          <w:szCs w:val="24"/>
        </w:rPr>
      </w:pPr>
      <w:r w:rsidRPr="00980E86">
        <w:rPr>
          <w:rFonts w:ascii="Times New Roman" w:eastAsia="Times New Roman" w:hAnsi="Times New Roman" w:cs="Times New Roman"/>
          <w:b/>
          <w:color w:val="000000" w:themeColor="text1"/>
          <w:sz w:val="24"/>
          <w:szCs w:val="24"/>
        </w:rPr>
        <w:t xml:space="preserve">auditoare publică principală                                                                             </w:t>
      </w:r>
      <w:r w:rsidR="002311F7" w:rsidRPr="00980E86">
        <w:rPr>
          <w:rFonts w:ascii="Times New Roman" w:eastAsia="Times New Roman" w:hAnsi="Times New Roman" w:cs="Times New Roman"/>
          <w:b/>
          <w:color w:val="000000" w:themeColor="text1"/>
          <w:sz w:val="24"/>
          <w:szCs w:val="24"/>
        </w:rPr>
        <w:t xml:space="preserve">    </w:t>
      </w:r>
      <w:r w:rsidRPr="00980E86">
        <w:rPr>
          <w:rFonts w:ascii="Times New Roman" w:eastAsia="Times New Roman" w:hAnsi="Times New Roman" w:cs="Times New Roman"/>
          <w:b/>
          <w:color w:val="000000" w:themeColor="text1"/>
          <w:sz w:val="24"/>
          <w:szCs w:val="24"/>
        </w:rPr>
        <w:t xml:space="preserve"> Vera Gheorghiță</w:t>
      </w:r>
      <w:r w:rsidR="006049D5" w:rsidRPr="00980E86">
        <w:rPr>
          <w:rFonts w:ascii="Times New Roman" w:eastAsia="Times New Roman" w:hAnsi="Times New Roman" w:cs="Times New Roman"/>
          <w:b/>
          <w:color w:val="000000" w:themeColor="text1"/>
          <w:sz w:val="24"/>
          <w:szCs w:val="24"/>
        </w:rPr>
        <w:tab/>
        <w:t xml:space="preserve">                </w:t>
      </w:r>
    </w:p>
    <w:p w14:paraId="159E5DDC" w14:textId="77777777" w:rsidR="0032030F" w:rsidRPr="00980E86" w:rsidRDefault="0032030F" w:rsidP="00EC0496">
      <w:pPr>
        <w:tabs>
          <w:tab w:val="left" w:pos="1080"/>
          <w:tab w:val="left" w:pos="7110"/>
          <w:tab w:val="left" w:pos="7380"/>
        </w:tabs>
        <w:spacing w:after="240" w:line="276" w:lineRule="auto"/>
        <w:jc w:val="both"/>
        <w:rPr>
          <w:rFonts w:ascii="Times New Roman" w:eastAsia="Times New Roman" w:hAnsi="Times New Roman" w:cs="Times New Roman"/>
          <w:b/>
          <w:bCs/>
          <w:iCs/>
          <w:color w:val="000000" w:themeColor="text1"/>
          <w:sz w:val="24"/>
          <w:szCs w:val="24"/>
        </w:rPr>
      </w:pPr>
    </w:p>
    <w:p w14:paraId="77838361" w14:textId="77777777" w:rsidR="00035602" w:rsidRPr="00980E86" w:rsidRDefault="00A669DF" w:rsidP="00EC0496">
      <w:pPr>
        <w:tabs>
          <w:tab w:val="left" w:pos="1080"/>
          <w:tab w:val="left" w:pos="7110"/>
          <w:tab w:val="left" w:pos="7380"/>
        </w:tabs>
        <w:spacing w:after="240" w:line="276" w:lineRule="auto"/>
        <w:jc w:val="both"/>
        <w:rPr>
          <w:rFonts w:ascii="Times New Roman" w:eastAsia="Times New Roman" w:hAnsi="Times New Roman" w:cs="Times New Roman"/>
          <w:b/>
          <w:bCs/>
          <w:i/>
          <w:iCs/>
          <w:color w:val="000000" w:themeColor="text1"/>
          <w:sz w:val="24"/>
          <w:szCs w:val="24"/>
        </w:rPr>
      </w:pPr>
      <w:r w:rsidRPr="00980E86">
        <w:rPr>
          <w:rFonts w:ascii="Times New Roman" w:eastAsia="Times New Roman" w:hAnsi="Times New Roman" w:cs="Times New Roman"/>
          <w:b/>
          <w:bCs/>
          <w:iCs/>
          <w:color w:val="000000" w:themeColor="text1"/>
          <w:sz w:val="24"/>
          <w:szCs w:val="24"/>
        </w:rPr>
        <w:t xml:space="preserve">auditor public principal                                                                                        </w:t>
      </w:r>
      <w:r w:rsidR="0079486A" w:rsidRPr="00980E86">
        <w:rPr>
          <w:rFonts w:ascii="Times New Roman" w:eastAsia="Times New Roman" w:hAnsi="Times New Roman" w:cs="Times New Roman"/>
          <w:b/>
          <w:bCs/>
          <w:iCs/>
          <w:color w:val="000000" w:themeColor="text1"/>
          <w:sz w:val="24"/>
          <w:szCs w:val="24"/>
        </w:rPr>
        <w:t xml:space="preserve">    </w:t>
      </w:r>
      <w:r w:rsidRPr="00980E86">
        <w:rPr>
          <w:rFonts w:ascii="Times New Roman" w:eastAsia="Times New Roman" w:hAnsi="Times New Roman" w:cs="Times New Roman"/>
          <w:b/>
          <w:bCs/>
          <w:iCs/>
          <w:color w:val="000000" w:themeColor="text1"/>
          <w:sz w:val="24"/>
          <w:szCs w:val="24"/>
        </w:rPr>
        <w:t xml:space="preserve"> </w:t>
      </w:r>
      <w:r w:rsidR="000C299F">
        <w:rPr>
          <w:rFonts w:ascii="Times New Roman" w:eastAsia="Times New Roman" w:hAnsi="Times New Roman" w:cs="Times New Roman"/>
          <w:b/>
          <w:bCs/>
          <w:iCs/>
          <w:color w:val="000000" w:themeColor="text1"/>
          <w:sz w:val="24"/>
          <w:szCs w:val="24"/>
        </w:rPr>
        <w:t xml:space="preserve">    </w:t>
      </w:r>
      <w:r w:rsidR="0079486A" w:rsidRPr="00980E86">
        <w:rPr>
          <w:rFonts w:ascii="Times New Roman" w:eastAsia="Times New Roman" w:hAnsi="Times New Roman" w:cs="Times New Roman"/>
          <w:b/>
          <w:bCs/>
          <w:iCs/>
          <w:color w:val="000000" w:themeColor="text1"/>
          <w:sz w:val="24"/>
          <w:szCs w:val="24"/>
        </w:rPr>
        <w:t xml:space="preserve"> </w:t>
      </w:r>
      <w:r w:rsidRPr="00980E86">
        <w:rPr>
          <w:rFonts w:ascii="Times New Roman" w:eastAsia="Times New Roman" w:hAnsi="Times New Roman" w:cs="Times New Roman"/>
          <w:b/>
          <w:bCs/>
          <w:iCs/>
          <w:color w:val="000000" w:themeColor="text1"/>
          <w:sz w:val="24"/>
          <w:szCs w:val="24"/>
        </w:rPr>
        <w:t>Tudor  Sula</w:t>
      </w:r>
      <w:r w:rsidR="00963662" w:rsidRPr="00980E86">
        <w:rPr>
          <w:rFonts w:ascii="Times New Roman" w:eastAsia="Times New Roman" w:hAnsi="Times New Roman" w:cs="Times New Roman"/>
          <w:b/>
          <w:bCs/>
          <w:i/>
          <w:iCs/>
          <w:color w:val="000000" w:themeColor="text1"/>
          <w:sz w:val="24"/>
          <w:szCs w:val="24"/>
        </w:rPr>
        <w:t xml:space="preserve">       </w:t>
      </w:r>
    </w:p>
    <w:p w14:paraId="0B5424DD" w14:textId="77777777" w:rsidR="00027C5B" w:rsidRDefault="00027C5B" w:rsidP="003441AE">
      <w:pPr>
        <w:pStyle w:val="Heading1"/>
        <w:rPr>
          <w:rFonts w:ascii="Times New Roman" w:hAnsi="Times New Roman" w:cs="Times New Roman"/>
          <w:b/>
          <w:color w:val="auto"/>
          <w:sz w:val="24"/>
          <w:szCs w:val="24"/>
        </w:rPr>
      </w:pPr>
    </w:p>
    <w:p w14:paraId="3616F93E" w14:textId="77777777" w:rsidR="00EB73F3" w:rsidRPr="00EB73F3" w:rsidRDefault="00EB73F3" w:rsidP="00EB73F3"/>
    <w:p w14:paraId="2A6499E3" w14:textId="77777777" w:rsidR="000D0BBB" w:rsidRPr="000D0BBB" w:rsidRDefault="000D0BBB" w:rsidP="000D0BBB">
      <w:pPr>
        <w:spacing w:after="0"/>
        <w:rPr>
          <w:rFonts w:ascii="Times New Roman" w:hAnsi="Times New Roman" w:cs="Times New Roman"/>
          <w:b/>
          <w:sz w:val="24"/>
          <w:szCs w:val="24"/>
        </w:rPr>
      </w:pPr>
      <w:r w:rsidRPr="000D0BBB">
        <w:rPr>
          <w:rFonts w:ascii="Times New Roman" w:eastAsia="Times New Roman" w:hAnsi="Times New Roman" w:cs="Times New Roman"/>
          <w:b/>
          <w:bCs/>
          <w:iCs/>
          <w:color w:val="000000" w:themeColor="text1"/>
          <w:sz w:val="24"/>
          <w:szCs w:val="24"/>
        </w:rPr>
        <w:t>r</w:t>
      </w:r>
      <w:r w:rsidRPr="000D0BBB">
        <w:rPr>
          <w:rFonts w:ascii="Times New Roman" w:hAnsi="Times New Roman" w:cs="Times New Roman"/>
          <w:b/>
          <w:sz w:val="24"/>
          <w:szCs w:val="24"/>
        </w:rPr>
        <w:t>esponsabilă de misiunea de audit</w:t>
      </w:r>
      <w:r>
        <w:rPr>
          <w:rFonts w:ascii="Times New Roman" w:hAnsi="Times New Roman" w:cs="Times New Roman"/>
          <w:b/>
          <w:sz w:val="24"/>
          <w:szCs w:val="24"/>
        </w:rPr>
        <w:t>,</w:t>
      </w:r>
    </w:p>
    <w:p w14:paraId="7070758D" w14:textId="138F8473" w:rsidR="000D0BBB" w:rsidRPr="000D0BBB" w:rsidRDefault="000D0BBB" w:rsidP="000D0BBB">
      <w:pPr>
        <w:tabs>
          <w:tab w:val="left" w:pos="1080"/>
          <w:tab w:val="left" w:pos="8280"/>
        </w:tabs>
        <w:spacing w:after="0" w:line="276" w:lineRule="auto"/>
        <w:rPr>
          <w:rFonts w:ascii="Times New Roman" w:eastAsia="Times New Roman" w:hAnsi="Times New Roman" w:cs="Times New Roman"/>
          <w:b/>
          <w:color w:val="000000" w:themeColor="text1"/>
          <w:sz w:val="24"/>
          <w:szCs w:val="24"/>
        </w:rPr>
      </w:pPr>
      <w:r w:rsidRPr="000D0BBB">
        <w:rPr>
          <w:rFonts w:ascii="Times New Roman" w:eastAsia="Times New Roman" w:hAnsi="Times New Roman" w:cs="Times New Roman"/>
          <w:b/>
          <w:bCs/>
          <w:iCs/>
          <w:color w:val="000000" w:themeColor="text1"/>
          <w:sz w:val="24"/>
          <w:szCs w:val="24"/>
        </w:rPr>
        <w:t>șef</w:t>
      </w:r>
      <w:r w:rsidR="008873ED">
        <w:rPr>
          <w:rFonts w:ascii="Times New Roman" w:eastAsia="Times New Roman" w:hAnsi="Times New Roman" w:cs="Times New Roman"/>
          <w:b/>
          <w:bCs/>
          <w:iCs/>
          <w:color w:val="000000" w:themeColor="text1"/>
          <w:sz w:val="24"/>
          <w:szCs w:val="24"/>
        </w:rPr>
        <w:t>a</w:t>
      </w:r>
      <w:r w:rsidRPr="000D0BBB">
        <w:rPr>
          <w:rFonts w:ascii="Times New Roman" w:eastAsia="Times New Roman" w:hAnsi="Times New Roman" w:cs="Times New Roman"/>
          <w:b/>
          <w:bCs/>
          <w:iCs/>
          <w:color w:val="000000" w:themeColor="text1"/>
          <w:sz w:val="24"/>
          <w:szCs w:val="24"/>
        </w:rPr>
        <w:t xml:space="preserve"> Direcției generale de audit I</w:t>
      </w:r>
      <w:r w:rsidR="008873ED">
        <w:rPr>
          <w:rFonts w:ascii="Times New Roman" w:eastAsia="Times New Roman" w:hAnsi="Times New Roman" w:cs="Times New Roman"/>
          <w:b/>
          <w:bCs/>
          <w:iCs/>
          <w:color w:val="000000" w:themeColor="text1"/>
          <w:sz w:val="24"/>
          <w:szCs w:val="24"/>
        </w:rPr>
        <w:t>:</w:t>
      </w:r>
      <w:r w:rsidRPr="000D0BBB">
        <w:rPr>
          <w:rFonts w:ascii="Times New Roman" w:eastAsia="Times New Roman" w:hAnsi="Times New Roman" w:cs="Times New Roman"/>
          <w:b/>
          <w:bCs/>
          <w:iCs/>
          <w:color w:val="000000" w:themeColor="text1"/>
          <w:sz w:val="24"/>
          <w:szCs w:val="24"/>
        </w:rPr>
        <w:t xml:space="preserve">                                                                       </w:t>
      </w:r>
      <w:r>
        <w:rPr>
          <w:rFonts w:ascii="Times New Roman" w:eastAsia="Times New Roman" w:hAnsi="Times New Roman" w:cs="Times New Roman"/>
          <w:b/>
          <w:bCs/>
          <w:iCs/>
          <w:color w:val="000000" w:themeColor="text1"/>
          <w:sz w:val="24"/>
          <w:szCs w:val="24"/>
        </w:rPr>
        <w:t xml:space="preserve"> </w:t>
      </w:r>
      <w:r w:rsidRPr="000D0BBB">
        <w:rPr>
          <w:rFonts w:ascii="Times New Roman" w:eastAsia="Times New Roman" w:hAnsi="Times New Roman" w:cs="Times New Roman"/>
          <w:b/>
          <w:bCs/>
          <w:iCs/>
          <w:color w:val="000000" w:themeColor="text1"/>
          <w:sz w:val="24"/>
          <w:szCs w:val="24"/>
        </w:rPr>
        <w:t xml:space="preserve"> Natalia</w:t>
      </w:r>
      <w:r w:rsidRPr="000D0BBB">
        <w:rPr>
          <w:rFonts w:ascii="Times New Roman" w:eastAsia="Times New Roman" w:hAnsi="Times New Roman" w:cs="Times New Roman"/>
          <w:b/>
          <w:color w:val="000000" w:themeColor="text1"/>
          <w:sz w:val="24"/>
          <w:szCs w:val="24"/>
        </w:rPr>
        <w:t xml:space="preserve">  T</w:t>
      </w:r>
      <w:r>
        <w:rPr>
          <w:rFonts w:ascii="Times New Roman" w:eastAsia="Times New Roman" w:hAnsi="Times New Roman" w:cs="Times New Roman"/>
          <w:b/>
          <w:color w:val="000000" w:themeColor="text1"/>
          <w:sz w:val="24"/>
          <w:szCs w:val="24"/>
        </w:rPr>
        <w:t>ROFIM</w:t>
      </w:r>
      <w:r w:rsidRPr="000D0BBB">
        <w:rPr>
          <w:rFonts w:ascii="Times New Roman" w:eastAsia="Times New Roman" w:hAnsi="Times New Roman" w:cs="Times New Roman"/>
          <w:b/>
          <w:color w:val="000000" w:themeColor="text1"/>
          <w:sz w:val="24"/>
          <w:szCs w:val="24"/>
        </w:rPr>
        <w:t xml:space="preserve">   </w:t>
      </w:r>
    </w:p>
    <w:p w14:paraId="255A8521" w14:textId="03D8DDDD" w:rsidR="000D0BBB" w:rsidRPr="000D0BBB" w:rsidRDefault="000D0BBB" w:rsidP="000D0BBB">
      <w:pPr>
        <w:spacing w:after="0"/>
        <w:rPr>
          <w:rFonts w:ascii="Times New Roman" w:eastAsia="Times New Roman" w:hAnsi="Times New Roman" w:cs="Times New Roman"/>
          <w:b/>
          <w:bCs/>
          <w:iCs/>
          <w:color w:val="000000" w:themeColor="text1"/>
          <w:sz w:val="24"/>
          <w:szCs w:val="24"/>
        </w:rPr>
      </w:pPr>
      <w:r w:rsidRPr="000D0BBB">
        <w:rPr>
          <w:rFonts w:ascii="Times New Roman" w:eastAsia="Times New Roman" w:hAnsi="Times New Roman" w:cs="Times New Roman"/>
          <w:b/>
          <w:bCs/>
          <w:iCs/>
          <w:color w:val="000000" w:themeColor="text1"/>
          <w:sz w:val="24"/>
          <w:szCs w:val="24"/>
        </w:rPr>
        <w:t xml:space="preserve">Bugetul de </w:t>
      </w:r>
      <w:r w:rsidR="008873ED">
        <w:rPr>
          <w:rFonts w:ascii="Times New Roman" w:eastAsia="Times New Roman" w:hAnsi="Times New Roman" w:cs="Times New Roman"/>
          <w:b/>
          <w:bCs/>
          <w:iCs/>
          <w:color w:val="000000" w:themeColor="text1"/>
          <w:sz w:val="24"/>
          <w:szCs w:val="24"/>
        </w:rPr>
        <w:t>s</w:t>
      </w:r>
      <w:r w:rsidRPr="000D0BBB">
        <w:rPr>
          <w:rFonts w:ascii="Times New Roman" w:eastAsia="Times New Roman" w:hAnsi="Times New Roman" w:cs="Times New Roman"/>
          <w:b/>
          <w:bCs/>
          <w:iCs/>
          <w:color w:val="000000" w:themeColor="text1"/>
          <w:sz w:val="24"/>
          <w:szCs w:val="24"/>
        </w:rPr>
        <w:t xml:space="preserve">tat și APC </w:t>
      </w:r>
    </w:p>
    <w:p w14:paraId="1CB213D7" w14:textId="77777777" w:rsidR="009411D0" w:rsidRDefault="009411D0" w:rsidP="000D0BBB">
      <w:pPr>
        <w:spacing w:after="0"/>
      </w:pPr>
    </w:p>
    <w:p w14:paraId="76AFD234" w14:textId="77777777" w:rsidR="005E6C21" w:rsidRDefault="005E6C21" w:rsidP="009411D0"/>
    <w:p w14:paraId="52201072" w14:textId="77777777" w:rsidR="005E6C21" w:rsidRDefault="005E6C21" w:rsidP="009411D0"/>
    <w:p w14:paraId="0DDBDD2A" w14:textId="77777777" w:rsidR="003F5A17" w:rsidRPr="00DD6A7A" w:rsidRDefault="003F5A17" w:rsidP="003441AE">
      <w:pPr>
        <w:pStyle w:val="Heading1"/>
        <w:rPr>
          <w:rFonts w:ascii="Times New Roman" w:hAnsi="Times New Roman" w:cs="Times New Roman"/>
          <w:b/>
          <w:color w:val="auto"/>
          <w:sz w:val="24"/>
          <w:szCs w:val="24"/>
        </w:rPr>
      </w:pPr>
      <w:bookmarkStart w:id="44" w:name="_Toc157776105"/>
      <w:r w:rsidRPr="00DD6A7A">
        <w:rPr>
          <w:rFonts w:ascii="Times New Roman" w:hAnsi="Times New Roman" w:cs="Times New Roman"/>
          <w:b/>
          <w:color w:val="auto"/>
          <w:sz w:val="24"/>
          <w:szCs w:val="24"/>
        </w:rPr>
        <w:lastRenderedPageBreak/>
        <w:t>ANEXE</w:t>
      </w:r>
      <w:bookmarkEnd w:id="44"/>
    </w:p>
    <w:p w14:paraId="46C058F8" w14:textId="77777777" w:rsidR="003F5A17" w:rsidRPr="00DD6A7A" w:rsidRDefault="00C83CB5" w:rsidP="003441AE">
      <w:pPr>
        <w:jc w:val="center"/>
        <w:rPr>
          <w:rFonts w:ascii="Times New Roman" w:hAnsi="Times New Roman" w:cs="Times New Roman"/>
          <w:b/>
          <w:i/>
          <w:sz w:val="24"/>
          <w:szCs w:val="24"/>
        </w:rPr>
      </w:pPr>
      <w:r w:rsidRPr="00DD6A7A">
        <w:rPr>
          <w:rFonts w:ascii="Times New Roman" w:hAnsi="Times New Roman" w:cs="Times New Roman"/>
          <w:b/>
          <w:i/>
          <w:sz w:val="24"/>
          <w:szCs w:val="24"/>
        </w:rPr>
        <w:t xml:space="preserve">                                                                                                                                       </w:t>
      </w:r>
      <w:r w:rsidR="003F5A17" w:rsidRPr="00DD6A7A">
        <w:rPr>
          <w:rFonts w:ascii="Times New Roman" w:hAnsi="Times New Roman" w:cs="Times New Roman"/>
          <w:b/>
          <w:i/>
          <w:sz w:val="24"/>
          <w:szCs w:val="24"/>
        </w:rPr>
        <w:t>Anexa nr.1</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7"/>
        <w:gridCol w:w="846"/>
        <w:gridCol w:w="851"/>
        <w:gridCol w:w="986"/>
        <w:gridCol w:w="857"/>
        <w:gridCol w:w="850"/>
      </w:tblGrid>
      <w:tr w:rsidR="00035602" w:rsidRPr="00DD6A7A" w14:paraId="1C49CE57" w14:textId="77777777" w:rsidTr="00D160B5">
        <w:trPr>
          <w:trHeight w:val="226"/>
          <w:jc w:val="center"/>
        </w:trPr>
        <w:tc>
          <w:tcPr>
            <w:tcW w:w="8506" w:type="dxa"/>
            <w:gridSpan w:val="7"/>
            <w:tcBorders>
              <w:top w:val="nil"/>
              <w:left w:val="nil"/>
              <w:bottom w:val="single" w:sz="4" w:space="0" w:color="auto"/>
              <w:right w:val="nil"/>
            </w:tcBorders>
            <w:shd w:val="clear" w:color="auto" w:fill="auto"/>
            <w:vAlign w:val="center"/>
          </w:tcPr>
          <w:p w14:paraId="5C21EB39" w14:textId="0C54318B" w:rsidR="00035602" w:rsidRPr="00605F45" w:rsidRDefault="003F5A17" w:rsidP="00C44A50">
            <w:pPr>
              <w:jc w:val="center"/>
              <w:rPr>
                <w:rFonts w:ascii="Times New Roman" w:hAnsi="Times New Roman" w:cs="Times New Roman"/>
                <w:lang w:val="ro-RO"/>
              </w:rPr>
            </w:pPr>
            <w:r w:rsidRPr="00605F45">
              <w:rPr>
                <w:rFonts w:ascii="Times New Roman" w:hAnsi="Times New Roman" w:cs="Times New Roman"/>
                <w:b/>
                <w:bCs/>
                <w:lang w:val="ro-RO"/>
              </w:rPr>
              <w:t>G</w:t>
            </w:r>
            <w:r w:rsidR="000D1B78" w:rsidRPr="00605F45">
              <w:rPr>
                <w:rFonts w:ascii="Times New Roman" w:hAnsi="Times New Roman" w:cs="Times New Roman"/>
                <w:b/>
                <w:bCs/>
                <w:lang w:val="ro-RO"/>
              </w:rPr>
              <w:t xml:space="preserve">radul de ocupare a funcțiilor în cadrul </w:t>
            </w:r>
            <w:r w:rsidRPr="00605F45">
              <w:rPr>
                <w:rFonts w:ascii="Times New Roman" w:hAnsi="Times New Roman" w:cs="Times New Roman"/>
                <w:b/>
                <w:bCs/>
                <w:lang w:val="ro-RO"/>
              </w:rPr>
              <w:t>CNPDCP</w:t>
            </w:r>
            <w:r w:rsidR="00503361">
              <w:rPr>
                <w:rFonts w:ascii="Times New Roman" w:hAnsi="Times New Roman" w:cs="Times New Roman"/>
                <w:b/>
                <w:bCs/>
                <w:lang w:val="ro-RO"/>
              </w:rPr>
              <w:t>,</w:t>
            </w:r>
            <w:r w:rsidRPr="00605F45">
              <w:rPr>
                <w:rFonts w:ascii="Times New Roman" w:hAnsi="Times New Roman" w:cs="Times New Roman"/>
                <w:b/>
                <w:bCs/>
                <w:lang w:val="ro-RO"/>
              </w:rPr>
              <w:t xml:space="preserve"> </w:t>
            </w:r>
            <w:r w:rsidR="000D1B78" w:rsidRPr="00605F45">
              <w:rPr>
                <w:rFonts w:ascii="Times New Roman" w:hAnsi="Times New Roman" w:cs="Times New Roman"/>
                <w:b/>
                <w:bCs/>
                <w:lang w:val="ro-RO"/>
              </w:rPr>
              <w:t xml:space="preserve">la situația din 31 decembrie </w:t>
            </w:r>
          </w:p>
        </w:tc>
      </w:tr>
      <w:tr w:rsidR="00035602" w:rsidRPr="00DD6A7A" w14:paraId="0034FE17" w14:textId="77777777" w:rsidTr="000D1B78">
        <w:trPr>
          <w:trHeight w:val="1124"/>
          <w:jc w:val="center"/>
        </w:trPr>
        <w:tc>
          <w:tcPr>
            <w:tcW w:w="709" w:type="dxa"/>
            <w:tcBorders>
              <w:top w:val="single" w:sz="4" w:space="0" w:color="auto"/>
            </w:tcBorders>
            <w:shd w:val="clear" w:color="auto" w:fill="00B0F0"/>
            <w:vAlign w:val="center"/>
          </w:tcPr>
          <w:p w14:paraId="567D90E8" w14:textId="77777777" w:rsidR="00035602" w:rsidRPr="00DD6A7A" w:rsidRDefault="00035602" w:rsidP="003441AE">
            <w:pPr>
              <w:jc w:val="center"/>
              <w:rPr>
                <w:rFonts w:ascii="Times New Roman" w:hAnsi="Times New Roman" w:cs="Times New Roman"/>
                <w:b/>
                <w:sz w:val="20"/>
                <w:szCs w:val="20"/>
                <w:lang w:val="ro-RO"/>
              </w:rPr>
            </w:pPr>
          </w:p>
          <w:p w14:paraId="2A2D020E" w14:textId="31C40F99" w:rsidR="00035602" w:rsidRPr="00DD6A7A" w:rsidRDefault="00035602" w:rsidP="00503361">
            <w:pPr>
              <w:jc w:val="center"/>
              <w:rPr>
                <w:rFonts w:ascii="Times New Roman" w:hAnsi="Times New Roman" w:cs="Times New Roman"/>
                <w:b/>
                <w:sz w:val="20"/>
                <w:szCs w:val="20"/>
                <w:lang w:val="ro-RO"/>
              </w:rPr>
            </w:pPr>
            <w:r w:rsidRPr="00DD6A7A">
              <w:rPr>
                <w:rFonts w:ascii="Times New Roman" w:hAnsi="Times New Roman" w:cs="Times New Roman"/>
                <w:b/>
                <w:sz w:val="20"/>
                <w:szCs w:val="20"/>
                <w:lang w:val="ro-RO"/>
              </w:rPr>
              <w:t xml:space="preserve">Nr. </w:t>
            </w:r>
            <w:r w:rsidR="00503361">
              <w:rPr>
                <w:rFonts w:ascii="Times New Roman" w:hAnsi="Times New Roman" w:cs="Times New Roman"/>
                <w:b/>
                <w:sz w:val="20"/>
                <w:szCs w:val="20"/>
                <w:lang w:val="ro-RO"/>
              </w:rPr>
              <w:t>crt</w:t>
            </w:r>
            <w:r w:rsidRPr="00DD6A7A">
              <w:rPr>
                <w:rFonts w:ascii="Times New Roman" w:hAnsi="Times New Roman" w:cs="Times New Roman"/>
                <w:b/>
                <w:sz w:val="20"/>
                <w:szCs w:val="20"/>
                <w:lang w:val="ro-RO"/>
              </w:rPr>
              <w:t>.</w:t>
            </w:r>
          </w:p>
        </w:tc>
        <w:tc>
          <w:tcPr>
            <w:tcW w:w="3407" w:type="dxa"/>
            <w:tcBorders>
              <w:top w:val="single" w:sz="4" w:space="0" w:color="auto"/>
              <w:tl2br w:val="single" w:sz="4" w:space="0" w:color="auto"/>
            </w:tcBorders>
            <w:shd w:val="clear" w:color="auto" w:fill="00B0F0"/>
          </w:tcPr>
          <w:p w14:paraId="1BB48A89" w14:textId="77777777" w:rsidR="00035602" w:rsidRPr="00DD6A7A" w:rsidRDefault="00035602" w:rsidP="003441AE">
            <w:pPr>
              <w:rPr>
                <w:rFonts w:ascii="Times New Roman" w:hAnsi="Times New Roman" w:cs="Times New Roman"/>
                <w:b/>
                <w:sz w:val="20"/>
                <w:szCs w:val="20"/>
                <w:lang w:val="ro-RO"/>
              </w:rPr>
            </w:pPr>
            <w:r w:rsidRPr="00DD6A7A">
              <w:rPr>
                <w:rFonts w:ascii="Times New Roman" w:hAnsi="Times New Roman" w:cs="Times New Roman"/>
                <w:b/>
                <w:sz w:val="20"/>
                <w:szCs w:val="20"/>
                <w:lang w:val="ro-RO"/>
              </w:rPr>
              <w:t xml:space="preserve">                                        Anul </w:t>
            </w:r>
          </w:p>
          <w:p w14:paraId="78336D21" w14:textId="77777777" w:rsidR="00035602" w:rsidRPr="00DD6A7A" w:rsidRDefault="00035602" w:rsidP="003441AE">
            <w:pPr>
              <w:rPr>
                <w:rFonts w:ascii="Times New Roman" w:hAnsi="Times New Roman" w:cs="Times New Roman"/>
                <w:b/>
                <w:sz w:val="20"/>
                <w:szCs w:val="20"/>
                <w:lang w:val="ro-RO"/>
              </w:rPr>
            </w:pPr>
          </w:p>
          <w:p w14:paraId="67EE7024" w14:textId="77777777" w:rsidR="00035602" w:rsidRPr="00DD6A7A" w:rsidRDefault="00035602" w:rsidP="003441AE">
            <w:pPr>
              <w:rPr>
                <w:rFonts w:ascii="Times New Roman" w:hAnsi="Times New Roman" w:cs="Times New Roman"/>
                <w:b/>
                <w:sz w:val="20"/>
                <w:szCs w:val="20"/>
                <w:lang w:val="ro-RO"/>
              </w:rPr>
            </w:pPr>
            <w:r w:rsidRPr="00DD6A7A">
              <w:rPr>
                <w:rFonts w:ascii="Times New Roman" w:hAnsi="Times New Roman" w:cs="Times New Roman"/>
                <w:b/>
                <w:sz w:val="20"/>
                <w:szCs w:val="20"/>
                <w:lang w:val="ro-RO"/>
              </w:rPr>
              <w:t>Indicatorii</w:t>
            </w:r>
          </w:p>
        </w:tc>
        <w:tc>
          <w:tcPr>
            <w:tcW w:w="846" w:type="dxa"/>
            <w:tcBorders>
              <w:top w:val="single" w:sz="4" w:space="0" w:color="auto"/>
            </w:tcBorders>
            <w:shd w:val="clear" w:color="auto" w:fill="00B0F0"/>
            <w:vAlign w:val="center"/>
          </w:tcPr>
          <w:p w14:paraId="4150F74F" w14:textId="77777777" w:rsidR="00035602" w:rsidRPr="00DD6A7A" w:rsidRDefault="00035602" w:rsidP="003441AE">
            <w:pPr>
              <w:jc w:val="center"/>
              <w:rPr>
                <w:rFonts w:ascii="Times New Roman" w:hAnsi="Times New Roman" w:cs="Times New Roman"/>
                <w:b/>
                <w:sz w:val="20"/>
                <w:szCs w:val="20"/>
                <w:lang w:val="ro-RO"/>
              </w:rPr>
            </w:pPr>
            <w:r w:rsidRPr="00DD6A7A">
              <w:rPr>
                <w:rFonts w:ascii="Times New Roman" w:hAnsi="Times New Roman" w:cs="Times New Roman"/>
                <w:b/>
                <w:sz w:val="20"/>
                <w:szCs w:val="20"/>
                <w:lang w:val="ro-RO"/>
              </w:rPr>
              <w:t>a. 2018</w:t>
            </w:r>
          </w:p>
        </w:tc>
        <w:tc>
          <w:tcPr>
            <w:tcW w:w="851" w:type="dxa"/>
            <w:tcBorders>
              <w:top w:val="single" w:sz="4" w:space="0" w:color="auto"/>
            </w:tcBorders>
            <w:shd w:val="clear" w:color="auto" w:fill="00B0F0"/>
            <w:vAlign w:val="center"/>
          </w:tcPr>
          <w:p w14:paraId="5A2C708F" w14:textId="77777777" w:rsidR="00035602" w:rsidRPr="00DD6A7A" w:rsidRDefault="00035602" w:rsidP="003441AE">
            <w:pPr>
              <w:jc w:val="center"/>
              <w:rPr>
                <w:rFonts w:ascii="Times New Roman" w:hAnsi="Times New Roman" w:cs="Times New Roman"/>
                <w:b/>
                <w:sz w:val="20"/>
                <w:szCs w:val="20"/>
                <w:lang w:val="ro-RO"/>
              </w:rPr>
            </w:pPr>
            <w:r w:rsidRPr="00DD6A7A">
              <w:rPr>
                <w:rFonts w:ascii="Times New Roman" w:hAnsi="Times New Roman" w:cs="Times New Roman"/>
                <w:b/>
                <w:sz w:val="20"/>
                <w:szCs w:val="20"/>
                <w:lang w:val="ro-RO"/>
              </w:rPr>
              <w:t>a. 2019</w:t>
            </w:r>
          </w:p>
        </w:tc>
        <w:tc>
          <w:tcPr>
            <w:tcW w:w="986" w:type="dxa"/>
            <w:tcBorders>
              <w:top w:val="single" w:sz="4" w:space="0" w:color="auto"/>
            </w:tcBorders>
            <w:shd w:val="clear" w:color="auto" w:fill="00B0F0"/>
            <w:vAlign w:val="center"/>
          </w:tcPr>
          <w:p w14:paraId="75E6F623" w14:textId="77777777" w:rsidR="00035602" w:rsidRPr="00DD6A7A" w:rsidRDefault="00035602" w:rsidP="003441AE">
            <w:pPr>
              <w:jc w:val="center"/>
              <w:rPr>
                <w:rFonts w:ascii="Times New Roman" w:hAnsi="Times New Roman" w:cs="Times New Roman"/>
                <w:b/>
                <w:sz w:val="20"/>
                <w:szCs w:val="20"/>
                <w:lang w:val="ro-RO"/>
              </w:rPr>
            </w:pPr>
            <w:r w:rsidRPr="00DD6A7A">
              <w:rPr>
                <w:rFonts w:ascii="Times New Roman" w:hAnsi="Times New Roman" w:cs="Times New Roman"/>
                <w:b/>
                <w:sz w:val="20"/>
                <w:szCs w:val="20"/>
                <w:lang w:val="ro-RO"/>
              </w:rPr>
              <w:t>a. 2020</w:t>
            </w:r>
          </w:p>
        </w:tc>
        <w:tc>
          <w:tcPr>
            <w:tcW w:w="857" w:type="dxa"/>
            <w:tcBorders>
              <w:top w:val="single" w:sz="4" w:space="0" w:color="auto"/>
            </w:tcBorders>
            <w:shd w:val="clear" w:color="auto" w:fill="00B0F0"/>
            <w:vAlign w:val="center"/>
          </w:tcPr>
          <w:p w14:paraId="387D94E7" w14:textId="77777777" w:rsidR="00035602" w:rsidRPr="00DD6A7A" w:rsidRDefault="00035602" w:rsidP="003441AE">
            <w:pPr>
              <w:jc w:val="center"/>
              <w:rPr>
                <w:rFonts w:ascii="Times New Roman" w:hAnsi="Times New Roman" w:cs="Times New Roman"/>
                <w:b/>
                <w:sz w:val="20"/>
                <w:szCs w:val="20"/>
                <w:lang w:val="ro-RO"/>
              </w:rPr>
            </w:pPr>
            <w:r w:rsidRPr="00DD6A7A">
              <w:rPr>
                <w:rFonts w:ascii="Times New Roman" w:hAnsi="Times New Roman" w:cs="Times New Roman"/>
                <w:b/>
                <w:sz w:val="20"/>
                <w:szCs w:val="20"/>
                <w:lang w:val="ro-RO"/>
              </w:rPr>
              <w:t>a. 2021</w:t>
            </w:r>
          </w:p>
        </w:tc>
        <w:tc>
          <w:tcPr>
            <w:tcW w:w="850" w:type="dxa"/>
            <w:tcBorders>
              <w:top w:val="single" w:sz="4" w:space="0" w:color="auto"/>
            </w:tcBorders>
            <w:shd w:val="clear" w:color="auto" w:fill="00B0F0"/>
            <w:vAlign w:val="center"/>
          </w:tcPr>
          <w:p w14:paraId="44C622E1" w14:textId="77777777" w:rsidR="00035602" w:rsidRPr="00DD6A7A" w:rsidRDefault="00035602" w:rsidP="003441AE">
            <w:pPr>
              <w:jc w:val="center"/>
              <w:rPr>
                <w:rFonts w:ascii="Times New Roman" w:hAnsi="Times New Roman" w:cs="Times New Roman"/>
                <w:b/>
                <w:sz w:val="20"/>
                <w:szCs w:val="20"/>
                <w:lang w:val="ro-RO"/>
              </w:rPr>
            </w:pPr>
            <w:r w:rsidRPr="00DD6A7A">
              <w:rPr>
                <w:rFonts w:ascii="Times New Roman" w:hAnsi="Times New Roman" w:cs="Times New Roman"/>
                <w:b/>
                <w:sz w:val="20"/>
                <w:szCs w:val="20"/>
                <w:lang w:val="ro-RO"/>
              </w:rPr>
              <w:t>a. 2022</w:t>
            </w:r>
          </w:p>
        </w:tc>
      </w:tr>
      <w:tr w:rsidR="00035602" w:rsidRPr="00DD6A7A" w14:paraId="53997D8A" w14:textId="77777777" w:rsidTr="00657401">
        <w:trPr>
          <w:jc w:val="center"/>
        </w:trPr>
        <w:tc>
          <w:tcPr>
            <w:tcW w:w="709" w:type="dxa"/>
            <w:shd w:val="clear" w:color="auto" w:fill="auto"/>
            <w:vAlign w:val="center"/>
          </w:tcPr>
          <w:p w14:paraId="0C045E7F" w14:textId="77777777" w:rsidR="00035602" w:rsidRPr="00224B66" w:rsidRDefault="00AB35C6" w:rsidP="003441AE">
            <w:pPr>
              <w:spacing w:before="60" w:after="60"/>
              <w:jc w:val="center"/>
              <w:rPr>
                <w:rFonts w:ascii="Times New Roman" w:hAnsi="Times New Roman" w:cs="Times New Roman"/>
                <w:i/>
                <w:sz w:val="20"/>
                <w:szCs w:val="20"/>
                <w:lang w:val="ro-RO"/>
              </w:rPr>
            </w:pPr>
            <w:r w:rsidRPr="00224B66">
              <w:rPr>
                <w:rFonts w:ascii="Times New Roman" w:hAnsi="Times New Roman" w:cs="Times New Roman"/>
                <w:i/>
                <w:sz w:val="20"/>
                <w:szCs w:val="20"/>
                <w:lang w:val="ro-RO"/>
              </w:rPr>
              <w:t>1</w:t>
            </w:r>
          </w:p>
        </w:tc>
        <w:tc>
          <w:tcPr>
            <w:tcW w:w="3407" w:type="dxa"/>
            <w:shd w:val="clear" w:color="auto" w:fill="auto"/>
            <w:vAlign w:val="center"/>
          </w:tcPr>
          <w:p w14:paraId="1EA9F313" w14:textId="77777777" w:rsidR="00035602" w:rsidRPr="00224B66" w:rsidRDefault="00AB35C6" w:rsidP="003441AE">
            <w:pPr>
              <w:spacing w:before="60" w:after="60"/>
              <w:jc w:val="center"/>
              <w:rPr>
                <w:rFonts w:ascii="Times New Roman" w:hAnsi="Times New Roman" w:cs="Times New Roman"/>
                <w:i/>
                <w:sz w:val="20"/>
                <w:szCs w:val="20"/>
                <w:lang w:val="ro-RO"/>
              </w:rPr>
            </w:pPr>
            <w:r w:rsidRPr="00224B66">
              <w:rPr>
                <w:rFonts w:ascii="Times New Roman" w:hAnsi="Times New Roman" w:cs="Times New Roman"/>
                <w:i/>
                <w:sz w:val="20"/>
                <w:szCs w:val="20"/>
                <w:lang w:val="ro-RO"/>
              </w:rPr>
              <w:t>2</w:t>
            </w:r>
          </w:p>
        </w:tc>
        <w:tc>
          <w:tcPr>
            <w:tcW w:w="846" w:type="dxa"/>
            <w:shd w:val="clear" w:color="auto" w:fill="auto"/>
            <w:vAlign w:val="center"/>
          </w:tcPr>
          <w:p w14:paraId="78DEE5F3" w14:textId="77777777" w:rsidR="00035602" w:rsidRPr="00224B66" w:rsidRDefault="00AB35C6" w:rsidP="003441AE">
            <w:pPr>
              <w:spacing w:before="60" w:after="60"/>
              <w:jc w:val="center"/>
              <w:rPr>
                <w:rFonts w:ascii="Times New Roman" w:hAnsi="Times New Roman" w:cs="Times New Roman"/>
                <w:i/>
                <w:sz w:val="20"/>
                <w:szCs w:val="20"/>
                <w:lang w:val="it-IT"/>
              </w:rPr>
            </w:pPr>
            <w:r w:rsidRPr="00224B66">
              <w:rPr>
                <w:rFonts w:ascii="Times New Roman" w:hAnsi="Times New Roman" w:cs="Times New Roman"/>
                <w:i/>
                <w:sz w:val="20"/>
                <w:szCs w:val="20"/>
                <w:lang w:val="it-IT"/>
              </w:rPr>
              <w:t>3</w:t>
            </w:r>
          </w:p>
        </w:tc>
        <w:tc>
          <w:tcPr>
            <w:tcW w:w="851" w:type="dxa"/>
            <w:shd w:val="clear" w:color="auto" w:fill="auto"/>
            <w:vAlign w:val="center"/>
          </w:tcPr>
          <w:p w14:paraId="1A2885DE" w14:textId="77777777" w:rsidR="00035602" w:rsidRPr="00224B66" w:rsidRDefault="00AB35C6" w:rsidP="003441AE">
            <w:pPr>
              <w:spacing w:before="60" w:after="60"/>
              <w:jc w:val="center"/>
              <w:rPr>
                <w:rFonts w:ascii="Times New Roman" w:hAnsi="Times New Roman" w:cs="Times New Roman"/>
                <w:i/>
                <w:sz w:val="20"/>
                <w:szCs w:val="20"/>
                <w:lang w:val="it-IT"/>
              </w:rPr>
            </w:pPr>
            <w:r w:rsidRPr="00224B66">
              <w:rPr>
                <w:rFonts w:ascii="Times New Roman" w:hAnsi="Times New Roman" w:cs="Times New Roman"/>
                <w:i/>
                <w:sz w:val="20"/>
                <w:szCs w:val="20"/>
                <w:lang w:val="it-IT"/>
              </w:rPr>
              <w:t>4</w:t>
            </w:r>
          </w:p>
        </w:tc>
        <w:tc>
          <w:tcPr>
            <w:tcW w:w="986" w:type="dxa"/>
            <w:shd w:val="clear" w:color="auto" w:fill="auto"/>
            <w:vAlign w:val="center"/>
          </w:tcPr>
          <w:p w14:paraId="1FA444C8" w14:textId="77777777" w:rsidR="00035602" w:rsidRPr="00224B66" w:rsidRDefault="00AB35C6" w:rsidP="003441AE">
            <w:pPr>
              <w:spacing w:before="60" w:after="60"/>
              <w:jc w:val="center"/>
              <w:rPr>
                <w:rFonts w:ascii="Times New Roman" w:hAnsi="Times New Roman" w:cs="Times New Roman"/>
                <w:i/>
                <w:sz w:val="20"/>
                <w:szCs w:val="20"/>
                <w:lang w:val="it-IT"/>
              </w:rPr>
            </w:pPr>
            <w:r w:rsidRPr="00224B66">
              <w:rPr>
                <w:rFonts w:ascii="Times New Roman" w:hAnsi="Times New Roman" w:cs="Times New Roman"/>
                <w:i/>
                <w:sz w:val="20"/>
                <w:szCs w:val="20"/>
                <w:lang w:val="it-IT"/>
              </w:rPr>
              <w:t>5</w:t>
            </w:r>
          </w:p>
        </w:tc>
        <w:tc>
          <w:tcPr>
            <w:tcW w:w="857" w:type="dxa"/>
            <w:shd w:val="clear" w:color="auto" w:fill="auto"/>
            <w:vAlign w:val="center"/>
          </w:tcPr>
          <w:p w14:paraId="7BEF69CB" w14:textId="77777777" w:rsidR="00035602" w:rsidRPr="00224B66" w:rsidRDefault="00AB35C6" w:rsidP="003441AE">
            <w:pPr>
              <w:spacing w:before="60" w:after="60"/>
              <w:jc w:val="center"/>
              <w:rPr>
                <w:rFonts w:ascii="Times New Roman" w:hAnsi="Times New Roman" w:cs="Times New Roman"/>
                <w:i/>
                <w:sz w:val="20"/>
                <w:szCs w:val="20"/>
                <w:lang w:val="it-IT"/>
              </w:rPr>
            </w:pPr>
            <w:r w:rsidRPr="00224B66">
              <w:rPr>
                <w:rFonts w:ascii="Times New Roman" w:hAnsi="Times New Roman" w:cs="Times New Roman"/>
                <w:i/>
                <w:sz w:val="20"/>
                <w:szCs w:val="20"/>
                <w:lang w:val="it-IT"/>
              </w:rPr>
              <w:t>6</w:t>
            </w:r>
          </w:p>
        </w:tc>
        <w:tc>
          <w:tcPr>
            <w:tcW w:w="850" w:type="dxa"/>
            <w:shd w:val="clear" w:color="auto" w:fill="auto"/>
            <w:vAlign w:val="center"/>
          </w:tcPr>
          <w:p w14:paraId="2ABA9958" w14:textId="77777777" w:rsidR="00035602" w:rsidRPr="00224B66" w:rsidRDefault="00AB35C6" w:rsidP="003441AE">
            <w:pPr>
              <w:spacing w:before="60" w:after="60"/>
              <w:jc w:val="center"/>
              <w:rPr>
                <w:rFonts w:ascii="Times New Roman" w:hAnsi="Times New Roman" w:cs="Times New Roman"/>
                <w:i/>
                <w:sz w:val="20"/>
                <w:szCs w:val="20"/>
                <w:lang w:val="it-IT"/>
              </w:rPr>
            </w:pPr>
            <w:r w:rsidRPr="00224B66">
              <w:rPr>
                <w:rFonts w:ascii="Times New Roman" w:hAnsi="Times New Roman" w:cs="Times New Roman"/>
                <w:i/>
                <w:sz w:val="20"/>
                <w:szCs w:val="20"/>
                <w:lang w:val="it-IT"/>
              </w:rPr>
              <w:t>7</w:t>
            </w:r>
          </w:p>
        </w:tc>
      </w:tr>
      <w:tr w:rsidR="00AB35C6" w:rsidRPr="00DD6A7A" w14:paraId="257EC9E0" w14:textId="77777777" w:rsidTr="00657401">
        <w:trPr>
          <w:jc w:val="center"/>
        </w:trPr>
        <w:tc>
          <w:tcPr>
            <w:tcW w:w="709" w:type="dxa"/>
            <w:shd w:val="clear" w:color="auto" w:fill="auto"/>
            <w:vAlign w:val="center"/>
          </w:tcPr>
          <w:p w14:paraId="4271F64B" w14:textId="77777777" w:rsidR="00AB35C6" w:rsidRPr="00DD6A7A" w:rsidRDefault="00AB35C6" w:rsidP="003441AE">
            <w:pPr>
              <w:spacing w:before="60" w:after="60"/>
              <w:jc w:val="center"/>
              <w:rPr>
                <w:rFonts w:ascii="Times New Roman" w:hAnsi="Times New Roman" w:cs="Times New Roman"/>
                <w:sz w:val="20"/>
                <w:szCs w:val="20"/>
                <w:lang w:val="ro-RO"/>
              </w:rPr>
            </w:pPr>
            <w:r w:rsidRPr="00DD6A7A">
              <w:rPr>
                <w:rFonts w:ascii="Times New Roman" w:hAnsi="Times New Roman" w:cs="Times New Roman"/>
                <w:sz w:val="20"/>
                <w:szCs w:val="20"/>
                <w:lang w:val="ro-RO"/>
              </w:rPr>
              <w:t>1.</w:t>
            </w:r>
          </w:p>
        </w:tc>
        <w:tc>
          <w:tcPr>
            <w:tcW w:w="3407" w:type="dxa"/>
            <w:shd w:val="clear" w:color="auto" w:fill="auto"/>
          </w:tcPr>
          <w:p w14:paraId="290268F3" w14:textId="77777777" w:rsidR="00AB35C6" w:rsidRPr="00DA6A97" w:rsidRDefault="00AB35C6" w:rsidP="003441AE">
            <w:pPr>
              <w:spacing w:before="60" w:after="60"/>
              <w:rPr>
                <w:rFonts w:ascii="Times New Roman" w:hAnsi="Times New Roman" w:cs="Times New Roman"/>
                <w:b/>
                <w:sz w:val="20"/>
                <w:szCs w:val="20"/>
                <w:lang w:val="ro-RO"/>
              </w:rPr>
            </w:pPr>
            <w:r w:rsidRPr="00DA6A97">
              <w:rPr>
                <w:rFonts w:ascii="Times New Roman" w:hAnsi="Times New Roman" w:cs="Times New Roman"/>
                <w:b/>
                <w:sz w:val="20"/>
                <w:szCs w:val="20"/>
                <w:lang w:val="ro-RO"/>
              </w:rPr>
              <w:t>Funcții scoase la concurs</w:t>
            </w:r>
          </w:p>
        </w:tc>
        <w:tc>
          <w:tcPr>
            <w:tcW w:w="846" w:type="dxa"/>
            <w:shd w:val="clear" w:color="auto" w:fill="auto"/>
            <w:vAlign w:val="center"/>
          </w:tcPr>
          <w:p w14:paraId="5C80F39D"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8</w:t>
            </w:r>
          </w:p>
        </w:tc>
        <w:tc>
          <w:tcPr>
            <w:tcW w:w="851" w:type="dxa"/>
            <w:shd w:val="clear" w:color="auto" w:fill="auto"/>
            <w:vAlign w:val="center"/>
          </w:tcPr>
          <w:p w14:paraId="5A0EB6DC"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11</w:t>
            </w:r>
          </w:p>
        </w:tc>
        <w:tc>
          <w:tcPr>
            <w:tcW w:w="986" w:type="dxa"/>
            <w:shd w:val="clear" w:color="auto" w:fill="auto"/>
            <w:vAlign w:val="center"/>
          </w:tcPr>
          <w:p w14:paraId="0189F430"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11</w:t>
            </w:r>
          </w:p>
        </w:tc>
        <w:tc>
          <w:tcPr>
            <w:tcW w:w="857" w:type="dxa"/>
            <w:vAlign w:val="center"/>
          </w:tcPr>
          <w:p w14:paraId="246975E2"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13</w:t>
            </w:r>
          </w:p>
        </w:tc>
        <w:tc>
          <w:tcPr>
            <w:tcW w:w="850" w:type="dxa"/>
            <w:vAlign w:val="center"/>
          </w:tcPr>
          <w:p w14:paraId="7CDC2B87"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7</w:t>
            </w:r>
          </w:p>
        </w:tc>
      </w:tr>
      <w:tr w:rsidR="00AB35C6" w:rsidRPr="00DD6A7A" w14:paraId="712B8E9A" w14:textId="77777777" w:rsidTr="00657401">
        <w:trPr>
          <w:jc w:val="center"/>
        </w:trPr>
        <w:tc>
          <w:tcPr>
            <w:tcW w:w="709" w:type="dxa"/>
            <w:shd w:val="clear" w:color="auto" w:fill="auto"/>
            <w:vAlign w:val="center"/>
          </w:tcPr>
          <w:p w14:paraId="0C1360EF" w14:textId="77777777" w:rsidR="00AB35C6" w:rsidRPr="00DD6A7A" w:rsidRDefault="00AB35C6" w:rsidP="003441AE">
            <w:pPr>
              <w:spacing w:before="60" w:after="60"/>
              <w:jc w:val="center"/>
              <w:rPr>
                <w:rFonts w:ascii="Times New Roman" w:hAnsi="Times New Roman" w:cs="Times New Roman"/>
                <w:sz w:val="20"/>
                <w:szCs w:val="20"/>
                <w:lang w:val="ro-RO"/>
              </w:rPr>
            </w:pPr>
            <w:r w:rsidRPr="00DD6A7A">
              <w:rPr>
                <w:rFonts w:ascii="Times New Roman" w:hAnsi="Times New Roman" w:cs="Times New Roman"/>
                <w:sz w:val="20"/>
                <w:szCs w:val="20"/>
                <w:lang w:val="ro-RO"/>
              </w:rPr>
              <w:t>2.</w:t>
            </w:r>
          </w:p>
        </w:tc>
        <w:tc>
          <w:tcPr>
            <w:tcW w:w="3407" w:type="dxa"/>
            <w:shd w:val="clear" w:color="auto" w:fill="auto"/>
          </w:tcPr>
          <w:p w14:paraId="5E7A5A09" w14:textId="49972FC8" w:rsidR="00AB35C6" w:rsidRPr="00DA6A97" w:rsidRDefault="00AB35C6" w:rsidP="00503361">
            <w:pPr>
              <w:spacing w:before="60" w:after="60"/>
              <w:rPr>
                <w:rFonts w:ascii="Times New Roman" w:hAnsi="Times New Roman" w:cs="Times New Roman"/>
                <w:b/>
                <w:sz w:val="20"/>
                <w:szCs w:val="20"/>
                <w:lang w:val="ro-RO"/>
              </w:rPr>
            </w:pPr>
            <w:r w:rsidRPr="00DA6A97">
              <w:rPr>
                <w:rFonts w:ascii="Times New Roman" w:hAnsi="Times New Roman" w:cs="Times New Roman"/>
                <w:b/>
                <w:sz w:val="20"/>
                <w:szCs w:val="20"/>
                <w:lang w:val="ro-RO"/>
              </w:rPr>
              <w:t xml:space="preserve">Concursuri </w:t>
            </w:r>
            <w:r w:rsidR="00503361">
              <w:rPr>
                <w:rFonts w:ascii="Times New Roman" w:hAnsi="Times New Roman" w:cs="Times New Roman"/>
                <w:b/>
                <w:sz w:val="20"/>
                <w:szCs w:val="20"/>
                <w:lang w:val="ro-RO"/>
              </w:rPr>
              <w:t>desfășurate</w:t>
            </w:r>
          </w:p>
        </w:tc>
        <w:tc>
          <w:tcPr>
            <w:tcW w:w="846" w:type="dxa"/>
            <w:shd w:val="clear" w:color="auto" w:fill="auto"/>
            <w:vAlign w:val="center"/>
          </w:tcPr>
          <w:p w14:paraId="16DCE15D" w14:textId="77777777" w:rsidR="00AB35C6" w:rsidRPr="00DD6A7A" w:rsidRDefault="00AB35C6" w:rsidP="003441AE">
            <w:pPr>
              <w:spacing w:before="60" w:after="60"/>
              <w:jc w:val="center"/>
              <w:rPr>
                <w:rFonts w:ascii="Times New Roman" w:hAnsi="Times New Roman" w:cs="Times New Roman"/>
                <w:b/>
                <w:sz w:val="20"/>
                <w:szCs w:val="20"/>
                <w:lang w:val="ro-RO"/>
              </w:rPr>
            </w:pPr>
            <w:r w:rsidRPr="00DD6A7A">
              <w:rPr>
                <w:rFonts w:ascii="Times New Roman" w:hAnsi="Times New Roman" w:cs="Times New Roman"/>
                <w:b/>
                <w:sz w:val="20"/>
                <w:szCs w:val="20"/>
                <w:lang w:val="ro-RO"/>
              </w:rPr>
              <w:t>5</w:t>
            </w:r>
          </w:p>
        </w:tc>
        <w:tc>
          <w:tcPr>
            <w:tcW w:w="851" w:type="dxa"/>
            <w:shd w:val="clear" w:color="auto" w:fill="auto"/>
            <w:vAlign w:val="center"/>
          </w:tcPr>
          <w:p w14:paraId="32BE7B50" w14:textId="77777777" w:rsidR="00AB35C6" w:rsidRPr="00DD6A7A" w:rsidRDefault="00AB35C6" w:rsidP="003441AE">
            <w:pPr>
              <w:spacing w:before="60" w:after="60"/>
              <w:jc w:val="center"/>
              <w:rPr>
                <w:rFonts w:ascii="Times New Roman" w:hAnsi="Times New Roman" w:cs="Times New Roman"/>
                <w:b/>
                <w:sz w:val="20"/>
                <w:szCs w:val="20"/>
                <w:lang w:val="ro-RO"/>
              </w:rPr>
            </w:pPr>
            <w:r w:rsidRPr="00DD6A7A">
              <w:rPr>
                <w:rFonts w:ascii="Times New Roman" w:hAnsi="Times New Roman" w:cs="Times New Roman"/>
                <w:b/>
                <w:sz w:val="20"/>
                <w:szCs w:val="20"/>
                <w:lang w:val="ro-RO"/>
              </w:rPr>
              <w:t>5</w:t>
            </w:r>
          </w:p>
        </w:tc>
        <w:tc>
          <w:tcPr>
            <w:tcW w:w="986" w:type="dxa"/>
            <w:shd w:val="clear" w:color="auto" w:fill="auto"/>
            <w:vAlign w:val="center"/>
          </w:tcPr>
          <w:p w14:paraId="508D6D53" w14:textId="77777777" w:rsidR="00AB35C6" w:rsidRPr="00DD6A7A" w:rsidRDefault="00AB35C6" w:rsidP="003441AE">
            <w:pPr>
              <w:spacing w:before="60" w:after="60"/>
              <w:jc w:val="center"/>
              <w:rPr>
                <w:rFonts w:ascii="Times New Roman" w:hAnsi="Times New Roman" w:cs="Times New Roman"/>
                <w:b/>
                <w:sz w:val="20"/>
                <w:szCs w:val="20"/>
                <w:lang w:val="ro-RO"/>
              </w:rPr>
            </w:pPr>
            <w:r w:rsidRPr="00DD6A7A">
              <w:rPr>
                <w:rFonts w:ascii="Times New Roman" w:hAnsi="Times New Roman" w:cs="Times New Roman"/>
                <w:b/>
                <w:sz w:val="20"/>
                <w:szCs w:val="20"/>
                <w:lang w:val="ro-RO"/>
              </w:rPr>
              <w:t>8</w:t>
            </w:r>
          </w:p>
        </w:tc>
        <w:tc>
          <w:tcPr>
            <w:tcW w:w="857" w:type="dxa"/>
            <w:vAlign w:val="center"/>
          </w:tcPr>
          <w:p w14:paraId="5CA7EB02" w14:textId="77777777" w:rsidR="00AB35C6" w:rsidRPr="00DD6A7A" w:rsidRDefault="00AB35C6" w:rsidP="003441AE">
            <w:pPr>
              <w:spacing w:before="60" w:after="60"/>
              <w:jc w:val="center"/>
              <w:rPr>
                <w:rFonts w:ascii="Times New Roman" w:hAnsi="Times New Roman" w:cs="Times New Roman"/>
                <w:b/>
                <w:sz w:val="20"/>
                <w:szCs w:val="20"/>
                <w:lang w:val="ro-RO"/>
              </w:rPr>
            </w:pPr>
            <w:r w:rsidRPr="00DD6A7A">
              <w:rPr>
                <w:rFonts w:ascii="Times New Roman" w:hAnsi="Times New Roman" w:cs="Times New Roman"/>
                <w:b/>
                <w:sz w:val="20"/>
                <w:szCs w:val="20"/>
                <w:lang w:val="ro-RO"/>
              </w:rPr>
              <w:t>5</w:t>
            </w:r>
          </w:p>
        </w:tc>
        <w:tc>
          <w:tcPr>
            <w:tcW w:w="850" w:type="dxa"/>
            <w:vAlign w:val="center"/>
          </w:tcPr>
          <w:p w14:paraId="30EF8E1C" w14:textId="77777777" w:rsidR="00AB35C6" w:rsidRPr="00DD6A7A" w:rsidRDefault="00AB35C6" w:rsidP="003441AE">
            <w:pPr>
              <w:spacing w:before="60" w:after="60"/>
              <w:jc w:val="center"/>
              <w:rPr>
                <w:rFonts w:ascii="Times New Roman" w:hAnsi="Times New Roman" w:cs="Times New Roman"/>
                <w:b/>
                <w:sz w:val="20"/>
                <w:szCs w:val="20"/>
                <w:lang w:val="ro-RO"/>
              </w:rPr>
            </w:pPr>
            <w:r w:rsidRPr="00DD6A7A">
              <w:rPr>
                <w:rFonts w:ascii="Times New Roman" w:hAnsi="Times New Roman" w:cs="Times New Roman"/>
                <w:b/>
                <w:sz w:val="20"/>
                <w:szCs w:val="20"/>
                <w:lang w:val="ro-RO"/>
              </w:rPr>
              <w:t>5</w:t>
            </w:r>
          </w:p>
        </w:tc>
      </w:tr>
      <w:tr w:rsidR="00AB35C6" w:rsidRPr="00DD6A7A" w14:paraId="739DC307" w14:textId="77777777" w:rsidTr="00657401">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0AA042" w14:textId="77777777" w:rsidR="00AB35C6" w:rsidRPr="00DD6A7A" w:rsidRDefault="00AB35C6" w:rsidP="003441AE">
            <w:pPr>
              <w:spacing w:before="60" w:after="60"/>
              <w:jc w:val="center"/>
              <w:rPr>
                <w:rFonts w:ascii="Times New Roman" w:hAnsi="Times New Roman" w:cs="Times New Roman"/>
                <w:sz w:val="20"/>
                <w:szCs w:val="20"/>
                <w:lang w:val="ro-RO"/>
              </w:rPr>
            </w:pPr>
            <w:r w:rsidRPr="00DD6A7A">
              <w:rPr>
                <w:rFonts w:ascii="Times New Roman" w:hAnsi="Times New Roman" w:cs="Times New Roman"/>
                <w:sz w:val="20"/>
                <w:szCs w:val="20"/>
                <w:lang w:val="ro-RO"/>
              </w:rPr>
              <w:t>3.</w:t>
            </w:r>
          </w:p>
        </w:tc>
        <w:tc>
          <w:tcPr>
            <w:tcW w:w="3407" w:type="dxa"/>
            <w:tcBorders>
              <w:top w:val="single" w:sz="4" w:space="0" w:color="auto"/>
              <w:left w:val="single" w:sz="4" w:space="0" w:color="auto"/>
              <w:bottom w:val="single" w:sz="4" w:space="0" w:color="auto"/>
              <w:right w:val="single" w:sz="4" w:space="0" w:color="auto"/>
            </w:tcBorders>
            <w:shd w:val="clear" w:color="auto" w:fill="auto"/>
          </w:tcPr>
          <w:p w14:paraId="45B2D69F" w14:textId="77777777" w:rsidR="00AB35C6" w:rsidRPr="00DA6A97" w:rsidRDefault="00AB35C6" w:rsidP="003441AE">
            <w:pPr>
              <w:spacing w:before="60" w:after="60"/>
              <w:rPr>
                <w:rFonts w:ascii="Times New Roman" w:hAnsi="Times New Roman" w:cs="Times New Roman"/>
                <w:b/>
                <w:sz w:val="20"/>
                <w:szCs w:val="20"/>
                <w:lang w:val="ro-RO"/>
              </w:rPr>
            </w:pPr>
            <w:r w:rsidRPr="00DA6A97">
              <w:rPr>
                <w:rFonts w:ascii="Times New Roman" w:hAnsi="Times New Roman" w:cs="Times New Roman"/>
                <w:b/>
                <w:sz w:val="20"/>
                <w:szCs w:val="20"/>
                <w:lang w:val="ro-RO"/>
              </w:rPr>
              <w:t>Concursuri prelungite</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E07902" w14:textId="77777777" w:rsidR="00AB35C6" w:rsidRPr="00DD6A7A" w:rsidRDefault="00AB35C6" w:rsidP="003441AE">
            <w:pPr>
              <w:spacing w:before="60" w:after="60"/>
              <w:jc w:val="center"/>
              <w:rPr>
                <w:rFonts w:ascii="Times New Roman" w:hAnsi="Times New Roman" w:cs="Times New Roman"/>
                <w:b/>
                <w:sz w:val="20"/>
                <w:szCs w:val="20"/>
                <w:lang w:val="ro-RO"/>
              </w:rPr>
            </w:pPr>
            <w:r w:rsidRPr="00DD6A7A">
              <w:rPr>
                <w:rFonts w:ascii="Times New Roman" w:hAnsi="Times New Roman" w:cs="Times New Roman"/>
                <w:b/>
                <w:sz w:val="20"/>
                <w:szCs w:val="20"/>
                <w:lang w:val="ro-RO"/>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8F4D77" w14:textId="77777777" w:rsidR="00AB35C6" w:rsidRPr="00DD6A7A" w:rsidRDefault="00AB35C6" w:rsidP="003441AE">
            <w:pPr>
              <w:spacing w:before="60" w:after="60"/>
              <w:jc w:val="center"/>
              <w:rPr>
                <w:rFonts w:ascii="Times New Roman" w:hAnsi="Times New Roman" w:cs="Times New Roman"/>
                <w:b/>
                <w:sz w:val="20"/>
                <w:szCs w:val="20"/>
                <w:lang w:val="ro-RO"/>
              </w:rPr>
            </w:pPr>
            <w:r w:rsidRPr="00DD6A7A">
              <w:rPr>
                <w:rFonts w:ascii="Times New Roman" w:hAnsi="Times New Roman" w:cs="Times New Roman"/>
                <w:b/>
                <w:sz w:val="20"/>
                <w:szCs w:val="20"/>
                <w:lang w:val="ro-RO"/>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29BC54A" w14:textId="77777777" w:rsidR="00AB35C6" w:rsidRPr="00DD6A7A" w:rsidRDefault="00AB35C6" w:rsidP="003441AE">
            <w:pPr>
              <w:spacing w:before="60" w:after="60"/>
              <w:jc w:val="center"/>
              <w:rPr>
                <w:rFonts w:ascii="Times New Roman" w:hAnsi="Times New Roman" w:cs="Times New Roman"/>
                <w:b/>
                <w:sz w:val="20"/>
                <w:szCs w:val="20"/>
                <w:lang w:val="ro-RO"/>
              </w:rPr>
            </w:pPr>
            <w:r w:rsidRPr="00DD6A7A">
              <w:rPr>
                <w:rFonts w:ascii="Times New Roman" w:hAnsi="Times New Roman" w:cs="Times New Roman"/>
                <w:b/>
                <w:sz w:val="20"/>
                <w:szCs w:val="20"/>
                <w:lang w:val="ro-RO"/>
              </w:rPr>
              <w:t>2</w:t>
            </w:r>
          </w:p>
        </w:tc>
        <w:tc>
          <w:tcPr>
            <w:tcW w:w="857" w:type="dxa"/>
            <w:tcBorders>
              <w:top w:val="single" w:sz="4" w:space="0" w:color="auto"/>
              <w:left w:val="single" w:sz="4" w:space="0" w:color="auto"/>
              <w:bottom w:val="single" w:sz="4" w:space="0" w:color="auto"/>
              <w:right w:val="single" w:sz="4" w:space="0" w:color="auto"/>
            </w:tcBorders>
            <w:vAlign w:val="center"/>
          </w:tcPr>
          <w:p w14:paraId="3CEC99C6" w14:textId="77777777" w:rsidR="00AB35C6" w:rsidRPr="00DD6A7A" w:rsidRDefault="00AB35C6" w:rsidP="003441AE">
            <w:pPr>
              <w:spacing w:before="60" w:after="60"/>
              <w:jc w:val="center"/>
              <w:rPr>
                <w:rFonts w:ascii="Times New Roman" w:hAnsi="Times New Roman" w:cs="Times New Roman"/>
                <w:b/>
                <w:sz w:val="20"/>
                <w:szCs w:val="20"/>
                <w:lang w:val="ro-RO"/>
              </w:rPr>
            </w:pPr>
            <w:r w:rsidRPr="00DD6A7A">
              <w:rPr>
                <w:rFonts w:ascii="Times New Roman" w:hAnsi="Times New Roman" w:cs="Times New Roman"/>
                <w:b/>
                <w:sz w:val="20"/>
                <w:szCs w:val="20"/>
                <w:lang w:val="ro-RO"/>
              </w:rPr>
              <w:t>2</w:t>
            </w:r>
          </w:p>
        </w:tc>
        <w:tc>
          <w:tcPr>
            <w:tcW w:w="850" w:type="dxa"/>
            <w:tcBorders>
              <w:top w:val="single" w:sz="4" w:space="0" w:color="auto"/>
              <w:left w:val="single" w:sz="4" w:space="0" w:color="auto"/>
              <w:bottom w:val="single" w:sz="4" w:space="0" w:color="auto"/>
              <w:right w:val="single" w:sz="4" w:space="0" w:color="auto"/>
            </w:tcBorders>
            <w:vAlign w:val="center"/>
          </w:tcPr>
          <w:p w14:paraId="5BD41E5D" w14:textId="77777777" w:rsidR="00AB35C6" w:rsidRPr="00DD6A7A" w:rsidRDefault="00AB35C6" w:rsidP="003441AE">
            <w:pPr>
              <w:spacing w:before="60" w:after="60"/>
              <w:jc w:val="center"/>
              <w:rPr>
                <w:rFonts w:ascii="Times New Roman" w:hAnsi="Times New Roman" w:cs="Times New Roman"/>
                <w:b/>
                <w:sz w:val="20"/>
                <w:szCs w:val="20"/>
                <w:lang w:val="ro-RO"/>
              </w:rPr>
            </w:pPr>
            <w:r w:rsidRPr="00DD6A7A">
              <w:rPr>
                <w:rFonts w:ascii="Times New Roman" w:hAnsi="Times New Roman" w:cs="Times New Roman"/>
                <w:b/>
                <w:sz w:val="20"/>
                <w:szCs w:val="20"/>
                <w:lang w:val="ro-RO"/>
              </w:rPr>
              <w:t>2</w:t>
            </w:r>
          </w:p>
        </w:tc>
      </w:tr>
      <w:tr w:rsidR="00AB35C6" w:rsidRPr="00DD6A7A" w14:paraId="401955B6" w14:textId="77777777" w:rsidTr="00657401">
        <w:trPr>
          <w:jc w:val="center"/>
        </w:trPr>
        <w:tc>
          <w:tcPr>
            <w:tcW w:w="709" w:type="dxa"/>
            <w:shd w:val="clear" w:color="auto" w:fill="auto"/>
            <w:vAlign w:val="center"/>
          </w:tcPr>
          <w:p w14:paraId="064FDD4E" w14:textId="77777777" w:rsidR="00AB35C6" w:rsidRPr="00DD6A7A" w:rsidRDefault="00AB35C6" w:rsidP="003441AE">
            <w:pPr>
              <w:spacing w:before="60" w:after="60"/>
              <w:jc w:val="center"/>
              <w:rPr>
                <w:rFonts w:ascii="Times New Roman" w:hAnsi="Times New Roman" w:cs="Times New Roman"/>
                <w:sz w:val="20"/>
                <w:szCs w:val="20"/>
                <w:lang w:val="ro-RO"/>
              </w:rPr>
            </w:pPr>
            <w:r w:rsidRPr="00DD6A7A">
              <w:rPr>
                <w:rFonts w:ascii="Times New Roman" w:hAnsi="Times New Roman" w:cs="Times New Roman"/>
                <w:sz w:val="20"/>
                <w:szCs w:val="20"/>
                <w:lang w:val="ro-RO"/>
              </w:rPr>
              <w:t>4.</w:t>
            </w:r>
          </w:p>
        </w:tc>
        <w:tc>
          <w:tcPr>
            <w:tcW w:w="3407" w:type="dxa"/>
            <w:shd w:val="clear" w:color="auto" w:fill="auto"/>
          </w:tcPr>
          <w:p w14:paraId="40E9B341" w14:textId="77777777" w:rsidR="00AB35C6" w:rsidRPr="00DA6A97" w:rsidRDefault="00AB35C6" w:rsidP="003441AE">
            <w:pPr>
              <w:spacing w:before="60" w:after="60"/>
              <w:rPr>
                <w:rFonts w:ascii="Times New Roman" w:hAnsi="Times New Roman" w:cs="Times New Roman"/>
                <w:b/>
                <w:sz w:val="20"/>
                <w:szCs w:val="20"/>
                <w:lang w:val="ro-RO"/>
              </w:rPr>
            </w:pPr>
            <w:r w:rsidRPr="00DA6A97">
              <w:rPr>
                <w:rFonts w:ascii="Times New Roman" w:hAnsi="Times New Roman" w:cs="Times New Roman"/>
                <w:b/>
                <w:sz w:val="20"/>
                <w:szCs w:val="20"/>
                <w:lang w:val="ro-RO"/>
              </w:rPr>
              <w:t>Dosare depuse</w:t>
            </w:r>
          </w:p>
        </w:tc>
        <w:tc>
          <w:tcPr>
            <w:tcW w:w="846" w:type="dxa"/>
            <w:shd w:val="clear" w:color="auto" w:fill="auto"/>
            <w:vAlign w:val="center"/>
          </w:tcPr>
          <w:p w14:paraId="608EAE1C"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35</w:t>
            </w:r>
          </w:p>
        </w:tc>
        <w:tc>
          <w:tcPr>
            <w:tcW w:w="851" w:type="dxa"/>
            <w:shd w:val="clear" w:color="auto" w:fill="auto"/>
            <w:vAlign w:val="center"/>
          </w:tcPr>
          <w:p w14:paraId="5CBA5EC8"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54</w:t>
            </w:r>
          </w:p>
        </w:tc>
        <w:tc>
          <w:tcPr>
            <w:tcW w:w="986" w:type="dxa"/>
            <w:shd w:val="clear" w:color="auto" w:fill="auto"/>
            <w:vAlign w:val="center"/>
          </w:tcPr>
          <w:p w14:paraId="74D30D19"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68</w:t>
            </w:r>
          </w:p>
        </w:tc>
        <w:tc>
          <w:tcPr>
            <w:tcW w:w="857" w:type="dxa"/>
            <w:vAlign w:val="center"/>
          </w:tcPr>
          <w:p w14:paraId="5FAA6E3E"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91</w:t>
            </w:r>
          </w:p>
        </w:tc>
        <w:tc>
          <w:tcPr>
            <w:tcW w:w="850" w:type="dxa"/>
            <w:vAlign w:val="center"/>
          </w:tcPr>
          <w:p w14:paraId="28542B99"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34</w:t>
            </w:r>
          </w:p>
        </w:tc>
      </w:tr>
      <w:tr w:rsidR="00AB35C6" w:rsidRPr="00DD6A7A" w14:paraId="230F216F" w14:textId="77777777" w:rsidTr="00657401">
        <w:trPr>
          <w:trHeight w:val="260"/>
          <w:jc w:val="center"/>
        </w:trPr>
        <w:tc>
          <w:tcPr>
            <w:tcW w:w="709" w:type="dxa"/>
            <w:vMerge w:val="restart"/>
            <w:shd w:val="clear" w:color="auto" w:fill="auto"/>
            <w:vAlign w:val="center"/>
          </w:tcPr>
          <w:p w14:paraId="26FA0BBF" w14:textId="77777777" w:rsidR="00AB35C6" w:rsidRPr="00DD6A7A" w:rsidRDefault="00AB35C6" w:rsidP="003441AE">
            <w:pPr>
              <w:spacing w:before="60" w:after="60"/>
              <w:jc w:val="center"/>
              <w:rPr>
                <w:rFonts w:ascii="Times New Roman" w:hAnsi="Times New Roman" w:cs="Times New Roman"/>
                <w:sz w:val="20"/>
                <w:szCs w:val="20"/>
                <w:lang w:val="ro-RO"/>
              </w:rPr>
            </w:pPr>
            <w:r w:rsidRPr="00DD6A7A">
              <w:rPr>
                <w:rFonts w:ascii="Times New Roman" w:hAnsi="Times New Roman" w:cs="Times New Roman"/>
                <w:sz w:val="20"/>
                <w:szCs w:val="20"/>
                <w:lang w:val="ro-RO"/>
              </w:rPr>
              <w:t>5.</w:t>
            </w:r>
          </w:p>
        </w:tc>
        <w:tc>
          <w:tcPr>
            <w:tcW w:w="3407" w:type="dxa"/>
            <w:shd w:val="clear" w:color="auto" w:fill="auto"/>
          </w:tcPr>
          <w:p w14:paraId="61A1760D" w14:textId="77777777" w:rsidR="00AB35C6" w:rsidRPr="00DD6A7A" w:rsidRDefault="00AB35C6" w:rsidP="003441AE">
            <w:pPr>
              <w:spacing w:before="60" w:after="60"/>
              <w:rPr>
                <w:rFonts w:ascii="Times New Roman" w:hAnsi="Times New Roman" w:cs="Times New Roman"/>
                <w:b/>
                <w:bCs/>
                <w:sz w:val="20"/>
                <w:szCs w:val="20"/>
                <w:lang w:val="ro-RO"/>
              </w:rPr>
            </w:pPr>
            <w:r w:rsidRPr="00DD6A7A">
              <w:rPr>
                <w:rFonts w:ascii="Times New Roman" w:hAnsi="Times New Roman" w:cs="Times New Roman"/>
                <w:b/>
                <w:bCs/>
                <w:sz w:val="20"/>
                <w:szCs w:val="20"/>
                <w:lang w:val="ro-RO"/>
              </w:rPr>
              <w:t>Total angajați, dintre care:</w:t>
            </w:r>
          </w:p>
        </w:tc>
        <w:tc>
          <w:tcPr>
            <w:tcW w:w="846" w:type="dxa"/>
            <w:shd w:val="clear" w:color="auto" w:fill="auto"/>
            <w:vAlign w:val="center"/>
          </w:tcPr>
          <w:p w14:paraId="0A3ABE7F"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8</w:t>
            </w:r>
          </w:p>
        </w:tc>
        <w:tc>
          <w:tcPr>
            <w:tcW w:w="851" w:type="dxa"/>
            <w:shd w:val="clear" w:color="auto" w:fill="auto"/>
            <w:vAlign w:val="center"/>
          </w:tcPr>
          <w:p w14:paraId="0AAAC596"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9</w:t>
            </w:r>
          </w:p>
        </w:tc>
        <w:tc>
          <w:tcPr>
            <w:tcW w:w="986" w:type="dxa"/>
            <w:shd w:val="clear" w:color="auto" w:fill="auto"/>
            <w:vAlign w:val="center"/>
          </w:tcPr>
          <w:p w14:paraId="546ACEDA"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10</w:t>
            </w:r>
          </w:p>
        </w:tc>
        <w:tc>
          <w:tcPr>
            <w:tcW w:w="857" w:type="dxa"/>
            <w:vAlign w:val="center"/>
          </w:tcPr>
          <w:p w14:paraId="208E665A"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14</w:t>
            </w:r>
          </w:p>
        </w:tc>
        <w:tc>
          <w:tcPr>
            <w:tcW w:w="850" w:type="dxa"/>
            <w:vAlign w:val="center"/>
          </w:tcPr>
          <w:p w14:paraId="11F9466B"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6</w:t>
            </w:r>
          </w:p>
        </w:tc>
      </w:tr>
      <w:tr w:rsidR="00AB35C6" w:rsidRPr="00DD6A7A" w14:paraId="7311AC74" w14:textId="77777777" w:rsidTr="00657401">
        <w:trPr>
          <w:trHeight w:val="230"/>
          <w:jc w:val="center"/>
        </w:trPr>
        <w:tc>
          <w:tcPr>
            <w:tcW w:w="709" w:type="dxa"/>
            <w:vMerge/>
            <w:shd w:val="clear" w:color="auto" w:fill="auto"/>
            <w:vAlign w:val="center"/>
          </w:tcPr>
          <w:p w14:paraId="16825966" w14:textId="77777777" w:rsidR="00AB35C6" w:rsidRPr="00DD6A7A" w:rsidRDefault="00AB35C6" w:rsidP="003441AE">
            <w:pPr>
              <w:spacing w:before="60" w:after="60"/>
              <w:jc w:val="center"/>
              <w:rPr>
                <w:rFonts w:ascii="Times New Roman" w:hAnsi="Times New Roman" w:cs="Times New Roman"/>
                <w:sz w:val="20"/>
                <w:szCs w:val="20"/>
                <w:lang w:val="ro-RO"/>
              </w:rPr>
            </w:pPr>
          </w:p>
        </w:tc>
        <w:tc>
          <w:tcPr>
            <w:tcW w:w="3407" w:type="dxa"/>
            <w:shd w:val="clear" w:color="auto" w:fill="auto"/>
          </w:tcPr>
          <w:p w14:paraId="21AC48C4" w14:textId="77777777" w:rsidR="00AB35C6" w:rsidRPr="00DD6A7A" w:rsidRDefault="00AB35C6" w:rsidP="003441AE">
            <w:pPr>
              <w:numPr>
                <w:ilvl w:val="0"/>
                <w:numId w:val="28"/>
              </w:numPr>
              <w:spacing w:before="60" w:after="60" w:line="240" w:lineRule="auto"/>
              <w:rPr>
                <w:rFonts w:ascii="Times New Roman" w:hAnsi="Times New Roman" w:cs="Times New Roman"/>
                <w:sz w:val="20"/>
                <w:szCs w:val="20"/>
                <w:lang w:val="ro-RO"/>
              </w:rPr>
            </w:pPr>
            <w:r w:rsidRPr="00DD6A7A">
              <w:rPr>
                <w:rFonts w:ascii="Times New Roman" w:hAnsi="Times New Roman" w:cs="Times New Roman"/>
                <w:sz w:val="20"/>
                <w:szCs w:val="20"/>
                <w:lang w:val="ro-RO"/>
              </w:rPr>
              <w:t>prin concurs</w:t>
            </w:r>
          </w:p>
        </w:tc>
        <w:tc>
          <w:tcPr>
            <w:tcW w:w="846" w:type="dxa"/>
            <w:shd w:val="clear" w:color="auto" w:fill="auto"/>
            <w:vAlign w:val="center"/>
          </w:tcPr>
          <w:p w14:paraId="69704F35"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Cs/>
                <w:i/>
                <w:sz w:val="20"/>
                <w:szCs w:val="20"/>
                <w:lang w:val="it-IT"/>
              </w:rPr>
              <w:t>6</w:t>
            </w:r>
          </w:p>
        </w:tc>
        <w:tc>
          <w:tcPr>
            <w:tcW w:w="851" w:type="dxa"/>
            <w:shd w:val="clear" w:color="auto" w:fill="auto"/>
            <w:vAlign w:val="center"/>
          </w:tcPr>
          <w:p w14:paraId="149B9373" w14:textId="77777777" w:rsidR="00AB35C6" w:rsidRPr="00DD6A7A" w:rsidRDefault="00AB35C6" w:rsidP="003441AE">
            <w:pPr>
              <w:spacing w:before="60" w:after="60"/>
              <w:jc w:val="center"/>
              <w:rPr>
                <w:rFonts w:ascii="Times New Roman" w:hAnsi="Times New Roman" w:cs="Times New Roman"/>
                <w:bCs/>
                <w:sz w:val="20"/>
                <w:szCs w:val="20"/>
                <w:lang w:val="it-IT"/>
              </w:rPr>
            </w:pPr>
            <w:r w:rsidRPr="00DD6A7A">
              <w:rPr>
                <w:rFonts w:ascii="Times New Roman" w:hAnsi="Times New Roman" w:cs="Times New Roman"/>
                <w:bCs/>
                <w:sz w:val="20"/>
                <w:szCs w:val="20"/>
                <w:lang w:val="it-IT"/>
              </w:rPr>
              <w:t>7</w:t>
            </w:r>
          </w:p>
        </w:tc>
        <w:tc>
          <w:tcPr>
            <w:tcW w:w="986" w:type="dxa"/>
            <w:shd w:val="clear" w:color="auto" w:fill="auto"/>
            <w:vAlign w:val="center"/>
          </w:tcPr>
          <w:p w14:paraId="2F746B89" w14:textId="77777777" w:rsidR="00AB35C6" w:rsidRPr="00DD6A7A" w:rsidRDefault="00AB35C6" w:rsidP="003441AE">
            <w:pPr>
              <w:spacing w:before="60" w:after="60"/>
              <w:jc w:val="center"/>
              <w:rPr>
                <w:rFonts w:ascii="Times New Roman" w:hAnsi="Times New Roman" w:cs="Times New Roman"/>
                <w:bCs/>
                <w:sz w:val="20"/>
                <w:szCs w:val="20"/>
                <w:lang w:val="it-IT"/>
              </w:rPr>
            </w:pPr>
            <w:r w:rsidRPr="00DD6A7A">
              <w:rPr>
                <w:rFonts w:ascii="Times New Roman" w:hAnsi="Times New Roman" w:cs="Times New Roman"/>
                <w:bCs/>
                <w:sz w:val="20"/>
                <w:szCs w:val="20"/>
                <w:lang w:val="it-IT"/>
              </w:rPr>
              <w:t>10</w:t>
            </w:r>
          </w:p>
        </w:tc>
        <w:tc>
          <w:tcPr>
            <w:tcW w:w="857" w:type="dxa"/>
            <w:vAlign w:val="center"/>
          </w:tcPr>
          <w:p w14:paraId="204E288F" w14:textId="77777777" w:rsidR="00AB35C6" w:rsidRPr="00DD6A7A" w:rsidRDefault="00AB35C6" w:rsidP="003441AE">
            <w:pPr>
              <w:spacing w:before="60" w:after="60"/>
              <w:jc w:val="center"/>
              <w:rPr>
                <w:rFonts w:ascii="Times New Roman" w:hAnsi="Times New Roman" w:cs="Times New Roman"/>
                <w:bCs/>
                <w:sz w:val="20"/>
                <w:szCs w:val="20"/>
                <w:lang w:val="it-IT"/>
              </w:rPr>
            </w:pPr>
            <w:r w:rsidRPr="00DD6A7A">
              <w:rPr>
                <w:rFonts w:ascii="Times New Roman" w:hAnsi="Times New Roman" w:cs="Times New Roman"/>
                <w:bCs/>
                <w:sz w:val="20"/>
                <w:szCs w:val="20"/>
                <w:lang w:val="it-IT"/>
              </w:rPr>
              <w:t>13</w:t>
            </w:r>
          </w:p>
        </w:tc>
        <w:tc>
          <w:tcPr>
            <w:tcW w:w="850" w:type="dxa"/>
            <w:vAlign w:val="center"/>
          </w:tcPr>
          <w:p w14:paraId="7176BBDB" w14:textId="77777777" w:rsidR="00AB35C6" w:rsidRPr="00DD6A7A" w:rsidRDefault="00AB35C6" w:rsidP="003441AE">
            <w:pPr>
              <w:spacing w:before="60" w:after="60"/>
              <w:jc w:val="center"/>
              <w:rPr>
                <w:rFonts w:ascii="Times New Roman" w:hAnsi="Times New Roman" w:cs="Times New Roman"/>
                <w:bCs/>
                <w:sz w:val="20"/>
                <w:szCs w:val="20"/>
                <w:lang w:val="it-IT"/>
              </w:rPr>
            </w:pPr>
            <w:r w:rsidRPr="00DD6A7A">
              <w:rPr>
                <w:rFonts w:ascii="Times New Roman" w:hAnsi="Times New Roman" w:cs="Times New Roman"/>
                <w:bCs/>
                <w:sz w:val="20"/>
                <w:szCs w:val="20"/>
                <w:lang w:val="it-IT"/>
              </w:rPr>
              <w:t>4</w:t>
            </w:r>
          </w:p>
        </w:tc>
      </w:tr>
      <w:tr w:rsidR="00AB35C6" w:rsidRPr="00DD6A7A" w14:paraId="1BAE5436" w14:textId="77777777" w:rsidTr="00657401">
        <w:trPr>
          <w:trHeight w:val="230"/>
          <w:jc w:val="center"/>
        </w:trPr>
        <w:tc>
          <w:tcPr>
            <w:tcW w:w="709" w:type="dxa"/>
            <w:vMerge/>
            <w:shd w:val="clear" w:color="auto" w:fill="auto"/>
            <w:vAlign w:val="center"/>
          </w:tcPr>
          <w:p w14:paraId="0811CD90" w14:textId="77777777" w:rsidR="00AB35C6" w:rsidRPr="00DD6A7A" w:rsidRDefault="00AB35C6" w:rsidP="003441AE">
            <w:pPr>
              <w:spacing w:before="60" w:after="60"/>
              <w:jc w:val="center"/>
              <w:rPr>
                <w:rFonts w:ascii="Times New Roman" w:hAnsi="Times New Roman" w:cs="Times New Roman"/>
                <w:sz w:val="20"/>
                <w:szCs w:val="20"/>
                <w:lang w:val="ro-RO"/>
              </w:rPr>
            </w:pPr>
          </w:p>
        </w:tc>
        <w:tc>
          <w:tcPr>
            <w:tcW w:w="3407" w:type="dxa"/>
            <w:shd w:val="clear" w:color="auto" w:fill="auto"/>
          </w:tcPr>
          <w:p w14:paraId="2E07C4B0" w14:textId="77777777" w:rsidR="00AB35C6" w:rsidRPr="00DD6A7A" w:rsidRDefault="00AB35C6" w:rsidP="003441AE">
            <w:pPr>
              <w:numPr>
                <w:ilvl w:val="0"/>
                <w:numId w:val="28"/>
              </w:numPr>
              <w:spacing w:before="60" w:after="60" w:line="240" w:lineRule="auto"/>
              <w:rPr>
                <w:rFonts w:ascii="Times New Roman" w:hAnsi="Times New Roman" w:cs="Times New Roman"/>
                <w:sz w:val="20"/>
                <w:szCs w:val="20"/>
                <w:lang w:val="ro-RO"/>
              </w:rPr>
            </w:pPr>
            <w:r w:rsidRPr="00DD6A7A">
              <w:rPr>
                <w:rFonts w:ascii="Times New Roman" w:hAnsi="Times New Roman" w:cs="Times New Roman"/>
                <w:sz w:val="20"/>
                <w:szCs w:val="20"/>
                <w:lang w:val="ro-RO"/>
              </w:rPr>
              <w:t>prin transfer/detașare</w:t>
            </w:r>
          </w:p>
        </w:tc>
        <w:tc>
          <w:tcPr>
            <w:tcW w:w="846" w:type="dxa"/>
            <w:shd w:val="clear" w:color="auto" w:fill="auto"/>
            <w:vAlign w:val="center"/>
          </w:tcPr>
          <w:p w14:paraId="7B115054"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Cs/>
                <w:i/>
                <w:sz w:val="20"/>
                <w:szCs w:val="20"/>
                <w:lang w:val="it-IT"/>
              </w:rPr>
              <w:t>2</w:t>
            </w:r>
          </w:p>
        </w:tc>
        <w:tc>
          <w:tcPr>
            <w:tcW w:w="851" w:type="dxa"/>
            <w:shd w:val="clear" w:color="auto" w:fill="auto"/>
            <w:vAlign w:val="center"/>
          </w:tcPr>
          <w:p w14:paraId="62438FCA" w14:textId="77777777" w:rsidR="00AB35C6" w:rsidRPr="00DD6A7A" w:rsidRDefault="00AB35C6" w:rsidP="003441AE">
            <w:pPr>
              <w:spacing w:before="60" w:after="60"/>
              <w:jc w:val="center"/>
              <w:rPr>
                <w:rFonts w:ascii="Times New Roman" w:hAnsi="Times New Roman" w:cs="Times New Roman"/>
                <w:bCs/>
                <w:sz w:val="20"/>
                <w:szCs w:val="20"/>
                <w:lang w:val="it-IT"/>
              </w:rPr>
            </w:pPr>
            <w:r w:rsidRPr="00DD6A7A">
              <w:rPr>
                <w:rFonts w:ascii="Times New Roman" w:hAnsi="Times New Roman" w:cs="Times New Roman"/>
                <w:bCs/>
                <w:sz w:val="20"/>
                <w:szCs w:val="20"/>
                <w:lang w:val="it-IT"/>
              </w:rPr>
              <w:t>2</w:t>
            </w:r>
          </w:p>
        </w:tc>
        <w:tc>
          <w:tcPr>
            <w:tcW w:w="986" w:type="dxa"/>
            <w:shd w:val="clear" w:color="auto" w:fill="auto"/>
            <w:vAlign w:val="center"/>
          </w:tcPr>
          <w:p w14:paraId="54F01A2A" w14:textId="77777777" w:rsidR="00AB35C6" w:rsidRPr="00DD6A7A" w:rsidRDefault="00AB35C6" w:rsidP="003441AE">
            <w:pPr>
              <w:spacing w:before="60" w:after="60"/>
              <w:jc w:val="center"/>
              <w:rPr>
                <w:rFonts w:ascii="Times New Roman" w:hAnsi="Times New Roman" w:cs="Times New Roman"/>
                <w:bCs/>
                <w:sz w:val="20"/>
                <w:szCs w:val="20"/>
                <w:lang w:val="it-IT"/>
              </w:rPr>
            </w:pPr>
            <w:r w:rsidRPr="00DD6A7A">
              <w:rPr>
                <w:rFonts w:ascii="Times New Roman" w:hAnsi="Times New Roman" w:cs="Times New Roman"/>
                <w:bCs/>
                <w:sz w:val="20"/>
                <w:szCs w:val="20"/>
                <w:lang w:val="it-IT"/>
              </w:rPr>
              <w:t>-</w:t>
            </w:r>
          </w:p>
        </w:tc>
        <w:tc>
          <w:tcPr>
            <w:tcW w:w="857" w:type="dxa"/>
            <w:vAlign w:val="center"/>
          </w:tcPr>
          <w:p w14:paraId="1A2898AC" w14:textId="77777777" w:rsidR="00AB35C6" w:rsidRPr="00DD6A7A" w:rsidRDefault="00AB35C6" w:rsidP="003441AE">
            <w:pPr>
              <w:spacing w:before="60" w:after="60"/>
              <w:jc w:val="center"/>
              <w:rPr>
                <w:rFonts w:ascii="Times New Roman" w:hAnsi="Times New Roman" w:cs="Times New Roman"/>
                <w:bCs/>
                <w:sz w:val="20"/>
                <w:szCs w:val="20"/>
                <w:lang w:val="it-IT"/>
              </w:rPr>
            </w:pPr>
            <w:r w:rsidRPr="00DD6A7A">
              <w:rPr>
                <w:rFonts w:ascii="Times New Roman" w:hAnsi="Times New Roman" w:cs="Times New Roman"/>
                <w:bCs/>
                <w:sz w:val="20"/>
                <w:szCs w:val="20"/>
                <w:lang w:val="it-IT"/>
              </w:rPr>
              <w:t>1</w:t>
            </w:r>
          </w:p>
        </w:tc>
        <w:tc>
          <w:tcPr>
            <w:tcW w:w="850" w:type="dxa"/>
            <w:vAlign w:val="center"/>
          </w:tcPr>
          <w:p w14:paraId="2275C90A" w14:textId="77777777" w:rsidR="00AB35C6" w:rsidRPr="00DD6A7A" w:rsidRDefault="00AB35C6" w:rsidP="003441AE">
            <w:pPr>
              <w:spacing w:before="60" w:after="60"/>
              <w:jc w:val="center"/>
              <w:rPr>
                <w:rFonts w:ascii="Times New Roman" w:hAnsi="Times New Roman" w:cs="Times New Roman"/>
                <w:bCs/>
                <w:sz w:val="20"/>
                <w:szCs w:val="20"/>
                <w:lang w:val="it-IT"/>
              </w:rPr>
            </w:pPr>
            <w:r w:rsidRPr="00DD6A7A">
              <w:rPr>
                <w:rFonts w:ascii="Times New Roman" w:hAnsi="Times New Roman" w:cs="Times New Roman"/>
                <w:bCs/>
                <w:sz w:val="20"/>
                <w:szCs w:val="20"/>
                <w:lang w:val="it-IT"/>
              </w:rPr>
              <w:t>2</w:t>
            </w:r>
          </w:p>
        </w:tc>
      </w:tr>
      <w:tr w:rsidR="00AB35C6" w:rsidRPr="00DD6A7A" w14:paraId="6BC44C38" w14:textId="77777777" w:rsidTr="00657401">
        <w:trPr>
          <w:trHeight w:val="230"/>
          <w:jc w:val="center"/>
        </w:trPr>
        <w:tc>
          <w:tcPr>
            <w:tcW w:w="709" w:type="dxa"/>
            <w:vMerge/>
            <w:shd w:val="clear" w:color="auto" w:fill="auto"/>
            <w:vAlign w:val="center"/>
          </w:tcPr>
          <w:p w14:paraId="09E14B5A" w14:textId="77777777" w:rsidR="00AB35C6" w:rsidRPr="00DD6A7A" w:rsidRDefault="00AB35C6" w:rsidP="003441AE">
            <w:pPr>
              <w:spacing w:before="60" w:after="60"/>
              <w:jc w:val="center"/>
              <w:rPr>
                <w:rFonts w:ascii="Times New Roman" w:hAnsi="Times New Roman" w:cs="Times New Roman"/>
                <w:sz w:val="20"/>
                <w:szCs w:val="20"/>
                <w:lang w:val="ro-RO"/>
              </w:rPr>
            </w:pPr>
          </w:p>
        </w:tc>
        <w:tc>
          <w:tcPr>
            <w:tcW w:w="3407" w:type="dxa"/>
            <w:shd w:val="clear" w:color="auto" w:fill="auto"/>
          </w:tcPr>
          <w:p w14:paraId="231463DC" w14:textId="77777777" w:rsidR="00AB35C6" w:rsidRPr="00DD6A7A" w:rsidRDefault="00AB35C6" w:rsidP="003441AE">
            <w:pPr>
              <w:numPr>
                <w:ilvl w:val="0"/>
                <w:numId w:val="28"/>
              </w:numPr>
              <w:spacing w:before="60" w:after="60" w:line="240" w:lineRule="auto"/>
              <w:rPr>
                <w:rFonts w:ascii="Times New Roman" w:hAnsi="Times New Roman" w:cs="Times New Roman"/>
                <w:sz w:val="20"/>
                <w:szCs w:val="20"/>
                <w:lang w:val="ro-RO"/>
              </w:rPr>
            </w:pPr>
            <w:r w:rsidRPr="00DD6A7A">
              <w:rPr>
                <w:rFonts w:ascii="Times New Roman" w:hAnsi="Times New Roman" w:cs="Times New Roman"/>
                <w:sz w:val="20"/>
                <w:szCs w:val="20"/>
                <w:lang w:val="ro-RO"/>
              </w:rPr>
              <w:t>debutanți</w:t>
            </w:r>
          </w:p>
        </w:tc>
        <w:tc>
          <w:tcPr>
            <w:tcW w:w="846" w:type="dxa"/>
            <w:shd w:val="clear" w:color="auto" w:fill="auto"/>
            <w:vAlign w:val="center"/>
          </w:tcPr>
          <w:p w14:paraId="6047B02F" w14:textId="77777777" w:rsidR="00AB35C6" w:rsidRPr="00DD6A7A" w:rsidRDefault="00AB35C6" w:rsidP="003441AE">
            <w:pPr>
              <w:spacing w:before="60" w:after="60"/>
              <w:jc w:val="center"/>
              <w:rPr>
                <w:rFonts w:ascii="Times New Roman" w:hAnsi="Times New Roman" w:cs="Times New Roman"/>
                <w:bCs/>
                <w:sz w:val="20"/>
                <w:szCs w:val="20"/>
                <w:lang w:val="it-IT"/>
              </w:rPr>
            </w:pPr>
            <w:r w:rsidRPr="00DD6A7A">
              <w:rPr>
                <w:rFonts w:ascii="Times New Roman" w:hAnsi="Times New Roman" w:cs="Times New Roman"/>
                <w:bCs/>
                <w:sz w:val="20"/>
                <w:szCs w:val="20"/>
                <w:lang w:val="it-IT"/>
              </w:rPr>
              <w:t>0</w:t>
            </w:r>
          </w:p>
        </w:tc>
        <w:tc>
          <w:tcPr>
            <w:tcW w:w="851" w:type="dxa"/>
            <w:shd w:val="clear" w:color="auto" w:fill="auto"/>
            <w:vAlign w:val="center"/>
          </w:tcPr>
          <w:p w14:paraId="393EDCEE" w14:textId="77777777" w:rsidR="00AB35C6" w:rsidRPr="00DD6A7A" w:rsidRDefault="00AB35C6" w:rsidP="003441AE">
            <w:pPr>
              <w:spacing w:before="60" w:after="60"/>
              <w:jc w:val="center"/>
              <w:rPr>
                <w:rFonts w:ascii="Times New Roman" w:hAnsi="Times New Roman" w:cs="Times New Roman"/>
                <w:bCs/>
                <w:sz w:val="20"/>
                <w:szCs w:val="20"/>
                <w:lang w:val="it-IT"/>
              </w:rPr>
            </w:pPr>
            <w:r w:rsidRPr="00DD6A7A">
              <w:rPr>
                <w:rFonts w:ascii="Times New Roman" w:hAnsi="Times New Roman" w:cs="Times New Roman"/>
                <w:bCs/>
                <w:sz w:val="20"/>
                <w:szCs w:val="20"/>
                <w:lang w:val="it-IT"/>
              </w:rPr>
              <w:t>4</w:t>
            </w:r>
          </w:p>
        </w:tc>
        <w:tc>
          <w:tcPr>
            <w:tcW w:w="986" w:type="dxa"/>
            <w:shd w:val="clear" w:color="auto" w:fill="auto"/>
            <w:vAlign w:val="center"/>
          </w:tcPr>
          <w:p w14:paraId="3BAE78D8" w14:textId="77777777" w:rsidR="00AB35C6" w:rsidRPr="00DD6A7A" w:rsidRDefault="00AB35C6" w:rsidP="003441AE">
            <w:pPr>
              <w:spacing w:before="60" w:after="60"/>
              <w:jc w:val="center"/>
              <w:rPr>
                <w:rFonts w:ascii="Times New Roman" w:hAnsi="Times New Roman" w:cs="Times New Roman"/>
                <w:bCs/>
                <w:sz w:val="20"/>
                <w:szCs w:val="20"/>
                <w:lang w:val="it-IT"/>
              </w:rPr>
            </w:pPr>
            <w:r w:rsidRPr="00DD6A7A">
              <w:rPr>
                <w:rFonts w:ascii="Times New Roman" w:hAnsi="Times New Roman" w:cs="Times New Roman"/>
                <w:bCs/>
                <w:sz w:val="20"/>
                <w:szCs w:val="20"/>
                <w:lang w:val="it-IT"/>
              </w:rPr>
              <w:t>7</w:t>
            </w:r>
          </w:p>
        </w:tc>
        <w:tc>
          <w:tcPr>
            <w:tcW w:w="857" w:type="dxa"/>
            <w:vAlign w:val="center"/>
          </w:tcPr>
          <w:p w14:paraId="2F5EBCE7" w14:textId="77777777" w:rsidR="00AB35C6" w:rsidRPr="00DD6A7A" w:rsidRDefault="00AB35C6" w:rsidP="003441AE">
            <w:pPr>
              <w:spacing w:before="60" w:after="60"/>
              <w:jc w:val="center"/>
              <w:rPr>
                <w:rFonts w:ascii="Times New Roman" w:hAnsi="Times New Roman" w:cs="Times New Roman"/>
                <w:bCs/>
                <w:sz w:val="20"/>
                <w:szCs w:val="20"/>
                <w:lang w:val="it-IT"/>
              </w:rPr>
            </w:pPr>
            <w:r w:rsidRPr="00DD6A7A">
              <w:rPr>
                <w:rFonts w:ascii="Times New Roman" w:hAnsi="Times New Roman" w:cs="Times New Roman"/>
                <w:bCs/>
                <w:sz w:val="20"/>
                <w:szCs w:val="20"/>
                <w:lang w:val="it-IT"/>
              </w:rPr>
              <w:t>8</w:t>
            </w:r>
          </w:p>
        </w:tc>
        <w:tc>
          <w:tcPr>
            <w:tcW w:w="850" w:type="dxa"/>
            <w:vAlign w:val="center"/>
          </w:tcPr>
          <w:p w14:paraId="6081B9DD" w14:textId="77777777" w:rsidR="00AB35C6" w:rsidRPr="00DD6A7A" w:rsidRDefault="00AB35C6" w:rsidP="003441AE">
            <w:pPr>
              <w:spacing w:before="60" w:after="60"/>
              <w:jc w:val="center"/>
              <w:rPr>
                <w:rFonts w:ascii="Times New Roman" w:hAnsi="Times New Roman" w:cs="Times New Roman"/>
                <w:bCs/>
                <w:sz w:val="20"/>
                <w:szCs w:val="20"/>
                <w:lang w:val="it-IT"/>
              </w:rPr>
            </w:pPr>
            <w:r w:rsidRPr="00DD6A7A">
              <w:rPr>
                <w:rFonts w:ascii="Times New Roman" w:hAnsi="Times New Roman" w:cs="Times New Roman"/>
                <w:bCs/>
                <w:sz w:val="20"/>
                <w:szCs w:val="20"/>
                <w:lang w:val="it-IT"/>
              </w:rPr>
              <w:t>2</w:t>
            </w:r>
          </w:p>
        </w:tc>
      </w:tr>
      <w:tr w:rsidR="00AB35C6" w:rsidRPr="00DD6A7A" w14:paraId="444B6BCD" w14:textId="77777777" w:rsidTr="00657401">
        <w:trPr>
          <w:jc w:val="center"/>
        </w:trPr>
        <w:tc>
          <w:tcPr>
            <w:tcW w:w="709" w:type="dxa"/>
            <w:shd w:val="clear" w:color="auto" w:fill="auto"/>
            <w:vAlign w:val="center"/>
          </w:tcPr>
          <w:p w14:paraId="64ACE0A0" w14:textId="77777777" w:rsidR="00AB35C6" w:rsidRPr="00DD6A7A" w:rsidRDefault="00AB35C6" w:rsidP="003441AE">
            <w:pPr>
              <w:spacing w:before="60" w:after="60"/>
              <w:jc w:val="center"/>
              <w:rPr>
                <w:rFonts w:ascii="Times New Roman" w:hAnsi="Times New Roman" w:cs="Times New Roman"/>
                <w:sz w:val="20"/>
                <w:szCs w:val="20"/>
                <w:lang w:val="ro-RO"/>
              </w:rPr>
            </w:pPr>
            <w:r w:rsidRPr="00DD6A7A">
              <w:rPr>
                <w:rFonts w:ascii="Times New Roman" w:hAnsi="Times New Roman" w:cs="Times New Roman"/>
                <w:sz w:val="20"/>
                <w:szCs w:val="20"/>
                <w:lang w:val="ro-RO"/>
              </w:rPr>
              <w:t>6.</w:t>
            </w:r>
          </w:p>
        </w:tc>
        <w:tc>
          <w:tcPr>
            <w:tcW w:w="3407" w:type="dxa"/>
            <w:shd w:val="clear" w:color="auto" w:fill="auto"/>
          </w:tcPr>
          <w:p w14:paraId="573243B3" w14:textId="77777777" w:rsidR="00AB35C6" w:rsidRPr="00DA6A97" w:rsidRDefault="00AB35C6" w:rsidP="003441AE">
            <w:pPr>
              <w:spacing w:before="60" w:after="60"/>
              <w:rPr>
                <w:rFonts w:ascii="Times New Roman" w:hAnsi="Times New Roman" w:cs="Times New Roman"/>
                <w:b/>
                <w:sz w:val="20"/>
                <w:szCs w:val="20"/>
                <w:lang w:val="ro-RO"/>
              </w:rPr>
            </w:pPr>
            <w:r w:rsidRPr="00DA6A97">
              <w:rPr>
                <w:rFonts w:ascii="Times New Roman" w:hAnsi="Times New Roman" w:cs="Times New Roman"/>
                <w:b/>
                <w:sz w:val="20"/>
                <w:szCs w:val="20"/>
                <w:lang w:val="ro-RO"/>
              </w:rPr>
              <w:t>Reangajări după suspendarea raporturilor de serviciu</w:t>
            </w:r>
          </w:p>
        </w:tc>
        <w:tc>
          <w:tcPr>
            <w:tcW w:w="846" w:type="dxa"/>
            <w:shd w:val="clear" w:color="auto" w:fill="auto"/>
            <w:vAlign w:val="center"/>
          </w:tcPr>
          <w:p w14:paraId="3E5C013F"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1</w:t>
            </w:r>
          </w:p>
        </w:tc>
        <w:tc>
          <w:tcPr>
            <w:tcW w:w="851" w:type="dxa"/>
            <w:shd w:val="clear" w:color="auto" w:fill="auto"/>
            <w:vAlign w:val="center"/>
          </w:tcPr>
          <w:p w14:paraId="6AA891D8"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w:t>
            </w:r>
          </w:p>
        </w:tc>
        <w:tc>
          <w:tcPr>
            <w:tcW w:w="986" w:type="dxa"/>
            <w:shd w:val="clear" w:color="auto" w:fill="auto"/>
            <w:vAlign w:val="center"/>
          </w:tcPr>
          <w:p w14:paraId="5FF00201"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w:t>
            </w:r>
          </w:p>
        </w:tc>
        <w:tc>
          <w:tcPr>
            <w:tcW w:w="857" w:type="dxa"/>
            <w:vAlign w:val="center"/>
          </w:tcPr>
          <w:p w14:paraId="1589C7D8"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2</w:t>
            </w:r>
          </w:p>
        </w:tc>
        <w:tc>
          <w:tcPr>
            <w:tcW w:w="850" w:type="dxa"/>
            <w:vAlign w:val="center"/>
          </w:tcPr>
          <w:p w14:paraId="61C45706"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2</w:t>
            </w:r>
          </w:p>
        </w:tc>
      </w:tr>
      <w:tr w:rsidR="00AB35C6" w:rsidRPr="00DD6A7A" w14:paraId="07414D49" w14:textId="77777777" w:rsidTr="00657401">
        <w:trPr>
          <w:jc w:val="center"/>
        </w:trPr>
        <w:tc>
          <w:tcPr>
            <w:tcW w:w="709" w:type="dxa"/>
            <w:shd w:val="clear" w:color="auto" w:fill="auto"/>
            <w:vAlign w:val="center"/>
          </w:tcPr>
          <w:p w14:paraId="1C738386" w14:textId="77777777" w:rsidR="00AB35C6" w:rsidRPr="00DD6A7A" w:rsidRDefault="00AB35C6" w:rsidP="003441AE">
            <w:pPr>
              <w:spacing w:before="60" w:after="60"/>
              <w:jc w:val="center"/>
              <w:rPr>
                <w:rFonts w:ascii="Times New Roman" w:hAnsi="Times New Roman" w:cs="Times New Roman"/>
                <w:sz w:val="20"/>
                <w:szCs w:val="20"/>
                <w:lang w:val="ro-RO"/>
              </w:rPr>
            </w:pPr>
            <w:r w:rsidRPr="00DD6A7A">
              <w:rPr>
                <w:rFonts w:ascii="Times New Roman" w:hAnsi="Times New Roman" w:cs="Times New Roman"/>
                <w:sz w:val="20"/>
                <w:szCs w:val="20"/>
                <w:lang w:val="ro-RO"/>
              </w:rPr>
              <w:t>7.</w:t>
            </w:r>
          </w:p>
        </w:tc>
        <w:tc>
          <w:tcPr>
            <w:tcW w:w="3407" w:type="dxa"/>
            <w:shd w:val="clear" w:color="auto" w:fill="auto"/>
          </w:tcPr>
          <w:p w14:paraId="16895C50" w14:textId="4694CD87" w:rsidR="00AB35C6" w:rsidRPr="00DD6A7A" w:rsidRDefault="00AB35C6" w:rsidP="003441AE">
            <w:pPr>
              <w:spacing w:before="60" w:after="60"/>
              <w:rPr>
                <w:rFonts w:ascii="Times New Roman" w:hAnsi="Times New Roman" w:cs="Times New Roman"/>
                <w:b/>
                <w:sz w:val="20"/>
                <w:szCs w:val="20"/>
                <w:lang w:val="ro-RO"/>
              </w:rPr>
            </w:pPr>
            <w:r w:rsidRPr="00DD6A7A">
              <w:rPr>
                <w:rFonts w:ascii="Times New Roman" w:hAnsi="Times New Roman" w:cs="Times New Roman"/>
                <w:b/>
                <w:sz w:val="20"/>
                <w:szCs w:val="20"/>
                <w:lang w:val="ro-RO"/>
              </w:rPr>
              <w:t>Persoane eliberate (demisii, încetare</w:t>
            </w:r>
            <w:r w:rsidR="00503361">
              <w:rPr>
                <w:rFonts w:ascii="Times New Roman" w:hAnsi="Times New Roman" w:cs="Times New Roman"/>
                <w:b/>
                <w:sz w:val="20"/>
                <w:szCs w:val="20"/>
                <w:lang w:val="ro-RO"/>
              </w:rPr>
              <w:t>a</w:t>
            </w:r>
            <w:r w:rsidRPr="00DD6A7A">
              <w:rPr>
                <w:rFonts w:ascii="Times New Roman" w:hAnsi="Times New Roman" w:cs="Times New Roman"/>
                <w:b/>
                <w:sz w:val="20"/>
                <w:szCs w:val="20"/>
                <w:lang w:val="ro-RO"/>
              </w:rPr>
              <w:t xml:space="preserve"> mandat</w:t>
            </w:r>
            <w:r w:rsidR="00503361">
              <w:rPr>
                <w:rFonts w:ascii="Times New Roman" w:hAnsi="Times New Roman" w:cs="Times New Roman"/>
                <w:b/>
                <w:sz w:val="20"/>
                <w:szCs w:val="20"/>
                <w:lang w:val="ro-RO"/>
              </w:rPr>
              <w:t>ului</w:t>
            </w:r>
            <w:r w:rsidRPr="00DD6A7A">
              <w:rPr>
                <w:rFonts w:ascii="Times New Roman" w:hAnsi="Times New Roman" w:cs="Times New Roman"/>
                <w:b/>
                <w:sz w:val="20"/>
                <w:szCs w:val="20"/>
                <w:lang w:val="ro-RO"/>
              </w:rPr>
              <w:t>, transfer în alte autorități)</w:t>
            </w:r>
          </w:p>
        </w:tc>
        <w:tc>
          <w:tcPr>
            <w:tcW w:w="846" w:type="dxa"/>
            <w:shd w:val="clear" w:color="auto" w:fill="auto"/>
            <w:vAlign w:val="center"/>
          </w:tcPr>
          <w:p w14:paraId="2EA7181E"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8</w:t>
            </w:r>
          </w:p>
        </w:tc>
        <w:tc>
          <w:tcPr>
            <w:tcW w:w="851" w:type="dxa"/>
            <w:shd w:val="clear" w:color="auto" w:fill="auto"/>
            <w:vAlign w:val="center"/>
          </w:tcPr>
          <w:p w14:paraId="5B55136F"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8</w:t>
            </w:r>
          </w:p>
        </w:tc>
        <w:tc>
          <w:tcPr>
            <w:tcW w:w="986" w:type="dxa"/>
            <w:shd w:val="clear" w:color="auto" w:fill="auto"/>
            <w:vAlign w:val="center"/>
          </w:tcPr>
          <w:p w14:paraId="69D76FAD"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6</w:t>
            </w:r>
          </w:p>
        </w:tc>
        <w:tc>
          <w:tcPr>
            <w:tcW w:w="857" w:type="dxa"/>
            <w:vAlign w:val="center"/>
          </w:tcPr>
          <w:p w14:paraId="08E41E56"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13</w:t>
            </w:r>
          </w:p>
        </w:tc>
        <w:tc>
          <w:tcPr>
            <w:tcW w:w="850" w:type="dxa"/>
            <w:vAlign w:val="center"/>
          </w:tcPr>
          <w:p w14:paraId="326C7E98"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13</w:t>
            </w:r>
          </w:p>
        </w:tc>
      </w:tr>
      <w:tr w:rsidR="00AB35C6" w:rsidRPr="00DD6A7A" w14:paraId="5DE9B54F" w14:textId="77777777" w:rsidTr="00657401">
        <w:trPr>
          <w:jc w:val="center"/>
        </w:trPr>
        <w:tc>
          <w:tcPr>
            <w:tcW w:w="709" w:type="dxa"/>
            <w:shd w:val="clear" w:color="auto" w:fill="auto"/>
            <w:vAlign w:val="center"/>
          </w:tcPr>
          <w:p w14:paraId="6F3EA89B" w14:textId="77777777" w:rsidR="00AB35C6" w:rsidRPr="00DD6A7A" w:rsidRDefault="00AB35C6" w:rsidP="003441AE">
            <w:pPr>
              <w:spacing w:before="60" w:after="60"/>
              <w:jc w:val="center"/>
              <w:rPr>
                <w:rFonts w:ascii="Times New Roman" w:hAnsi="Times New Roman" w:cs="Times New Roman"/>
                <w:sz w:val="20"/>
                <w:szCs w:val="20"/>
                <w:lang w:val="ro-RO"/>
              </w:rPr>
            </w:pPr>
            <w:r w:rsidRPr="00DD6A7A">
              <w:rPr>
                <w:rFonts w:ascii="Times New Roman" w:hAnsi="Times New Roman" w:cs="Times New Roman"/>
                <w:sz w:val="20"/>
                <w:szCs w:val="20"/>
                <w:lang w:val="ro-RO"/>
              </w:rPr>
              <w:t>8.</w:t>
            </w:r>
          </w:p>
        </w:tc>
        <w:tc>
          <w:tcPr>
            <w:tcW w:w="3407" w:type="dxa"/>
            <w:shd w:val="clear" w:color="auto" w:fill="auto"/>
          </w:tcPr>
          <w:p w14:paraId="51D74043" w14:textId="77777777" w:rsidR="00AB35C6" w:rsidRPr="00DA6A97" w:rsidRDefault="00AB35C6" w:rsidP="003441AE">
            <w:pPr>
              <w:spacing w:before="60" w:after="60"/>
              <w:rPr>
                <w:rFonts w:ascii="Times New Roman" w:hAnsi="Times New Roman" w:cs="Times New Roman"/>
                <w:b/>
                <w:sz w:val="20"/>
                <w:szCs w:val="20"/>
                <w:lang w:val="ro-RO"/>
              </w:rPr>
            </w:pPr>
            <w:r w:rsidRPr="00DA6A97">
              <w:rPr>
                <w:rFonts w:ascii="Times New Roman" w:hAnsi="Times New Roman" w:cs="Times New Roman"/>
                <w:b/>
                <w:sz w:val="20"/>
                <w:szCs w:val="20"/>
                <w:lang w:val="ro-RO"/>
              </w:rPr>
              <w:t>Raporturi suspendate</w:t>
            </w:r>
          </w:p>
        </w:tc>
        <w:tc>
          <w:tcPr>
            <w:tcW w:w="846" w:type="dxa"/>
            <w:shd w:val="clear" w:color="auto" w:fill="auto"/>
            <w:vAlign w:val="center"/>
          </w:tcPr>
          <w:p w14:paraId="49C93137"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3</w:t>
            </w:r>
          </w:p>
        </w:tc>
        <w:tc>
          <w:tcPr>
            <w:tcW w:w="851" w:type="dxa"/>
            <w:shd w:val="clear" w:color="auto" w:fill="auto"/>
            <w:vAlign w:val="center"/>
          </w:tcPr>
          <w:p w14:paraId="4671F3E1"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3</w:t>
            </w:r>
          </w:p>
        </w:tc>
        <w:tc>
          <w:tcPr>
            <w:tcW w:w="986" w:type="dxa"/>
            <w:shd w:val="clear" w:color="auto" w:fill="auto"/>
            <w:vAlign w:val="center"/>
          </w:tcPr>
          <w:p w14:paraId="1CA5E3F8"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6</w:t>
            </w:r>
          </w:p>
        </w:tc>
        <w:tc>
          <w:tcPr>
            <w:tcW w:w="857" w:type="dxa"/>
            <w:vAlign w:val="center"/>
          </w:tcPr>
          <w:p w14:paraId="232763C8"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3</w:t>
            </w:r>
          </w:p>
        </w:tc>
        <w:tc>
          <w:tcPr>
            <w:tcW w:w="850" w:type="dxa"/>
            <w:vAlign w:val="center"/>
          </w:tcPr>
          <w:p w14:paraId="392BBC75"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3</w:t>
            </w:r>
          </w:p>
        </w:tc>
      </w:tr>
      <w:tr w:rsidR="00AB35C6" w:rsidRPr="00DD6A7A" w14:paraId="4E13FC56" w14:textId="77777777" w:rsidTr="00657401">
        <w:trPr>
          <w:jc w:val="center"/>
        </w:trPr>
        <w:tc>
          <w:tcPr>
            <w:tcW w:w="709" w:type="dxa"/>
            <w:shd w:val="clear" w:color="auto" w:fill="auto"/>
            <w:vAlign w:val="center"/>
          </w:tcPr>
          <w:p w14:paraId="69DD8B9C" w14:textId="77777777" w:rsidR="00AB35C6" w:rsidRPr="00DD6A7A" w:rsidRDefault="00AB35C6" w:rsidP="003441AE">
            <w:pPr>
              <w:spacing w:before="60" w:after="60"/>
              <w:jc w:val="center"/>
              <w:rPr>
                <w:rFonts w:ascii="Times New Roman" w:hAnsi="Times New Roman" w:cs="Times New Roman"/>
                <w:sz w:val="20"/>
                <w:szCs w:val="20"/>
                <w:lang w:val="ro-RO"/>
              </w:rPr>
            </w:pPr>
            <w:r w:rsidRPr="00DD6A7A">
              <w:rPr>
                <w:rFonts w:ascii="Times New Roman" w:hAnsi="Times New Roman" w:cs="Times New Roman"/>
                <w:sz w:val="20"/>
                <w:szCs w:val="20"/>
                <w:lang w:val="ro-RO"/>
              </w:rPr>
              <w:t>9.</w:t>
            </w:r>
          </w:p>
        </w:tc>
        <w:tc>
          <w:tcPr>
            <w:tcW w:w="3407" w:type="dxa"/>
            <w:shd w:val="clear" w:color="auto" w:fill="auto"/>
          </w:tcPr>
          <w:p w14:paraId="7341DFCC" w14:textId="77777777" w:rsidR="00AB35C6" w:rsidRPr="00DA6A97" w:rsidRDefault="00AB35C6" w:rsidP="003441AE">
            <w:pPr>
              <w:spacing w:before="60" w:after="60"/>
              <w:rPr>
                <w:rFonts w:ascii="Times New Roman" w:hAnsi="Times New Roman" w:cs="Times New Roman"/>
                <w:b/>
                <w:sz w:val="20"/>
                <w:szCs w:val="20"/>
                <w:lang w:val="ro-RO"/>
              </w:rPr>
            </w:pPr>
            <w:r w:rsidRPr="00DA6A97">
              <w:rPr>
                <w:rFonts w:ascii="Times New Roman" w:hAnsi="Times New Roman" w:cs="Times New Roman"/>
                <w:b/>
                <w:sz w:val="20"/>
                <w:szCs w:val="20"/>
                <w:lang w:val="ro-RO"/>
              </w:rPr>
              <w:t>Unități aprobate</w:t>
            </w:r>
          </w:p>
        </w:tc>
        <w:tc>
          <w:tcPr>
            <w:tcW w:w="846" w:type="dxa"/>
            <w:shd w:val="clear" w:color="auto" w:fill="auto"/>
            <w:vAlign w:val="center"/>
          </w:tcPr>
          <w:p w14:paraId="4133862D"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45</w:t>
            </w:r>
          </w:p>
        </w:tc>
        <w:tc>
          <w:tcPr>
            <w:tcW w:w="851" w:type="dxa"/>
            <w:shd w:val="clear" w:color="auto" w:fill="auto"/>
            <w:vAlign w:val="center"/>
          </w:tcPr>
          <w:p w14:paraId="70AF49EE"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45</w:t>
            </w:r>
          </w:p>
        </w:tc>
        <w:tc>
          <w:tcPr>
            <w:tcW w:w="986" w:type="dxa"/>
            <w:shd w:val="clear" w:color="auto" w:fill="auto"/>
            <w:vAlign w:val="center"/>
          </w:tcPr>
          <w:p w14:paraId="0FB42AA5"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45</w:t>
            </w:r>
          </w:p>
        </w:tc>
        <w:tc>
          <w:tcPr>
            <w:tcW w:w="857" w:type="dxa"/>
            <w:vAlign w:val="center"/>
          </w:tcPr>
          <w:p w14:paraId="0DD4C719"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45</w:t>
            </w:r>
          </w:p>
        </w:tc>
        <w:tc>
          <w:tcPr>
            <w:tcW w:w="850" w:type="dxa"/>
            <w:vAlign w:val="center"/>
          </w:tcPr>
          <w:p w14:paraId="36E6C4AD"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45</w:t>
            </w:r>
          </w:p>
        </w:tc>
      </w:tr>
      <w:tr w:rsidR="00AB35C6" w:rsidRPr="00DD6A7A" w14:paraId="3BB1EF92" w14:textId="77777777" w:rsidTr="00657401">
        <w:trPr>
          <w:jc w:val="center"/>
        </w:trPr>
        <w:tc>
          <w:tcPr>
            <w:tcW w:w="709" w:type="dxa"/>
            <w:shd w:val="clear" w:color="auto" w:fill="auto"/>
            <w:vAlign w:val="center"/>
          </w:tcPr>
          <w:p w14:paraId="6FC440C3" w14:textId="77777777" w:rsidR="00AB35C6" w:rsidRPr="00DD6A7A" w:rsidRDefault="00AB35C6" w:rsidP="003441AE">
            <w:pPr>
              <w:spacing w:before="60" w:after="60"/>
              <w:jc w:val="center"/>
              <w:rPr>
                <w:rFonts w:ascii="Times New Roman" w:hAnsi="Times New Roman" w:cs="Times New Roman"/>
                <w:sz w:val="20"/>
                <w:szCs w:val="20"/>
                <w:lang w:val="ro-RO"/>
              </w:rPr>
            </w:pPr>
            <w:r w:rsidRPr="00DD6A7A">
              <w:rPr>
                <w:rFonts w:ascii="Times New Roman" w:hAnsi="Times New Roman" w:cs="Times New Roman"/>
                <w:sz w:val="20"/>
                <w:szCs w:val="20"/>
                <w:lang w:val="ro-RO"/>
              </w:rPr>
              <w:t>10.</w:t>
            </w:r>
          </w:p>
        </w:tc>
        <w:tc>
          <w:tcPr>
            <w:tcW w:w="3407" w:type="dxa"/>
            <w:shd w:val="clear" w:color="auto" w:fill="auto"/>
          </w:tcPr>
          <w:p w14:paraId="56F56AA8" w14:textId="77777777" w:rsidR="00AB35C6" w:rsidRPr="00DA6A97" w:rsidRDefault="00AB35C6" w:rsidP="003441AE">
            <w:pPr>
              <w:spacing w:before="60" w:after="60"/>
              <w:rPr>
                <w:rFonts w:ascii="Times New Roman" w:hAnsi="Times New Roman" w:cs="Times New Roman"/>
                <w:b/>
                <w:sz w:val="20"/>
                <w:szCs w:val="20"/>
                <w:lang w:val="ro-RO"/>
              </w:rPr>
            </w:pPr>
            <w:r w:rsidRPr="00DA6A97">
              <w:rPr>
                <w:rFonts w:ascii="Times New Roman" w:hAnsi="Times New Roman" w:cs="Times New Roman"/>
                <w:b/>
                <w:sz w:val="20"/>
                <w:szCs w:val="20"/>
                <w:lang w:val="ro-RO"/>
              </w:rPr>
              <w:t>Efectiv angajați la 31 decembrie</w:t>
            </w:r>
          </w:p>
        </w:tc>
        <w:tc>
          <w:tcPr>
            <w:tcW w:w="846" w:type="dxa"/>
            <w:shd w:val="clear" w:color="auto" w:fill="auto"/>
            <w:vAlign w:val="center"/>
          </w:tcPr>
          <w:p w14:paraId="20098593"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32</w:t>
            </w:r>
          </w:p>
        </w:tc>
        <w:tc>
          <w:tcPr>
            <w:tcW w:w="851" w:type="dxa"/>
            <w:shd w:val="clear" w:color="auto" w:fill="auto"/>
            <w:vAlign w:val="center"/>
          </w:tcPr>
          <w:p w14:paraId="28562A60"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33</w:t>
            </w:r>
          </w:p>
        </w:tc>
        <w:tc>
          <w:tcPr>
            <w:tcW w:w="986" w:type="dxa"/>
            <w:shd w:val="clear" w:color="auto" w:fill="auto"/>
            <w:vAlign w:val="center"/>
          </w:tcPr>
          <w:p w14:paraId="0CA473C7"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36</w:t>
            </w:r>
          </w:p>
        </w:tc>
        <w:tc>
          <w:tcPr>
            <w:tcW w:w="857" w:type="dxa"/>
            <w:vAlign w:val="center"/>
          </w:tcPr>
          <w:p w14:paraId="1BFA5709"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39</w:t>
            </w:r>
          </w:p>
        </w:tc>
        <w:tc>
          <w:tcPr>
            <w:tcW w:w="850" w:type="dxa"/>
            <w:vAlign w:val="center"/>
          </w:tcPr>
          <w:p w14:paraId="6DE9C185"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32</w:t>
            </w:r>
          </w:p>
        </w:tc>
      </w:tr>
      <w:tr w:rsidR="00AB35C6" w:rsidRPr="00DD6A7A" w14:paraId="65BDC253" w14:textId="77777777" w:rsidTr="00657401">
        <w:trPr>
          <w:jc w:val="center"/>
        </w:trPr>
        <w:tc>
          <w:tcPr>
            <w:tcW w:w="709" w:type="dxa"/>
            <w:shd w:val="clear" w:color="auto" w:fill="auto"/>
            <w:vAlign w:val="center"/>
          </w:tcPr>
          <w:p w14:paraId="34408F61" w14:textId="77777777" w:rsidR="00AB35C6" w:rsidRPr="00DD6A7A" w:rsidRDefault="00AB35C6" w:rsidP="003441AE">
            <w:pPr>
              <w:spacing w:before="60" w:after="60"/>
              <w:jc w:val="center"/>
              <w:rPr>
                <w:rFonts w:ascii="Times New Roman" w:hAnsi="Times New Roman" w:cs="Times New Roman"/>
                <w:sz w:val="20"/>
                <w:szCs w:val="20"/>
                <w:lang w:val="ro-RO"/>
              </w:rPr>
            </w:pPr>
            <w:r w:rsidRPr="00DD6A7A">
              <w:rPr>
                <w:rFonts w:ascii="Times New Roman" w:hAnsi="Times New Roman" w:cs="Times New Roman"/>
                <w:sz w:val="20"/>
                <w:szCs w:val="20"/>
                <w:lang w:val="ro-RO"/>
              </w:rPr>
              <w:t>11.</w:t>
            </w:r>
          </w:p>
        </w:tc>
        <w:tc>
          <w:tcPr>
            <w:tcW w:w="3407" w:type="dxa"/>
            <w:shd w:val="clear" w:color="auto" w:fill="auto"/>
          </w:tcPr>
          <w:p w14:paraId="2BC93FD3" w14:textId="77777777" w:rsidR="00AB35C6" w:rsidRPr="00DA6A97" w:rsidRDefault="00AB35C6" w:rsidP="003441AE">
            <w:pPr>
              <w:spacing w:before="60" w:after="60"/>
              <w:rPr>
                <w:rFonts w:ascii="Times New Roman" w:hAnsi="Times New Roman" w:cs="Times New Roman"/>
                <w:b/>
                <w:sz w:val="20"/>
                <w:szCs w:val="20"/>
                <w:lang w:val="ro-RO"/>
              </w:rPr>
            </w:pPr>
            <w:r w:rsidRPr="00DA6A97">
              <w:rPr>
                <w:rFonts w:ascii="Times New Roman" w:hAnsi="Times New Roman" w:cs="Times New Roman"/>
                <w:b/>
                <w:sz w:val="20"/>
                <w:szCs w:val="20"/>
                <w:lang w:val="ro-RO"/>
              </w:rPr>
              <w:t>Gradul de ocupare a funcțiilor la 31 decembrie, %</w:t>
            </w:r>
          </w:p>
        </w:tc>
        <w:tc>
          <w:tcPr>
            <w:tcW w:w="846" w:type="dxa"/>
            <w:shd w:val="clear" w:color="auto" w:fill="auto"/>
            <w:vAlign w:val="center"/>
          </w:tcPr>
          <w:p w14:paraId="62A25558" w14:textId="77777777" w:rsidR="00AB35C6" w:rsidRPr="00DD6A7A" w:rsidRDefault="00AB35C6" w:rsidP="003441AE">
            <w:pPr>
              <w:spacing w:before="60" w:after="60"/>
              <w:jc w:val="center"/>
              <w:rPr>
                <w:rFonts w:ascii="Times New Roman" w:hAnsi="Times New Roman" w:cs="Times New Roman"/>
                <w:b/>
                <w:bCs/>
                <w:sz w:val="20"/>
                <w:szCs w:val="20"/>
                <w:lang w:val="it-IT"/>
              </w:rPr>
            </w:pPr>
            <w:r w:rsidRPr="00DD6A7A">
              <w:rPr>
                <w:rFonts w:ascii="Times New Roman" w:hAnsi="Times New Roman" w:cs="Times New Roman"/>
                <w:b/>
                <w:bCs/>
                <w:sz w:val="20"/>
                <w:szCs w:val="20"/>
              </w:rPr>
              <w:t>71</w:t>
            </w:r>
          </w:p>
        </w:tc>
        <w:tc>
          <w:tcPr>
            <w:tcW w:w="851" w:type="dxa"/>
            <w:shd w:val="clear" w:color="auto" w:fill="auto"/>
            <w:vAlign w:val="center"/>
          </w:tcPr>
          <w:p w14:paraId="08B10D0E"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73</w:t>
            </w:r>
          </w:p>
        </w:tc>
        <w:tc>
          <w:tcPr>
            <w:tcW w:w="986" w:type="dxa"/>
            <w:shd w:val="clear" w:color="auto" w:fill="auto"/>
            <w:vAlign w:val="center"/>
          </w:tcPr>
          <w:p w14:paraId="0B4E7DC6"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80</w:t>
            </w:r>
          </w:p>
        </w:tc>
        <w:tc>
          <w:tcPr>
            <w:tcW w:w="857" w:type="dxa"/>
            <w:vAlign w:val="center"/>
          </w:tcPr>
          <w:p w14:paraId="5D3BC46F"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87</w:t>
            </w:r>
          </w:p>
        </w:tc>
        <w:tc>
          <w:tcPr>
            <w:tcW w:w="850" w:type="dxa"/>
            <w:vAlign w:val="center"/>
          </w:tcPr>
          <w:p w14:paraId="58EBB64E" w14:textId="77777777" w:rsidR="00AB35C6" w:rsidRPr="00DD6A7A" w:rsidRDefault="00AB35C6" w:rsidP="003441AE">
            <w:pPr>
              <w:spacing w:before="60" w:after="6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71</w:t>
            </w:r>
          </w:p>
        </w:tc>
      </w:tr>
      <w:tr w:rsidR="00AB35C6" w:rsidRPr="00DD6A7A" w14:paraId="18229F8A" w14:textId="77777777" w:rsidTr="00657401">
        <w:trPr>
          <w:jc w:val="center"/>
        </w:trPr>
        <w:tc>
          <w:tcPr>
            <w:tcW w:w="709" w:type="dxa"/>
            <w:shd w:val="clear" w:color="auto" w:fill="auto"/>
            <w:vAlign w:val="center"/>
          </w:tcPr>
          <w:p w14:paraId="3BD4CAE3" w14:textId="77777777" w:rsidR="00AB35C6" w:rsidRPr="00DD6A7A" w:rsidRDefault="00AB35C6" w:rsidP="003441AE">
            <w:pPr>
              <w:spacing w:before="120" w:after="120"/>
              <w:jc w:val="center"/>
              <w:rPr>
                <w:rFonts w:ascii="Times New Roman" w:hAnsi="Times New Roman" w:cs="Times New Roman"/>
                <w:sz w:val="20"/>
                <w:szCs w:val="20"/>
                <w:lang w:val="ro-RO"/>
              </w:rPr>
            </w:pPr>
            <w:r w:rsidRPr="00DD6A7A">
              <w:rPr>
                <w:rFonts w:ascii="Times New Roman" w:hAnsi="Times New Roman" w:cs="Times New Roman"/>
                <w:sz w:val="20"/>
                <w:szCs w:val="20"/>
                <w:lang w:val="ro-RO"/>
              </w:rPr>
              <w:t>12.</w:t>
            </w:r>
          </w:p>
        </w:tc>
        <w:tc>
          <w:tcPr>
            <w:tcW w:w="3407" w:type="dxa"/>
            <w:shd w:val="clear" w:color="auto" w:fill="auto"/>
          </w:tcPr>
          <w:p w14:paraId="6D782D0B" w14:textId="77777777" w:rsidR="00AB35C6" w:rsidRPr="00DA6A97" w:rsidRDefault="00AB35C6" w:rsidP="003441AE">
            <w:pPr>
              <w:spacing w:before="120" w:after="120"/>
              <w:rPr>
                <w:rFonts w:ascii="Times New Roman" w:hAnsi="Times New Roman" w:cs="Times New Roman"/>
                <w:b/>
                <w:sz w:val="20"/>
                <w:szCs w:val="20"/>
                <w:lang w:val="ro-RO"/>
              </w:rPr>
            </w:pPr>
            <w:r w:rsidRPr="00DA6A97">
              <w:rPr>
                <w:rFonts w:ascii="Times New Roman" w:hAnsi="Times New Roman" w:cs="Times New Roman"/>
                <w:b/>
                <w:sz w:val="20"/>
                <w:szCs w:val="20"/>
                <w:lang w:val="ro-RO"/>
              </w:rPr>
              <w:t>Gradul de fluctuație, %</w:t>
            </w:r>
          </w:p>
        </w:tc>
        <w:tc>
          <w:tcPr>
            <w:tcW w:w="846" w:type="dxa"/>
            <w:shd w:val="clear" w:color="auto" w:fill="auto"/>
            <w:vAlign w:val="center"/>
          </w:tcPr>
          <w:p w14:paraId="3665033F" w14:textId="77777777" w:rsidR="00AB35C6" w:rsidRPr="00DD6A7A" w:rsidRDefault="00AB35C6" w:rsidP="003441AE">
            <w:pPr>
              <w:spacing w:before="120" w:after="120"/>
              <w:jc w:val="center"/>
              <w:rPr>
                <w:rFonts w:ascii="Times New Roman" w:hAnsi="Times New Roman" w:cs="Times New Roman"/>
                <w:b/>
                <w:bCs/>
                <w:sz w:val="20"/>
                <w:szCs w:val="20"/>
              </w:rPr>
            </w:pPr>
            <w:r w:rsidRPr="00DD6A7A">
              <w:rPr>
                <w:rFonts w:ascii="Times New Roman" w:hAnsi="Times New Roman" w:cs="Times New Roman"/>
                <w:b/>
                <w:bCs/>
                <w:sz w:val="20"/>
                <w:szCs w:val="20"/>
              </w:rPr>
              <w:t>23</w:t>
            </w:r>
          </w:p>
        </w:tc>
        <w:tc>
          <w:tcPr>
            <w:tcW w:w="851" w:type="dxa"/>
            <w:shd w:val="clear" w:color="auto" w:fill="auto"/>
            <w:vAlign w:val="center"/>
          </w:tcPr>
          <w:p w14:paraId="5C3A524A" w14:textId="77777777" w:rsidR="00AB35C6" w:rsidRPr="00DD6A7A" w:rsidRDefault="00AB35C6" w:rsidP="003441AE">
            <w:pPr>
              <w:spacing w:before="120" w:after="12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24</w:t>
            </w:r>
          </w:p>
        </w:tc>
        <w:tc>
          <w:tcPr>
            <w:tcW w:w="986" w:type="dxa"/>
            <w:shd w:val="clear" w:color="auto" w:fill="auto"/>
            <w:vAlign w:val="center"/>
          </w:tcPr>
          <w:p w14:paraId="4473C8E2" w14:textId="77777777" w:rsidR="00AB35C6" w:rsidRPr="00DD6A7A" w:rsidRDefault="00AB35C6" w:rsidP="003441AE">
            <w:pPr>
              <w:spacing w:before="120" w:after="12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18</w:t>
            </w:r>
          </w:p>
        </w:tc>
        <w:tc>
          <w:tcPr>
            <w:tcW w:w="857" w:type="dxa"/>
            <w:vAlign w:val="center"/>
          </w:tcPr>
          <w:p w14:paraId="28EE6470" w14:textId="77777777" w:rsidR="00AB35C6" w:rsidRPr="00DD6A7A" w:rsidRDefault="00AB35C6" w:rsidP="003441AE">
            <w:pPr>
              <w:spacing w:before="120" w:after="12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35</w:t>
            </w:r>
          </w:p>
        </w:tc>
        <w:tc>
          <w:tcPr>
            <w:tcW w:w="850" w:type="dxa"/>
            <w:vAlign w:val="center"/>
          </w:tcPr>
          <w:p w14:paraId="5C8FEA76" w14:textId="77777777" w:rsidR="00AB35C6" w:rsidRPr="00DD6A7A" w:rsidRDefault="00AB35C6" w:rsidP="003441AE">
            <w:pPr>
              <w:spacing w:before="120" w:after="120"/>
              <w:jc w:val="center"/>
              <w:rPr>
                <w:rFonts w:ascii="Times New Roman" w:hAnsi="Times New Roman" w:cs="Times New Roman"/>
                <w:b/>
                <w:sz w:val="20"/>
                <w:szCs w:val="20"/>
                <w:lang w:val="it-IT"/>
              </w:rPr>
            </w:pPr>
            <w:r w:rsidRPr="00DD6A7A">
              <w:rPr>
                <w:rFonts w:ascii="Times New Roman" w:hAnsi="Times New Roman" w:cs="Times New Roman"/>
                <w:b/>
                <w:sz w:val="20"/>
                <w:szCs w:val="20"/>
                <w:lang w:val="it-IT"/>
              </w:rPr>
              <w:t>37</w:t>
            </w:r>
          </w:p>
        </w:tc>
      </w:tr>
    </w:tbl>
    <w:p w14:paraId="034F2F7A" w14:textId="77777777" w:rsidR="00BA7C29" w:rsidRPr="00DD6A7A" w:rsidRDefault="00B37490" w:rsidP="003441AE">
      <w:pPr>
        <w:jc w:val="both"/>
        <w:rPr>
          <w:rFonts w:ascii="Times New Roman" w:hAnsi="Times New Roman" w:cs="Times New Roman"/>
          <w:b/>
          <w:i/>
          <w:sz w:val="18"/>
          <w:szCs w:val="18"/>
          <w:lang w:val="ro-RO"/>
        </w:rPr>
      </w:pPr>
      <w:r w:rsidRPr="00DD6A7A">
        <w:rPr>
          <w:rFonts w:ascii="Times New Roman" w:hAnsi="Times New Roman" w:cs="Times New Roman"/>
          <w:b/>
          <w:i/>
          <w:sz w:val="20"/>
          <w:szCs w:val="20"/>
        </w:rPr>
        <w:t xml:space="preserve">             </w:t>
      </w:r>
      <w:r w:rsidR="00CF1DE3">
        <w:rPr>
          <w:rFonts w:ascii="Times New Roman" w:hAnsi="Times New Roman" w:cs="Times New Roman"/>
          <w:b/>
          <w:i/>
          <w:sz w:val="20"/>
          <w:szCs w:val="20"/>
        </w:rPr>
        <w:t xml:space="preserve">   </w:t>
      </w:r>
      <w:r w:rsidRPr="00DD6A7A">
        <w:rPr>
          <w:rFonts w:ascii="Times New Roman" w:hAnsi="Times New Roman" w:cs="Times New Roman"/>
          <w:b/>
          <w:i/>
          <w:sz w:val="20"/>
          <w:szCs w:val="20"/>
        </w:rPr>
        <w:t>Sursa</w:t>
      </w:r>
      <w:r w:rsidRPr="00DD6A7A">
        <w:rPr>
          <w:rFonts w:ascii="Times New Roman" w:hAnsi="Times New Roman" w:cs="Times New Roman"/>
          <w:i/>
          <w:sz w:val="20"/>
          <w:szCs w:val="20"/>
        </w:rPr>
        <w:t>: Date generalizate de echipa de audit privind gradul de ocupare a funcțiilor vacante.</w:t>
      </w:r>
    </w:p>
    <w:p w14:paraId="0FDD1398" w14:textId="77777777" w:rsidR="00B37490" w:rsidRPr="00DD6A7A" w:rsidRDefault="00B37490" w:rsidP="003441AE">
      <w:pPr>
        <w:jc w:val="both"/>
        <w:rPr>
          <w:rFonts w:ascii="Times New Roman" w:hAnsi="Times New Roman" w:cs="Times New Roman"/>
          <w:b/>
          <w:i/>
          <w:sz w:val="18"/>
          <w:szCs w:val="18"/>
          <w:lang w:val="ro-RO"/>
        </w:rPr>
      </w:pPr>
    </w:p>
    <w:p w14:paraId="2F457182" w14:textId="0394FE7A" w:rsidR="003F5A17" w:rsidRPr="00E30132" w:rsidRDefault="002B25D0" w:rsidP="003441AE">
      <w:pPr>
        <w:jc w:val="both"/>
        <w:rPr>
          <w:rFonts w:asciiTheme="majorHAnsi" w:eastAsia="Times New Roman" w:hAnsiTheme="majorHAnsi" w:cstheme="majorHAnsi"/>
          <w:bCs/>
          <w:i/>
          <w:iCs/>
          <w:color w:val="000000" w:themeColor="text1"/>
          <w:sz w:val="24"/>
          <w:szCs w:val="24"/>
        </w:rPr>
        <w:sectPr w:rsidR="003F5A17" w:rsidRPr="00E30132" w:rsidSect="00645374">
          <w:footerReference w:type="default" r:id="rId19"/>
          <w:pgSz w:w="12240" w:h="15840"/>
          <w:pgMar w:top="851" w:right="851" w:bottom="851" w:left="1701" w:header="720" w:footer="720" w:gutter="0"/>
          <w:cols w:space="720"/>
          <w:titlePg/>
          <w:docGrid w:linePitch="360"/>
        </w:sectPr>
      </w:pPr>
      <w:r w:rsidRPr="00DD6A7A">
        <w:rPr>
          <w:rFonts w:ascii="Times New Roman" w:hAnsi="Times New Roman" w:cs="Times New Roman"/>
          <w:b/>
          <w:i/>
          <w:sz w:val="18"/>
          <w:szCs w:val="18"/>
          <w:lang w:val="ro-RO"/>
        </w:rPr>
        <w:t>Notă:</w:t>
      </w:r>
      <w:r w:rsidRPr="00DD6A7A">
        <w:rPr>
          <w:rFonts w:ascii="Times New Roman" w:hAnsi="Times New Roman" w:cs="Times New Roman"/>
          <w:i/>
          <w:sz w:val="18"/>
          <w:szCs w:val="18"/>
          <w:lang w:val="ro-RO"/>
        </w:rPr>
        <w:t xml:space="preserve"> </w:t>
      </w:r>
      <w:r w:rsidRPr="00DD6A7A">
        <w:rPr>
          <w:rFonts w:ascii="Times New Roman" w:hAnsi="Times New Roman" w:cs="Times New Roman"/>
          <w:i/>
          <w:sz w:val="18"/>
          <w:szCs w:val="18"/>
        </w:rPr>
        <w:t>Efectivul-limită al CNPDCP este în număr de 45 de unități, fiind aprobat prin Legea nr.182-XVI din 10 iulie 2008 cu privire la aprobarea Regulamentului Centrului Na</w:t>
      </w:r>
      <w:r w:rsidR="00503361">
        <w:rPr>
          <w:rFonts w:ascii="Times New Roman" w:hAnsi="Times New Roman" w:cs="Times New Roman"/>
          <w:i/>
          <w:sz w:val="18"/>
          <w:szCs w:val="18"/>
        </w:rPr>
        <w:t>ț</w:t>
      </w:r>
      <w:r w:rsidRPr="00DD6A7A">
        <w:rPr>
          <w:rFonts w:ascii="Times New Roman" w:hAnsi="Times New Roman" w:cs="Times New Roman"/>
          <w:i/>
          <w:sz w:val="18"/>
          <w:szCs w:val="18"/>
        </w:rPr>
        <w:t>ional pentru Protecția Datelor cu Caracter Personal, structurii, efectivului-limită și a modului de finanțare a Centrului Na</w:t>
      </w:r>
      <w:r w:rsidR="00503361">
        <w:rPr>
          <w:rFonts w:ascii="Times New Roman" w:hAnsi="Times New Roman" w:cs="Times New Roman"/>
          <w:i/>
          <w:sz w:val="18"/>
          <w:szCs w:val="18"/>
        </w:rPr>
        <w:t>ț</w:t>
      </w:r>
      <w:r w:rsidRPr="00DD6A7A">
        <w:rPr>
          <w:rFonts w:ascii="Times New Roman" w:hAnsi="Times New Roman" w:cs="Times New Roman"/>
          <w:i/>
          <w:sz w:val="18"/>
          <w:szCs w:val="18"/>
        </w:rPr>
        <w:t xml:space="preserve">ional pentru Protecția Datelor cu Caracter Personal, dintre care: 2 funcții de demnitate publică; 11 – funcții de conducere; 31 – funcții de execuție; 1 funcție </w:t>
      </w:r>
      <w:r w:rsidR="00503361">
        <w:rPr>
          <w:rFonts w:ascii="Times New Roman" w:hAnsi="Times New Roman" w:cs="Times New Roman"/>
          <w:i/>
          <w:sz w:val="18"/>
          <w:szCs w:val="18"/>
        </w:rPr>
        <w:t>–</w:t>
      </w:r>
      <w:r w:rsidRPr="00DD6A7A">
        <w:rPr>
          <w:rFonts w:ascii="Times New Roman" w:hAnsi="Times New Roman" w:cs="Times New Roman"/>
          <w:i/>
          <w:sz w:val="18"/>
          <w:szCs w:val="18"/>
        </w:rPr>
        <w:t xml:space="preserve"> personal auxiliar (conducător auto).</w:t>
      </w:r>
    </w:p>
    <w:tbl>
      <w:tblPr>
        <w:tblStyle w:val="TableGrid"/>
        <w:tblpPr w:leftFromText="180" w:rightFromText="180" w:horzAnchor="margin" w:tblpXSpec="center" w:tblpY="432"/>
        <w:tblW w:w="12895" w:type="dxa"/>
        <w:tblLayout w:type="fixed"/>
        <w:tblLook w:val="04A0" w:firstRow="1" w:lastRow="0" w:firstColumn="1" w:lastColumn="0" w:noHBand="0" w:noVBand="1"/>
      </w:tblPr>
      <w:tblGrid>
        <w:gridCol w:w="846"/>
        <w:gridCol w:w="567"/>
        <w:gridCol w:w="709"/>
        <w:gridCol w:w="567"/>
        <w:gridCol w:w="708"/>
        <w:gridCol w:w="567"/>
        <w:gridCol w:w="567"/>
        <w:gridCol w:w="426"/>
        <w:gridCol w:w="567"/>
        <w:gridCol w:w="708"/>
        <w:gridCol w:w="567"/>
        <w:gridCol w:w="567"/>
        <w:gridCol w:w="709"/>
        <w:gridCol w:w="567"/>
        <w:gridCol w:w="709"/>
        <w:gridCol w:w="567"/>
        <w:gridCol w:w="567"/>
        <w:gridCol w:w="567"/>
        <w:gridCol w:w="567"/>
        <w:gridCol w:w="425"/>
        <w:gridCol w:w="851"/>
      </w:tblGrid>
      <w:tr w:rsidR="003F5A17" w:rsidRPr="00FD08E2" w14:paraId="482B91D1" w14:textId="77777777" w:rsidTr="006C5F48">
        <w:tc>
          <w:tcPr>
            <w:tcW w:w="846" w:type="dxa"/>
            <w:vMerge w:val="restart"/>
            <w:tcBorders>
              <w:tl2br w:val="single" w:sz="4" w:space="0" w:color="auto"/>
            </w:tcBorders>
            <w:shd w:val="clear" w:color="auto" w:fill="00B0F0"/>
          </w:tcPr>
          <w:p w14:paraId="1620570E" w14:textId="77777777" w:rsidR="003F5A17" w:rsidRPr="00FD08E2" w:rsidRDefault="003F5A17" w:rsidP="003D427F">
            <w:pPr>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lastRenderedPageBreak/>
              <w:t xml:space="preserve">   Subdiviziuni /</w:t>
            </w:r>
          </w:p>
          <w:p w14:paraId="71B86ADB" w14:textId="77777777" w:rsidR="003F5A17" w:rsidRPr="00FD08E2" w:rsidRDefault="003F5A17" w:rsidP="003D427F">
            <w:pPr>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 xml:space="preserve">     indicatori</w:t>
            </w:r>
          </w:p>
          <w:p w14:paraId="4AE84B4B" w14:textId="77777777" w:rsidR="003F5A17" w:rsidRPr="00FD08E2" w:rsidRDefault="003F5A17" w:rsidP="003D427F">
            <w:pPr>
              <w:ind w:right="-755"/>
              <w:rPr>
                <w:rFonts w:ascii="Times New Roman" w:hAnsi="Times New Roman" w:cs="Times New Roman"/>
                <w:b/>
                <w:bCs/>
                <w:sz w:val="18"/>
                <w:szCs w:val="18"/>
                <w:lang w:val="ro-RO"/>
              </w:rPr>
            </w:pPr>
          </w:p>
          <w:p w14:paraId="4C9D6046" w14:textId="77777777" w:rsidR="003F5A17" w:rsidRPr="00FD08E2" w:rsidRDefault="003F5A17" w:rsidP="003D427F">
            <w:pPr>
              <w:ind w:right="-755"/>
              <w:rPr>
                <w:rFonts w:ascii="Times New Roman" w:hAnsi="Times New Roman" w:cs="Times New Roman"/>
                <w:b/>
                <w:bCs/>
                <w:sz w:val="18"/>
                <w:szCs w:val="18"/>
                <w:lang w:val="ro-RO"/>
              </w:rPr>
            </w:pPr>
          </w:p>
          <w:p w14:paraId="4C834A13" w14:textId="77777777" w:rsidR="003F5A17" w:rsidRPr="00FD08E2" w:rsidRDefault="003F5A17" w:rsidP="003D427F">
            <w:pPr>
              <w:ind w:right="-755"/>
              <w:rPr>
                <w:rFonts w:ascii="Times New Roman" w:hAnsi="Times New Roman" w:cs="Times New Roman"/>
                <w:b/>
                <w:bCs/>
                <w:sz w:val="18"/>
                <w:szCs w:val="18"/>
                <w:lang w:val="ro-RO"/>
              </w:rPr>
            </w:pPr>
          </w:p>
          <w:p w14:paraId="63BDA347" w14:textId="77777777" w:rsidR="003F5A17" w:rsidRPr="00FD08E2" w:rsidRDefault="003F5A17" w:rsidP="003D427F">
            <w:pPr>
              <w:ind w:right="-755"/>
              <w:rPr>
                <w:rFonts w:ascii="Times New Roman" w:hAnsi="Times New Roman" w:cs="Times New Roman"/>
                <w:b/>
                <w:bCs/>
                <w:sz w:val="18"/>
                <w:szCs w:val="18"/>
                <w:lang w:val="ro-RO"/>
              </w:rPr>
            </w:pPr>
          </w:p>
          <w:p w14:paraId="7D2DB59A" w14:textId="77777777" w:rsidR="003F5A17" w:rsidRPr="00FD08E2" w:rsidRDefault="003F5A17" w:rsidP="003D427F">
            <w:pPr>
              <w:ind w:right="-755"/>
              <w:rPr>
                <w:rFonts w:ascii="Times New Roman" w:hAnsi="Times New Roman" w:cs="Times New Roman"/>
                <w:b/>
                <w:bCs/>
                <w:sz w:val="18"/>
                <w:szCs w:val="18"/>
                <w:lang w:val="ro-RO"/>
              </w:rPr>
            </w:pPr>
          </w:p>
          <w:p w14:paraId="5D9CDAD7" w14:textId="77777777" w:rsidR="003F5A17" w:rsidRPr="00FD08E2" w:rsidRDefault="003F5A17" w:rsidP="003D427F">
            <w:pPr>
              <w:ind w:right="-755"/>
              <w:rPr>
                <w:rFonts w:ascii="Times New Roman" w:hAnsi="Times New Roman" w:cs="Times New Roman"/>
                <w:b/>
                <w:bCs/>
                <w:sz w:val="18"/>
                <w:szCs w:val="18"/>
                <w:lang w:val="ro-RO"/>
              </w:rPr>
            </w:pPr>
          </w:p>
          <w:p w14:paraId="65845AB9" w14:textId="77777777" w:rsidR="003F5A17" w:rsidRPr="00FD08E2" w:rsidRDefault="003F5A17" w:rsidP="003D427F">
            <w:pPr>
              <w:ind w:right="-755"/>
              <w:rPr>
                <w:rFonts w:ascii="Times New Roman" w:hAnsi="Times New Roman" w:cs="Times New Roman"/>
                <w:b/>
                <w:bCs/>
                <w:sz w:val="18"/>
                <w:szCs w:val="18"/>
                <w:lang w:val="ro-RO"/>
              </w:rPr>
            </w:pPr>
          </w:p>
          <w:p w14:paraId="21994546" w14:textId="77777777" w:rsidR="003F5A17" w:rsidRPr="00FD08E2" w:rsidRDefault="003F5A17" w:rsidP="003D427F">
            <w:pPr>
              <w:ind w:right="-755"/>
              <w:rPr>
                <w:rFonts w:ascii="Times New Roman" w:hAnsi="Times New Roman" w:cs="Times New Roman"/>
                <w:b/>
                <w:bCs/>
                <w:sz w:val="18"/>
                <w:szCs w:val="18"/>
                <w:lang w:val="ro-RO"/>
              </w:rPr>
            </w:pPr>
          </w:p>
          <w:p w14:paraId="10034EA6" w14:textId="77777777" w:rsidR="003F5A17" w:rsidRPr="00FD08E2" w:rsidRDefault="003F5A17" w:rsidP="003D427F">
            <w:pPr>
              <w:ind w:right="-755"/>
              <w:rPr>
                <w:rFonts w:ascii="Times New Roman" w:hAnsi="Times New Roman" w:cs="Times New Roman"/>
                <w:b/>
                <w:bCs/>
                <w:caps/>
                <w:sz w:val="18"/>
                <w:szCs w:val="18"/>
                <w:lang w:val="ro-RO"/>
              </w:rPr>
            </w:pPr>
            <w:r w:rsidRPr="00FD08E2">
              <w:rPr>
                <w:rFonts w:ascii="Times New Roman" w:hAnsi="Times New Roman" w:cs="Times New Roman"/>
                <w:b/>
                <w:bCs/>
                <w:caps/>
                <w:sz w:val="18"/>
                <w:szCs w:val="18"/>
                <w:lang w:val="ro-RO"/>
              </w:rPr>
              <w:t>Anul</w:t>
            </w:r>
          </w:p>
        </w:tc>
        <w:tc>
          <w:tcPr>
            <w:tcW w:w="4678" w:type="dxa"/>
            <w:gridSpan w:val="8"/>
            <w:shd w:val="clear" w:color="auto" w:fill="00B0F0"/>
          </w:tcPr>
          <w:p w14:paraId="69ECDCF7" w14:textId="77777777" w:rsidR="003F5A17" w:rsidRPr="00FD08E2" w:rsidRDefault="003F5A17" w:rsidP="003D427F">
            <w:pPr>
              <w:ind w:right="-755"/>
              <w:jc w:val="center"/>
              <w:rPr>
                <w:rFonts w:ascii="Times New Roman" w:hAnsi="Times New Roman" w:cs="Times New Roman"/>
                <w:b/>
                <w:bCs/>
                <w:sz w:val="18"/>
                <w:szCs w:val="18"/>
                <w:lang w:val="ro-RO"/>
              </w:rPr>
            </w:pPr>
          </w:p>
          <w:p w14:paraId="3EE5E571" w14:textId="77777777" w:rsidR="003F5A17" w:rsidRPr="00FD08E2" w:rsidRDefault="003F5A17" w:rsidP="003D427F">
            <w:pPr>
              <w:ind w:right="-755"/>
              <w:jc w:val="center"/>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Direcția generală supraveghere și conformitate</w:t>
            </w:r>
          </w:p>
          <w:p w14:paraId="14A0079B" w14:textId="77777777" w:rsidR="003F5A17" w:rsidRPr="00FD08E2" w:rsidRDefault="003F5A17" w:rsidP="003D427F">
            <w:pPr>
              <w:ind w:right="-755"/>
              <w:jc w:val="center"/>
              <w:rPr>
                <w:rFonts w:ascii="Times New Roman" w:hAnsi="Times New Roman" w:cs="Times New Roman"/>
                <w:b/>
                <w:bCs/>
                <w:sz w:val="18"/>
                <w:szCs w:val="18"/>
                <w:lang w:val="ro-RO"/>
              </w:rPr>
            </w:pPr>
          </w:p>
        </w:tc>
        <w:tc>
          <w:tcPr>
            <w:tcW w:w="2551" w:type="dxa"/>
            <w:gridSpan w:val="4"/>
            <w:vMerge w:val="restart"/>
            <w:shd w:val="clear" w:color="auto" w:fill="00B0F0"/>
          </w:tcPr>
          <w:p w14:paraId="5A5079D5" w14:textId="77777777" w:rsidR="003F5A17" w:rsidRPr="00FD08E2" w:rsidRDefault="003F5A17" w:rsidP="003D427F">
            <w:pPr>
              <w:ind w:right="-755"/>
              <w:rPr>
                <w:rFonts w:ascii="Times New Roman" w:hAnsi="Times New Roman" w:cs="Times New Roman"/>
                <w:b/>
                <w:bCs/>
                <w:sz w:val="18"/>
                <w:szCs w:val="18"/>
                <w:lang w:val="ro-RO"/>
              </w:rPr>
            </w:pPr>
          </w:p>
          <w:p w14:paraId="5C5EC6E1" w14:textId="77777777" w:rsidR="003F5A17" w:rsidRPr="00FD08E2" w:rsidRDefault="003F5A17" w:rsidP="003D427F">
            <w:pPr>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 xml:space="preserve">               Direcția juridică</w:t>
            </w:r>
          </w:p>
        </w:tc>
        <w:tc>
          <w:tcPr>
            <w:tcW w:w="2410" w:type="dxa"/>
            <w:gridSpan w:val="4"/>
            <w:vMerge w:val="restart"/>
            <w:shd w:val="clear" w:color="auto" w:fill="00B0F0"/>
          </w:tcPr>
          <w:p w14:paraId="3B009229" w14:textId="77777777" w:rsidR="003F5A17" w:rsidRPr="00FD08E2" w:rsidRDefault="003F5A17" w:rsidP="003D427F">
            <w:pPr>
              <w:ind w:right="-755"/>
              <w:rPr>
                <w:rFonts w:ascii="Times New Roman" w:hAnsi="Times New Roman" w:cs="Times New Roman"/>
                <w:b/>
                <w:bCs/>
                <w:sz w:val="18"/>
                <w:szCs w:val="18"/>
                <w:lang w:val="ro-RO"/>
              </w:rPr>
            </w:pPr>
          </w:p>
          <w:p w14:paraId="1FF4025E" w14:textId="77777777" w:rsidR="003F5A17" w:rsidRPr="00FD08E2" w:rsidRDefault="003F5A17" w:rsidP="003D427F">
            <w:pPr>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 xml:space="preserve">Direcția Relații Externe </w:t>
            </w:r>
          </w:p>
          <w:p w14:paraId="6F0B90F5" w14:textId="77777777" w:rsidR="003F5A17" w:rsidRPr="00FD08E2" w:rsidRDefault="003F5A17" w:rsidP="003D427F">
            <w:pPr>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și Integrare Europeană</w:t>
            </w:r>
          </w:p>
        </w:tc>
        <w:tc>
          <w:tcPr>
            <w:tcW w:w="2410" w:type="dxa"/>
            <w:gridSpan w:val="4"/>
            <w:vMerge w:val="restart"/>
            <w:shd w:val="clear" w:color="auto" w:fill="00B0F0"/>
          </w:tcPr>
          <w:p w14:paraId="29C50BC7" w14:textId="77777777" w:rsidR="003F5A17" w:rsidRPr="00FD08E2" w:rsidRDefault="003F5A17" w:rsidP="003D427F">
            <w:pPr>
              <w:ind w:right="-755"/>
              <w:rPr>
                <w:rFonts w:ascii="Times New Roman" w:hAnsi="Times New Roman" w:cs="Times New Roman"/>
                <w:b/>
                <w:bCs/>
                <w:sz w:val="18"/>
                <w:szCs w:val="18"/>
                <w:lang w:val="ro-RO"/>
              </w:rPr>
            </w:pPr>
          </w:p>
          <w:p w14:paraId="0761A60A" w14:textId="77777777" w:rsidR="003F5A17" w:rsidRPr="00FD08E2" w:rsidRDefault="003F5A17" w:rsidP="003D427F">
            <w:pPr>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Serviciul economico-financiar</w:t>
            </w:r>
          </w:p>
        </w:tc>
      </w:tr>
      <w:tr w:rsidR="003F5A17" w:rsidRPr="006C5F48" w14:paraId="1F010A8F" w14:textId="77777777" w:rsidTr="006C5F48">
        <w:trPr>
          <w:trHeight w:val="242"/>
        </w:trPr>
        <w:tc>
          <w:tcPr>
            <w:tcW w:w="846" w:type="dxa"/>
            <w:vMerge/>
            <w:tcBorders>
              <w:tl2br w:val="single" w:sz="4" w:space="0" w:color="auto"/>
            </w:tcBorders>
            <w:shd w:val="clear" w:color="auto" w:fill="00B0F0"/>
          </w:tcPr>
          <w:p w14:paraId="4A85E401" w14:textId="77777777" w:rsidR="003F5A17" w:rsidRPr="00FD08E2" w:rsidRDefault="003F5A17" w:rsidP="003D427F">
            <w:pPr>
              <w:ind w:right="-755"/>
              <w:rPr>
                <w:rFonts w:ascii="Times New Roman" w:hAnsi="Times New Roman" w:cs="Times New Roman"/>
                <w:b/>
                <w:bCs/>
                <w:sz w:val="18"/>
                <w:szCs w:val="18"/>
                <w:lang w:val="ro-RO"/>
              </w:rPr>
            </w:pPr>
          </w:p>
        </w:tc>
        <w:tc>
          <w:tcPr>
            <w:tcW w:w="2551" w:type="dxa"/>
            <w:gridSpan w:val="4"/>
            <w:shd w:val="clear" w:color="auto" w:fill="00B0F0"/>
          </w:tcPr>
          <w:p w14:paraId="0D88D57B" w14:textId="77777777" w:rsidR="003F5A17" w:rsidRPr="00FD08E2" w:rsidRDefault="003F5A17" w:rsidP="003D427F">
            <w:pPr>
              <w:spacing w:before="40" w:after="4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Direcția Conformitate, inclusiv șeful DGSC</w:t>
            </w:r>
          </w:p>
        </w:tc>
        <w:tc>
          <w:tcPr>
            <w:tcW w:w="2127" w:type="dxa"/>
            <w:gridSpan w:val="4"/>
            <w:shd w:val="clear" w:color="auto" w:fill="00B0F0"/>
          </w:tcPr>
          <w:p w14:paraId="55727E5D" w14:textId="77777777" w:rsidR="003F5A17" w:rsidRPr="00FD08E2" w:rsidRDefault="003F5A17" w:rsidP="003D427F">
            <w:pPr>
              <w:spacing w:before="40" w:after="4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Direcția prevenire, supraveghere și evidență</w:t>
            </w:r>
          </w:p>
        </w:tc>
        <w:tc>
          <w:tcPr>
            <w:tcW w:w="2551" w:type="dxa"/>
            <w:gridSpan w:val="4"/>
            <w:vMerge/>
            <w:shd w:val="clear" w:color="auto" w:fill="00B0F0"/>
          </w:tcPr>
          <w:p w14:paraId="246695D8" w14:textId="77777777" w:rsidR="003F5A17" w:rsidRPr="00FD08E2" w:rsidRDefault="003F5A17" w:rsidP="003D427F">
            <w:pPr>
              <w:ind w:right="-755"/>
              <w:rPr>
                <w:rFonts w:ascii="Times New Roman" w:hAnsi="Times New Roman" w:cs="Times New Roman"/>
                <w:b/>
                <w:bCs/>
                <w:sz w:val="18"/>
                <w:szCs w:val="18"/>
                <w:lang w:val="ro-RO"/>
              </w:rPr>
            </w:pPr>
          </w:p>
        </w:tc>
        <w:tc>
          <w:tcPr>
            <w:tcW w:w="2410" w:type="dxa"/>
            <w:gridSpan w:val="4"/>
            <w:vMerge/>
            <w:shd w:val="clear" w:color="auto" w:fill="00B0F0"/>
          </w:tcPr>
          <w:p w14:paraId="0E8F5411" w14:textId="77777777" w:rsidR="003F5A17" w:rsidRPr="00FD08E2" w:rsidRDefault="003F5A17" w:rsidP="003D427F">
            <w:pPr>
              <w:ind w:right="-755"/>
              <w:rPr>
                <w:rFonts w:ascii="Times New Roman" w:hAnsi="Times New Roman" w:cs="Times New Roman"/>
                <w:b/>
                <w:bCs/>
                <w:sz w:val="18"/>
                <w:szCs w:val="18"/>
                <w:lang w:val="ro-RO"/>
              </w:rPr>
            </w:pPr>
          </w:p>
        </w:tc>
        <w:tc>
          <w:tcPr>
            <w:tcW w:w="2410" w:type="dxa"/>
            <w:gridSpan w:val="4"/>
            <w:vMerge/>
            <w:shd w:val="clear" w:color="auto" w:fill="00B0F0"/>
          </w:tcPr>
          <w:p w14:paraId="2B98C66D" w14:textId="77777777" w:rsidR="003F5A17" w:rsidRPr="00FD08E2" w:rsidRDefault="003F5A17" w:rsidP="003D427F">
            <w:pPr>
              <w:ind w:right="-755"/>
              <w:rPr>
                <w:rFonts w:ascii="Times New Roman" w:hAnsi="Times New Roman" w:cs="Times New Roman"/>
                <w:b/>
                <w:bCs/>
                <w:sz w:val="18"/>
                <w:szCs w:val="18"/>
                <w:lang w:val="ro-RO"/>
              </w:rPr>
            </w:pPr>
          </w:p>
        </w:tc>
      </w:tr>
      <w:tr w:rsidR="00C83CB5" w:rsidRPr="00FD08E2" w14:paraId="7DB49D12" w14:textId="77777777" w:rsidTr="006C5F48">
        <w:trPr>
          <w:cantSplit/>
          <w:trHeight w:val="1399"/>
        </w:trPr>
        <w:tc>
          <w:tcPr>
            <w:tcW w:w="846" w:type="dxa"/>
            <w:vMerge/>
            <w:tcBorders>
              <w:tl2br w:val="single" w:sz="4" w:space="0" w:color="auto"/>
            </w:tcBorders>
            <w:shd w:val="clear" w:color="auto" w:fill="00B0F0"/>
          </w:tcPr>
          <w:p w14:paraId="05FEC3F4" w14:textId="77777777" w:rsidR="003F5A17" w:rsidRPr="00FD08E2" w:rsidRDefault="003F5A17" w:rsidP="003D427F">
            <w:pPr>
              <w:ind w:right="-755"/>
              <w:rPr>
                <w:rFonts w:ascii="Times New Roman" w:hAnsi="Times New Roman" w:cs="Times New Roman"/>
                <w:b/>
                <w:bCs/>
                <w:sz w:val="18"/>
                <w:szCs w:val="18"/>
                <w:lang w:val="ro-RO"/>
              </w:rPr>
            </w:pPr>
          </w:p>
        </w:tc>
        <w:tc>
          <w:tcPr>
            <w:tcW w:w="567" w:type="dxa"/>
            <w:shd w:val="clear" w:color="auto" w:fill="00B0F0"/>
            <w:textDirection w:val="btLr"/>
          </w:tcPr>
          <w:p w14:paraId="19B01D5E"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 xml:space="preserve">Unități </w:t>
            </w:r>
          </w:p>
          <w:p w14:paraId="14635BB2" w14:textId="05F33E47" w:rsidR="003F5A17" w:rsidRPr="00FD08E2" w:rsidRDefault="00C44A50" w:rsidP="003D427F">
            <w:pPr>
              <w:ind w:left="113" w:right="-754"/>
              <w:rPr>
                <w:rFonts w:ascii="Times New Roman" w:hAnsi="Times New Roman" w:cs="Times New Roman"/>
                <w:b/>
                <w:bCs/>
                <w:sz w:val="18"/>
                <w:szCs w:val="18"/>
                <w:lang w:val="ro-RO"/>
              </w:rPr>
            </w:pPr>
            <w:r>
              <w:rPr>
                <w:rFonts w:ascii="Times New Roman" w:hAnsi="Times New Roman" w:cs="Times New Roman"/>
                <w:b/>
                <w:bCs/>
                <w:sz w:val="18"/>
                <w:szCs w:val="18"/>
                <w:lang w:val="ro-RO"/>
              </w:rPr>
              <w:t>a</w:t>
            </w:r>
            <w:r w:rsidR="003F5A17" w:rsidRPr="00FD08E2">
              <w:rPr>
                <w:rFonts w:ascii="Times New Roman" w:hAnsi="Times New Roman" w:cs="Times New Roman"/>
                <w:b/>
                <w:bCs/>
                <w:sz w:val="18"/>
                <w:szCs w:val="18"/>
                <w:lang w:val="ro-RO"/>
              </w:rPr>
              <w:t>probate</w:t>
            </w:r>
          </w:p>
        </w:tc>
        <w:tc>
          <w:tcPr>
            <w:tcW w:w="709" w:type="dxa"/>
            <w:shd w:val="clear" w:color="auto" w:fill="00B0F0"/>
            <w:textDirection w:val="btLr"/>
          </w:tcPr>
          <w:p w14:paraId="42C16626"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 xml:space="preserve">Efectiv </w:t>
            </w:r>
          </w:p>
          <w:p w14:paraId="10789946" w14:textId="5FA8E6DC" w:rsidR="003F5A17" w:rsidRPr="00FD08E2" w:rsidRDefault="00C44A50" w:rsidP="003D427F">
            <w:pPr>
              <w:ind w:left="113" w:right="-754"/>
              <w:rPr>
                <w:rFonts w:ascii="Times New Roman" w:hAnsi="Times New Roman" w:cs="Times New Roman"/>
                <w:b/>
                <w:bCs/>
                <w:sz w:val="18"/>
                <w:szCs w:val="18"/>
                <w:lang w:val="ro-RO"/>
              </w:rPr>
            </w:pPr>
            <w:r>
              <w:rPr>
                <w:rFonts w:ascii="Times New Roman" w:hAnsi="Times New Roman" w:cs="Times New Roman"/>
                <w:b/>
                <w:bCs/>
                <w:sz w:val="18"/>
                <w:szCs w:val="18"/>
                <w:lang w:val="ro-RO"/>
              </w:rPr>
              <w:t>î</w:t>
            </w:r>
            <w:r w:rsidR="003F5A17" w:rsidRPr="00FD08E2">
              <w:rPr>
                <w:rFonts w:ascii="Times New Roman" w:hAnsi="Times New Roman" w:cs="Times New Roman"/>
                <w:b/>
                <w:bCs/>
                <w:sz w:val="18"/>
                <w:szCs w:val="18"/>
                <w:lang w:val="ro-RO"/>
              </w:rPr>
              <w:t>ncadrate</w:t>
            </w:r>
          </w:p>
        </w:tc>
        <w:tc>
          <w:tcPr>
            <w:tcW w:w="567" w:type="dxa"/>
            <w:shd w:val="clear" w:color="auto" w:fill="00B0F0"/>
            <w:textDirection w:val="btLr"/>
          </w:tcPr>
          <w:p w14:paraId="7D9CC142"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Funcții vacante</w:t>
            </w:r>
          </w:p>
        </w:tc>
        <w:tc>
          <w:tcPr>
            <w:tcW w:w="708" w:type="dxa"/>
            <w:shd w:val="clear" w:color="auto" w:fill="00B0F0"/>
            <w:textDirection w:val="btLr"/>
          </w:tcPr>
          <w:p w14:paraId="01AEEEFA"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 xml:space="preserve">Gradul </w:t>
            </w:r>
          </w:p>
          <w:p w14:paraId="2F1292CF"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de ocupare, %</w:t>
            </w:r>
          </w:p>
        </w:tc>
        <w:tc>
          <w:tcPr>
            <w:tcW w:w="567" w:type="dxa"/>
            <w:shd w:val="clear" w:color="auto" w:fill="00B0F0"/>
            <w:textDirection w:val="btLr"/>
          </w:tcPr>
          <w:p w14:paraId="7696EC8F"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 xml:space="preserve">Unități </w:t>
            </w:r>
          </w:p>
          <w:p w14:paraId="16FE273B"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aprobate</w:t>
            </w:r>
          </w:p>
        </w:tc>
        <w:tc>
          <w:tcPr>
            <w:tcW w:w="567" w:type="dxa"/>
            <w:shd w:val="clear" w:color="auto" w:fill="00B0F0"/>
            <w:textDirection w:val="btLr"/>
          </w:tcPr>
          <w:p w14:paraId="2F33D0E3"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 xml:space="preserve">Efectiv </w:t>
            </w:r>
          </w:p>
          <w:p w14:paraId="71E14EC2"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încadrate</w:t>
            </w:r>
          </w:p>
        </w:tc>
        <w:tc>
          <w:tcPr>
            <w:tcW w:w="426" w:type="dxa"/>
            <w:shd w:val="clear" w:color="auto" w:fill="00B0F0"/>
            <w:textDirection w:val="btLr"/>
          </w:tcPr>
          <w:p w14:paraId="6B974E74"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Funcții vacante</w:t>
            </w:r>
          </w:p>
        </w:tc>
        <w:tc>
          <w:tcPr>
            <w:tcW w:w="567" w:type="dxa"/>
            <w:shd w:val="clear" w:color="auto" w:fill="00B0F0"/>
            <w:textDirection w:val="btLr"/>
          </w:tcPr>
          <w:p w14:paraId="26A99A39"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 xml:space="preserve">Gradul </w:t>
            </w:r>
          </w:p>
          <w:p w14:paraId="538E4DB4"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de ocupare, %</w:t>
            </w:r>
          </w:p>
        </w:tc>
        <w:tc>
          <w:tcPr>
            <w:tcW w:w="708" w:type="dxa"/>
            <w:shd w:val="clear" w:color="auto" w:fill="00B0F0"/>
            <w:textDirection w:val="btLr"/>
          </w:tcPr>
          <w:p w14:paraId="1547D9CB"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 xml:space="preserve">Unități </w:t>
            </w:r>
          </w:p>
          <w:p w14:paraId="007B0DB4"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aprobate</w:t>
            </w:r>
          </w:p>
        </w:tc>
        <w:tc>
          <w:tcPr>
            <w:tcW w:w="567" w:type="dxa"/>
            <w:shd w:val="clear" w:color="auto" w:fill="00B0F0"/>
            <w:textDirection w:val="btLr"/>
          </w:tcPr>
          <w:p w14:paraId="0BC95469"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 xml:space="preserve">Efectiv </w:t>
            </w:r>
          </w:p>
          <w:p w14:paraId="45B80574"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încadrate</w:t>
            </w:r>
          </w:p>
        </w:tc>
        <w:tc>
          <w:tcPr>
            <w:tcW w:w="567" w:type="dxa"/>
            <w:shd w:val="clear" w:color="auto" w:fill="00B0F0"/>
            <w:textDirection w:val="btLr"/>
          </w:tcPr>
          <w:p w14:paraId="3FB61928"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Funcții vacante</w:t>
            </w:r>
          </w:p>
        </w:tc>
        <w:tc>
          <w:tcPr>
            <w:tcW w:w="709" w:type="dxa"/>
            <w:shd w:val="clear" w:color="auto" w:fill="00B0F0"/>
            <w:textDirection w:val="btLr"/>
          </w:tcPr>
          <w:p w14:paraId="47EFE5CD"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 xml:space="preserve">Gradul </w:t>
            </w:r>
          </w:p>
          <w:p w14:paraId="594FD43F"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de ocupare, %</w:t>
            </w:r>
          </w:p>
        </w:tc>
        <w:tc>
          <w:tcPr>
            <w:tcW w:w="567" w:type="dxa"/>
            <w:shd w:val="clear" w:color="auto" w:fill="00B0F0"/>
            <w:textDirection w:val="btLr"/>
          </w:tcPr>
          <w:p w14:paraId="668E4881"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 xml:space="preserve">Unități </w:t>
            </w:r>
          </w:p>
          <w:p w14:paraId="7B8071F9"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aprobate</w:t>
            </w:r>
          </w:p>
        </w:tc>
        <w:tc>
          <w:tcPr>
            <w:tcW w:w="709" w:type="dxa"/>
            <w:shd w:val="clear" w:color="auto" w:fill="00B0F0"/>
            <w:textDirection w:val="btLr"/>
          </w:tcPr>
          <w:p w14:paraId="09A159FE"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 xml:space="preserve">Efectiv </w:t>
            </w:r>
          </w:p>
          <w:p w14:paraId="0E06148E"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încadrate</w:t>
            </w:r>
          </w:p>
        </w:tc>
        <w:tc>
          <w:tcPr>
            <w:tcW w:w="567" w:type="dxa"/>
            <w:shd w:val="clear" w:color="auto" w:fill="00B0F0"/>
            <w:textDirection w:val="btLr"/>
          </w:tcPr>
          <w:p w14:paraId="1A4F56AB"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Funcții vacante</w:t>
            </w:r>
          </w:p>
        </w:tc>
        <w:tc>
          <w:tcPr>
            <w:tcW w:w="567" w:type="dxa"/>
            <w:shd w:val="clear" w:color="auto" w:fill="00B0F0"/>
            <w:textDirection w:val="btLr"/>
          </w:tcPr>
          <w:p w14:paraId="70BC91BE"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 xml:space="preserve">Gradul </w:t>
            </w:r>
          </w:p>
          <w:p w14:paraId="0D302C00"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de ocupare, %</w:t>
            </w:r>
          </w:p>
        </w:tc>
        <w:tc>
          <w:tcPr>
            <w:tcW w:w="567" w:type="dxa"/>
            <w:shd w:val="clear" w:color="auto" w:fill="00B0F0"/>
            <w:textDirection w:val="btLr"/>
          </w:tcPr>
          <w:p w14:paraId="0C14A6CA"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 xml:space="preserve">Unități </w:t>
            </w:r>
          </w:p>
          <w:p w14:paraId="0F4F3BFF"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aprobate</w:t>
            </w:r>
          </w:p>
        </w:tc>
        <w:tc>
          <w:tcPr>
            <w:tcW w:w="567" w:type="dxa"/>
            <w:shd w:val="clear" w:color="auto" w:fill="00B0F0"/>
            <w:textDirection w:val="btLr"/>
          </w:tcPr>
          <w:p w14:paraId="6DBD6A58"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 xml:space="preserve">Efectiv </w:t>
            </w:r>
          </w:p>
          <w:p w14:paraId="16A5A177"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încadrate</w:t>
            </w:r>
          </w:p>
        </w:tc>
        <w:tc>
          <w:tcPr>
            <w:tcW w:w="425" w:type="dxa"/>
            <w:shd w:val="clear" w:color="auto" w:fill="00B0F0"/>
            <w:textDirection w:val="btLr"/>
          </w:tcPr>
          <w:p w14:paraId="6B30107E"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Funcții vacante</w:t>
            </w:r>
          </w:p>
        </w:tc>
        <w:tc>
          <w:tcPr>
            <w:tcW w:w="851" w:type="dxa"/>
            <w:shd w:val="clear" w:color="auto" w:fill="00B0F0"/>
            <w:textDirection w:val="btLr"/>
          </w:tcPr>
          <w:p w14:paraId="2DF5AFCE"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 xml:space="preserve">Gradul </w:t>
            </w:r>
          </w:p>
          <w:p w14:paraId="45663964" w14:textId="77777777" w:rsidR="003F5A17" w:rsidRPr="00FD08E2" w:rsidRDefault="003F5A17" w:rsidP="003D427F">
            <w:pPr>
              <w:ind w:left="113" w:right="-754"/>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de ocupare, %</w:t>
            </w:r>
          </w:p>
        </w:tc>
      </w:tr>
      <w:tr w:rsidR="00E86DEA" w:rsidRPr="00FD08E2" w14:paraId="737AD084" w14:textId="77777777" w:rsidTr="006C5F48">
        <w:tc>
          <w:tcPr>
            <w:tcW w:w="846" w:type="dxa"/>
            <w:shd w:val="clear" w:color="auto" w:fill="auto"/>
          </w:tcPr>
          <w:p w14:paraId="14FAC363" w14:textId="77777777" w:rsidR="003F5A17" w:rsidRPr="00224B66" w:rsidRDefault="00D4082B" w:rsidP="00D160B5">
            <w:pPr>
              <w:spacing w:before="120"/>
              <w:ind w:right="-567"/>
              <w:rPr>
                <w:rFonts w:ascii="Times New Roman" w:hAnsi="Times New Roman" w:cs="Times New Roman"/>
                <w:bCs/>
                <w:i/>
                <w:sz w:val="18"/>
                <w:szCs w:val="18"/>
                <w:lang w:val="ro-RO"/>
              </w:rPr>
            </w:pPr>
            <w:r w:rsidRPr="00224B66">
              <w:rPr>
                <w:rFonts w:ascii="Times New Roman" w:hAnsi="Times New Roman" w:cs="Times New Roman"/>
                <w:bCs/>
                <w:i/>
                <w:sz w:val="18"/>
                <w:szCs w:val="18"/>
                <w:lang w:val="ro-RO"/>
              </w:rPr>
              <w:t>1</w:t>
            </w:r>
          </w:p>
        </w:tc>
        <w:tc>
          <w:tcPr>
            <w:tcW w:w="567" w:type="dxa"/>
            <w:shd w:val="clear" w:color="auto" w:fill="auto"/>
          </w:tcPr>
          <w:p w14:paraId="73266C93" w14:textId="77777777" w:rsidR="003F5A17" w:rsidRPr="00224B66" w:rsidRDefault="00D4082B" w:rsidP="00D160B5">
            <w:pPr>
              <w:spacing w:before="120"/>
              <w:ind w:right="-755"/>
              <w:rPr>
                <w:rFonts w:ascii="Times New Roman" w:hAnsi="Times New Roman" w:cs="Times New Roman"/>
                <w:i/>
                <w:sz w:val="18"/>
                <w:szCs w:val="18"/>
                <w:lang w:val="ro-RO"/>
              </w:rPr>
            </w:pPr>
            <w:r w:rsidRPr="00224B66">
              <w:rPr>
                <w:rFonts w:ascii="Times New Roman" w:hAnsi="Times New Roman" w:cs="Times New Roman"/>
                <w:i/>
                <w:sz w:val="18"/>
                <w:szCs w:val="18"/>
                <w:lang w:val="ro-RO"/>
              </w:rPr>
              <w:t>2</w:t>
            </w:r>
          </w:p>
        </w:tc>
        <w:tc>
          <w:tcPr>
            <w:tcW w:w="709" w:type="dxa"/>
            <w:shd w:val="clear" w:color="auto" w:fill="auto"/>
          </w:tcPr>
          <w:p w14:paraId="24204BC6" w14:textId="77777777" w:rsidR="003F5A17" w:rsidRPr="00224B66" w:rsidRDefault="00D4082B" w:rsidP="00D160B5">
            <w:pPr>
              <w:spacing w:before="120"/>
              <w:ind w:right="-755"/>
              <w:rPr>
                <w:rFonts w:ascii="Times New Roman" w:hAnsi="Times New Roman" w:cs="Times New Roman"/>
                <w:i/>
                <w:sz w:val="18"/>
                <w:szCs w:val="18"/>
                <w:lang w:val="ro-RO"/>
              </w:rPr>
            </w:pPr>
            <w:r w:rsidRPr="00224B66">
              <w:rPr>
                <w:rFonts w:ascii="Times New Roman" w:hAnsi="Times New Roman" w:cs="Times New Roman"/>
                <w:i/>
                <w:sz w:val="18"/>
                <w:szCs w:val="18"/>
                <w:lang w:val="ro-RO"/>
              </w:rPr>
              <w:t>3</w:t>
            </w:r>
          </w:p>
        </w:tc>
        <w:tc>
          <w:tcPr>
            <w:tcW w:w="567" w:type="dxa"/>
            <w:shd w:val="clear" w:color="auto" w:fill="auto"/>
          </w:tcPr>
          <w:p w14:paraId="0607B4E3" w14:textId="77777777" w:rsidR="003F5A17" w:rsidRPr="00224B66" w:rsidRDefault="00D4082B" w:rsidP="00D160B5">
            <w:pPr>
              <w:spacing w:before="120"/>
              <w:ind w:right="-755"/>
              <w:rPr>
                <w:rFonts w:ascii="Times New Roman" w:hAnsi="Times New Roman" w:cs="Times New Roman"/>
                <w:bCs/>
                <w:i/>
                <w:sz w:val="18"/>
                <w:szCs w:val="18"/>
                <w:lang w:val="ro-RO"/>
              </w:rPr>
            </w:pPr>
            <w:r w:rsidRPr="00224B66">
              <w:rPr>
                <w:rFonts w:ascii="Times New Roman" w:hAnsi="Times New Roman" w:cs="Times New Roman"/>
                <w:bCs/>
                <w:i/>
                <w:sz w:val="18"/>
                <w:szCs w:val="18"/>
                <w:lang w:val="ro-RO"/>
              </w:rPr>
              <w:t>4</w:t>
            </w:r>
          </w:p>
        </w:tc>
        <w:tc>
          <w:tcPr>
            <w:tcW w:w="708" w:type="dxa"/>
            <w:shd w:val="clear" w:color="auto" w:fill="auto"/>
          </w:tcPr>
          <w:p w14:paraId="70B326A7" w14:textId="77777777" w:rsidR="003F5A17" w:rsidRPr="00224B66" w:rsidRDefault="00D4082B" w:rsidP="00D160B5">
            <w:pPr>
              <w:spacing w:before="120"/>
              <w:ind w:right="-755"/>
              <w:rPr>
                <w:rFonts w:ascii="Times New Roman" w:hAnsi="Times New Roman" w:cs="Times New Roman"/>
                <w:i/>
                <w:sz w:val="18"/>
                <w:szCs w:val="18"/>
                <w:lang w:val="ro-RO"/>
              </w:rPr>
            </w:pPr>
            <w:r w:rsidRPr="00224B66">
              <w:rPr>
                <w:rFonts w:ascii="Times New Roman" w:hAnsi="Times New Roman" w:cs="Times New Roman"/>
                <w:i/>
                <w:sz w:val="18"/>
                <w:szCs w:val="18"/>
                <w:lang w:val="ro-RO"/>
              </w:rPr>
              <w:t>5</w:t>
            </w:r>
          </w:p>
        </w:tc>
        <w:tc>
          <w:tcPr>
            <w:tcW w:w="567" w:type="dxa"/>
            <w:shd w:val="clear" w:color="auto" w:fill="auto"/>
          </w:tcPr>
          <w:p w14:paraId="23DECBBB" w14:textId="77777777" w:rsidR="003F5A17" w:rsidRPr="00224B66" w:rsidRDefault="00D4082B" w:rsidP="00D160B5">
            <w:pPr>
              <w:spacing w:before="120"/>
              <w:ind w:right="-755"/>
              <w:rPr>
                <w:rFonts w:ascii="Times New Roman" w:hAnsi="Times New Roman" w:cs="Times New Roman"/>
                <w:i/>
                <w:sz w:val="18"/>
                <w:szCs w:val="18"/>
                <w:lang w:val="ro-RO"/>
              </w:rPr>
            </w:pPr>
            <w:r w:rsidRPr="00224B66">
              <w:rPr>
                <w:rFonts w:ascii="Times New Roman" w:hAnsi="Times New Roman" w:cs="Times New Roman"/>
                <w:i/>
                <w:sz w:val="18"/>
                <w:szCs w:val="18"/>
                <w:lang w:val="ro-RO"/>
              </w:rPr>
              <w:t>6</w:t>
            </w:r>
          </w:p>
        </w:tc>
        <w:tc>
          <w:tcPr>
            <w:tcW w:w="567" w:type="dxa"/>
            <w:shd w:val="clear" w:color="auto" w:fill="auto"/>
          </w:tcPr>
          <w:p w14:paraId="353A908A" w14:textId="77777777" w:rsidR="003F5A17" w:rsidRPr="00224B66" w:rsidRDefault="00D4082B" w:rsidP="00D160B5">
            <w:pPr>
              <w:spacing w:before="120"/>
              <w:ind w:right="-755"/>
              <w:rPr>
                <w:rFonts w:ascii="Times New Roman" w:hAnsi="Times New Roman" w:cs="Times New Roman"/>
                <w:i/>
                <w:sz w:val="18"/>
                <w:szCs w:val="18"/>
                <w:lang w:val="ro-RO"/>
              </w:rPr>
            </w:pPr>
            <w:r w:rsidRPr="00224B66">
              <w:rPr>
                <w:rFonts w:ascii="Times New Roman" w:hAnsi="Times New Roman" w:cs="Times New Roman"/>
                <w:i/>
                <w:sz w:val="18"/>
                <w:szCs w:val="18"/>
                <w:lang w:val="ro-RO"/>
              </w:rPr>
              <w:t>7</w:t>
            </w:r>
          </w:p>
        </w:tc>
        <w:tc>
          <w:tcPr>
            <w:tcW w:w="426" w:type="dxa"/>
            <w:shd w:val="clear" w:color="auto" w:fill="auto"/>
          </w:tcPr>
          <w:p w14:paraId="22C7BC2D" w14:textId="77777777" w:rsidR="003F5A17" w:rsidRPr="00224B66" w:rsidRDefault="00D4082B" w:rsidP="00D160B5">
            <w:pPr>
              <w:spacing w:before="120"/>
              <w:ind w:right="-755"/>
              <w:rPr>
                <w:rFonts w:ascii="Times New Roman" w:hAnsi="Times New Roman" w:cs="Times New Roman"/>
                <w:bCs/>
                <w:i/>
                <w:sz w:val="18"/>
                <w:szCs w:val="18"/>
                <w:lang w:val="ro-RO"/>
              </w:rPr>
            </w:pPr>
            <w:r w:rsidRPr="00224B66">
              <w:rPr>
                <w:rFonts w:ascii="Times New Roman" w:hAnsi="Times New Roman" w:cs="Times New Roman"/>
                <w:bCs/>
                <w:i/>
                <w:sz w:val="18"/>
                <w:szCs w:val="18"/>
                <w:lang w:val="ro-RO"/>
              </w:rPr>
              <w:t>8</w:t>
            </w:r>
          </w:p>
        </w:tc>
        <w:tc>
          <w:tcPr>
            <w:tcW w:w="567" w:type="dxa"/>
            <w:shd w:val="clear" w:color="auto" w:fill="auto"/>
          </w:tcPr>
          <w:p w14:paraId="638ACD1B" w14:textId="77777777" w:rsidR="003F5A17" w:rsidRPr="00224B66" w:rsidRDefault="00D4082B" w:rsidP="00D160B5">
            <w:pPr>
              <w:spacing w:before="120"/>
              <w:ind w:right="-755"/>
              <w:rPr>
                <w:rFonts w:ascii="Times New Roman" w:hAnsi="Times New Roman" w:cs="Times New Roman"/>
                <w:i/>
                <w:sz w:val="18"/>
                <w:szCs w:val="18"/>
                <w:lang w:val="ro-RO"/>
              </w:rPr>
            </w:pPr>
            <w:r w:rsidRPr="00224B66">
              <w:rPr>
                <w:rFonts w:ascii="Times New Roman" w:hAnsi="Times New Roman" w:cs="Times New Roman"/>
                <w:i/>
                <w:sz w:val="18"/>
                <w:szCs w:val="18"/>
                <w:lang w:val="ro-RO"/>
              </w:rPr>
              <w:t>9</w:t>
            </w:r>
          </w:p>
        </w:tc>
        <w:tc>
          <w:tcPr>
            <w:tcW w:w="708" w:type="dxa"/>
            <w:shd w:val="clear" w:color="auto" w:fill="auto"/>
          </w:tcPr>
          <w:p w14:paraId="5EEB7EF1" w14:textId="77777777" w:rsidR="003F5A17" w:rsidRPr="00224B66" w:rsidRDefault="00D4082B" w:rsidP="00D160B5">
            <w:pPr>
              <w:spacing w:before="120"/>
              <w:ind w:right="-755"/>
              <w:rPr>
                <w:rFonts w:ascii="Times New Roman" w:hAnsi="Times New Roman" w:cs="Times New Roman"/>
                <w:i/>
                <w:sz w:val="18"/>
                <w:szCs w:val="18"/>
                <w:lang w:val="ro-RO"/>
              </w:rPr>
            </w:pPr>
            <w:r w:rsidRPr="00224B66">
              <w:rPr>
                <w:rFonts w:ascii="Times New Roman" w:hAnsi="Times New Roman" w:cs="Times New Roman"/>
                <w:i/>
                <w:sz w:val="18"/>
                <w:szCs w:val="18"/>
                <w:lang w:val="ro-RO"/>
              </w:rPr>
              <w:t>10</w:t>
            </w:r>
          </w:p>
        </w:tc>
        <w:tc>
          <w:tcPr>
            <w:tcW w:w="567" w:type="dxa"/>
            <w:shd w:val="clear" w:color="auto" w:fill="auto"/>
          </w:tcPr>
          <w:p w14:paraId="0B71C03E" w14:textId="77777777" w:rsidR="003F5A17" w:rsidRPr="00224B66" w:rsidRDefault="00D4082B" w:rsidP="00D160B5">
            <w:pPr>
              <w:spacing w:before="120"/>
              <w:ind w:right="-755"/>
              <w:rPr>
                <w:rFonts w:ascii="Times New Roman" w:hAnsi="Times New Roman" w:cs="Times New Roman"/>
                <w:i/>
                <w:sz w:val="18"/>
                <w:szCs w:val="18"/>
                <w:lang w:val="ro-RO"/>
              </w:rPr>
            </w:pPr>
            <w:r w:rsidRPr="00224B66">
              <w:rPr>
                <w:rFonts w:ascii="Times New Roman" w:hAnsi="Times New Roman" w:cs="Times New Roman"/>
                <w:i/>
                <w:sz w:val="18"/>
                <w:szCs w:val="18"/>
                <w:lang w:val="ro-RO"/>
              </w:rPr>
              <w:t>11</w:t>
            </w:r>
          </w:p>
        </w:tc>
        <w:tc>
          <w:tcPr>
            <w:tcW w:w="567" w:type="dxa"/>
            <w:shd w:val="clear" w:color="auto" w:fill="auto"/>
          </w:tcPr>
          <w:p w14:paraId="25E8B216" w14:textId="77777777" w:rsidR="003F5A17" w:rsidRPr="00224B66" w:rsidRDefault="00D4082B" w:rsidP="00D160B5">
            <w:pPr>
              <w:spacing w:before="120"/>
              <w:ind w:right="-755"/>
              <w:rPr>
                <w:rFonts w:ascii="Times New Roman" w:hAnsi="Times New Roman" w:cs="Times New Roman"/>
                <w:bCs/>
                <w:i/>
                <w:sz w:val="18"/>
                <w:szCs w:val="18"/>
                <w:lang w:val="ro-RO"/>
              </w:rPr>
            </w:pPr>
            <w:r w:rsidRPr="00224B66">
              <w:rPr>
                <w:rFonts w:ascii="Times New Roman" w:hAnsi="Times New Roman" w:cs="Times New Roman"/>
                <w:bCs/>
                <w:i/>
                <w:sz w:val="18"/>
                <w:szCs w:val="18"/>
                <w:lang w:val="ro-RO"/>
              </w:rPr>
              <w:t>12</w:t>
            </w:r>
          </w:p>
        </w:tc>
        <w:tc>
          <w:tcPr>
            <w:tcW w:w="709" w:type="dxa"/>
            <w:shd w:val="clear" w:color="auto" w:fill="auto"/>
          </w:tcPr>
          <w:p w14:paraId="6B04CC3B" w14:textId="77777777" w:rsidR="003F5A17" w:rsidRPr="00224B66" w:rsidRDefault="00D4082B" w:rsidP="00D160B5">
            <w:pPr>
              <w:spacing w:before="120"/>
              <w:ind w:right="-755"/>
              <w:rPr>
                <w:rFonts w:ascii="Times New Roman" w:hAnsi="Times New Roman" w:cs="Times New Roman"/>
                <w:i/>
                <w:sz w:val="18"/>
                <w:szCs w:val="18"/>
                <w:lang w:val="ro-RO"/>
              </w:rPr>
            </w:pPr>
            <w:r w:rsidRPr="00224B66">
              <w:rPr>
                <w:rFonts w:ascii="Times New Roman" w:hAnsi="Times New Roman" w:cs="Times New Roman"/>
                <w:i/>
                <w:sz w:val="18"/>
                <w:szCs w:val="18"/>
                <w:lang w:val="ro-RO"/>
              </w:rPr>
              <w:t>13</w:t>
            </w:r>
          </w:p>
        </w:tc>
        <w:tc>
          <w:tcPr>
            <w:tcW w:w="567" w:type="dxa"/>
            <w:shd w:val="clear" w:color="auto" w:fill="auto"/>
          </w:tcPr>
          <w:p w14:paraId="321BF642" w14:textId="77777777" w:rsidR="003F5A17" w:rsidRPr="00224B66" w:rsidRDefault="00D4082B" w:rsidP="00D160B5">
            <w:pPr>
              <w:spacing w:before="120"/>
              <w:ind w:right="-755"/>
              <w:rPr>
                <w:rFonts w:ascii="Times New Roman" w:hAnsi="Times New Roman" w:cs="Times New Roman"/>
                <w:i/>
                <w:sz w:val="18"/>
                <w:szCs w:val="18"/>
                <w:lang w:val="ro-RO"/>
              </w:rPr>
            </w:pPr>
            <w:r w:rsidRPr="00224B66">
              <w:rPr>
                <w:rFonts w:ascii="Times New Roman" w:hAnsi="Times New Roman" w:cs="Times New Roman"/>
                <w:i/>
                <w:sz w:val="18"/>
                <w:szCs w:val="18"/>
                <w:lang w:val="ro-RO"/>
              </w:rPr>
              <w:t>14</w:t>
            </w:r>
          </w:p>
        </w:tc>
        <w:tc>
          <w:tcPr>
            <w:tcW w:w="709" w:type="dxa"/>
            <w:shd w:val="clear" w:color="auto" w:fill="auto"/>
          </w:tcPr>
          <w:p w14:paraId="75C32182" w14:textId="77777777" w:rsidR="003F5A17" w:rsidRPr="00224B66" w:rsidRDefault="00D4082B" w:rsidP="00D160B5">
            <w:pPr>
              <w:spacing w:before="120"/>
              <w:ind w:right="-755"/>
              <w:rPr>
                <w:rFonts w:ascii="Times New Roman" w:hAnsi="Times New Roman" w:cs="Times New Roman"/>
                <w:i/>
                <w:sz w:val="18"/>
                <w:szCs w:val="18"/>
                <w:lang w:val="ro-RO"/>
              </w:rPr>
            </w:pPr>
            <w:r w:rsidRPr="00224B66">
              <w:rPr>
                <w:rFonts w:ascii="Times New Roman" w:hAnsi="Times New Roman" w:cs="Times New Roman"/>
                <w:i/>
                <w:sz w:val="18"/>
                <w:szCs w:val="18"/>
                <w:lang w:val="ro-RO"/>
              </w:rPr>
              <w:t>15</w:t>
            </w:r>
          </w:p>
        </w:tc>
        <w:tc>
          <w:tcPr>
            <w:tcW w:w="567" w:type="dxa"/>
            <w:shd w:val="clear" w:color="auto" w:fill="auto"/>
          </w:tcPr>
          <w:p w14:paraId="59E968C5" w14:textId="77777777" w:rsidR="003F5A17" w:rsidRPr="00224B66" w:rsidRDefault="00D4082B" w:rsidP="00D160B5">
            <w:pPr>
              <w:spacing w:before="120"/>
              <w:ind w:right="-755"/>
              <w:rPr>
                <w:rFonts w:ascii="Times New Roman" w:hAnsi="Times New Roman" w:cs="Times New Roman"/>
                <w:bCs/>
                <w:i/>
                <w:sz w:val="18"/>
                <w:szCs w:val="18"/>
                <w:lang w:val="ro-RO"/>
              </w:rPr>
            </w:pPr>
            <w:r w:rsidRPr="00224B66">
              <w:rPr>
                <w:rFonts w:ascii="Times New Roman" w:hAnsi="Times New Roman" w:cs="Times New Roman"/>
                <w:bCs/>
                <w:i/>
                <w:sz w:val="18"/>
                <w:szCs w:val="18"/>
                <w:lang w:val="ro-RO"/>
              </w:rPr>
              <w:t>16</w:t>
            </w:r>
          </w:p>
        </w:tc>
        <w:tc>
          <w:tcPr>
            <w:tcW w:w="567" w:type="dxa"/>
            <w:shd w:val="clear" w:color="auto" w:fill="auto"/>
          </w:tcPr>
          <w:p w14:paraId="6A6520CF" w14:textId="77777777" w:rsidR="003F5A17" w:rsidRPr="00224B66" w:rsidRDefault="00D4082B" w:rsidP="00D160B5">
            <w:pPr>
              <w:spacing w:before="120"/>
              <w:ind w:right="-755"/>
              <w:rPr>
                <w:rFonts w:ascii="Times New Roman" w:hAnsi="Times New Roman" w:cs="Times New Roman"/>
                <w:i/>
                <w:sz w:val="18"/>
                <w:szCs w:val="18"/>
                <w:lang w:val="ro-RO"/>
              </w:rPr>
            </w:pPr>
            <w:r w:rsidRPr="00224B66">
              <w:rPr>
                <w:rFonts w:ascii="Times New Roman" w:hAnsi="Times New Roman" w:cs="Times New Roman"/>
                <w:i/>
                <w:sz w:val="18"/>
                <w:szCs w:val="18"/>
                <w:lang w:val="ro-RO"/>
              </w:rPr>
              <w:t>17</w:t>
            </w:r>
          </w:p>
        </w:tc>
        <w:tc>
          <w:tcPr>
            <w:tcW w:w="567" w:type="dxa"/>
            <w:shd w:val="clear" w:color="auto" w:fill="auto"/>
          </w:tcPr>
          <w:p w14:paraId="44A89DD5" w14:textId="77777777" w:rsidR="003F5A17" w:rsidRPr="00224B66" w:rsidRDefault="00D4082B" w:rsidP="00D160B5">
            <w:pPr>
              <w:spacing w:before="120"/>
              <w:ind w:right="-755"/>
              <w:rPr>
                <w:rFonts w:ascii="Times New Roman" w:hAnsi="Times New Roman" w:cs="Times New Roman"/>
                <w:i/>
                <w:sz w:val="18"/>
                <w:szCs w:val="18"/>
                <w:lang w:val="ro-RO"/>
              </w:rPr>
            </w:pPr>
            <w:r w:rsidRPr="00224B66">
              <w:rPr>
                <w:rFonts w:ascii="Times New Roman" w:hAnsi="Times New Roman" w:cs="Times New Roman"/>
                <w:i/>
                <w:sz w:val="18"/>
                <w:szCs w:val="18"/>
                <w:lang w:val="ro-RO"/>
              </w:rPr>
              <w:t>18</w:t>
            </w:r>
          </w:p>
        </w:tc>
        <w:tc>
          <w:tcPr>
            <w:tcW w:w="567" w:type="dxa"/>
            <w:shd w:val="clear" w:color="auto" w:fill="auto"/>
          </w:tcPr>
          <w:p w14:paraId="13BBDF28" w14:textId="77777777" w:rsidR="003F5A17" w:rsidRPr="00224B66" w:rsidRDefault="00D4082B" w:rsidP="00D160B5">
            <w:pPr>
              <w:spacing w:before="120"/>
              <w:ind w:right="-755"/>
              <w:rPr>
                <w:rFonts w:ascii="Times New Roman" w:hAnsi="Times New Roman" w:cs="Times New Roman"/>
                <w:i/>
                <w:sz w:val="18"/>
                <w:szCs w:val="18"/>
                <w:lang w:val="ro-RO"/>
              </w:rPr>
            </w:pPr>
            <w:r w:rsidRPr="00224B66">
              <w:rPr>
                <w:rFonts w:ascii="Times New Roman" w:hAnsi="Times New Roman" w:cs="Times New Roman"/>
                <w:i/>
                <w:sz w:val="18"/>
                <w:szCs w:val="18"/>
                <w:lang w:val="ro-RO"/>
              </w:rPr>
              <w:t>19</w:t>
            </w:r>
          </w:p>
        </w:tc>
        <w:tc>
          <w:tcPr>
            <w:tcW w:w="425" w:type="dxa"/>
            <w:shd w:val="clear" w:color="auto" w:fill="auto"/>
          </w:tcPr>
          <w:p w14:paraId="296CAECA" w14:textId="77777777" w:rsidR="003F5A17" w:rsidRPr="00224B66" w:rsidRDefault="00D4082B" w:rsidP="00D160B5">
            <w:pPr>
              <w:spacing w:before="120"/>
              <w:ind w:right="-755"/>
              <w:rPr>
                <w:rFonts w:ascii="Times New Roman" w:hAnsi="Times New Roman" w:cs="Times New Roman"/>
                <w:bCs/>
                <w:i/>
                <w:sz w:val="18"/>
                <w:szCs w:val="18"/>
                <w:lang w:val="ro-RO"/>
              </w:rPr>
            </w:pPr>
            <w:r w:rsidRPr="00224B66">
              <w:rPr>
                <w:rFonts w:ascii="Times New Roman" w:hAnsi="Times New Roman" w:cs="Times New Roman"/>
                <w:bCs/>
                <w:i/>
                <w:sz w:val="18"/>
                <w:szCs w:val="18"/>
                <w:lang w:val="ro-RO"/>
              </w:rPr>
              <w:t>20</w:t>
            </w:r>
          </w:p>
        </w:tc>
        <w:tc>
          <w:tcPr>
            <w:tcW w:w="851" w:type="dxa"/>
            <w:shd w:val="clear" w:color="auto" w:fill="auto"/>
          </w:tcPr>
          <w:p w14:paraId="497A4A22" w14:textId="77777777" w:rsidR="003F5A17" w:rsidRPr="00224B66" w:rsidRDefault="00D4082B" w:rsidP="00D160B5">
            <w:pPr>
              <w:spacing w:before="120"/>
              <w:ind w:right="-755"/>
              <w:rPr>
                <w:rFonts w:ascii="Times New Roman" w:hAnsi="Times New Roman" w:cs="Times New Roman"/>
                <w:i/>
                <w:sz w:val="18"/>
                <w:szCs w:val="18"/>
                <w:lang w:val="ro-RO"/>
              </w:rPr>
            </w:pPr>
            <w:r w:rsidRPr="00224B66">
              <w:rPr>
                <w:rFonts w:ascii="Times New Roman" w:hAnsi="Times New Roman" w:cs="Times New Roman"/>
                <w:i/>
                <w:sz w:val="18"/>
                <w:szCs w:val="18"/>
                <w:lang w:val="ro-RO"/>
              </w:rPr>
              <w:t>21</w:t>
            </w:r>
          </w:p>
        </w:tc>
      </w:tr>
      <w:tr w:rsidR="00D4082B" w:rsidRPr="00FD08E2" w14:paraId="1E808FCA" w14:textId="77777777" w:rsidTr="006C5F48">
        <w:tc>
          <w:tcPr>
            <w:tcW w:w="846" w:type="dxa"/>
          </w:tcPr>
          <w:p w14:paraId="499E53CF" w14:textId="77777777" w:rsidR="00D4082B" w:rsidRPr="00FD08E2" w:rsidRDefault="00D4082B" w:rsidP="00D4082B">
            <w:pPr>
              <w:spacing w:before="120"/>
              <w:ind w:right="-567"/>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2018</w:t>
            </w:r>
          </w:p>
        </w:tc>
        <w:tc>
          <w:tcPr>
            <w:tcW w:w="567" w:type="dxa"/>
          </w:tcPr>
          <w:p w14:paraId="5A020FC7"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15</w:t>
            </w:r>
          </w:p>
        </w:tc>
        <w:tc>
          <w:tcPr>
            <w:tcW w:w="709" w:type="dxa"/>
          </w:tcPr>
          <w:p w14:paraId="1C242E7F"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9</w:t>
            </w:r>
          </w:p>
        </w:tc>
        <w:tc>
          <w:tcPr>
            <w:tcW w:w="567" w:type="dxa"/>
          </w:tcPr>
          <w:p w14:paraId="33187283"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6</w:t>
            </w:r>
          </w:p>
        </w:tc>
        <w:tc>
          <w:tcPr>
            <w:tcW w:w="708" w:type="dxa"/>
          </w:tcPr>
          <w:p w14:paraId="4BEDE428"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60</w:t>
            </w:r>
          </w:p>
        </w:tc>
        <w:tc>
          <w:tcPr>
            <w:tcW w:w="567" w:type="dxa"/>
          </w:tcPr>
          <w:p w14:paraId="0056A0D6"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5</w:t>
            </w:r>
          </w:p>
        </w:tc>
        <w:tc>
          <w:tcPr>
            <w:tcW w:w="567" w:type="dxa"/>
          </w:tcPr>
          <w:p w14:paraId="1664DE1A"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4</w:t>
            </w:r>
          </w:p>
        </w:tc>
        <w:tc>
          <w:tcPr>
            <w:tcW w:w="426" w:type="dxa"/>
          </w:tcPr>
          <w:p w14:paraId="36A9534E"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1</w:t>
            </w:r>
          </w:p>
        </w:tc>
        <w:tc>
          <w:tcPr>
            <w:tcW w:w="567" w:type="dxa"/>
          </w:tcPr>
          <w:p w14:paraId="18EDA09A"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80</w:t>
            </w:r>
          </w:p>
        </w:tc>
        <w:tc>
          <w:tcPr>
            <w:tcW w:w="708" w:type="dxa"/>
          </w:tcPr>
          <w:p w14:paraId="6F36E1A6"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8</w:t>
            </w:r>
          </w:p>
        </w:tc>
        <w:tc>
          <w:tcPr>
            <w:tcW w:w="567" w:type="dxa"/>
          </w:tcPr>
          <w:p w14:paraId="277B95DE"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6</w:t>
            </w:r>
          </w:p>
        </w:tc>
        <w:tc>
          <w:tcPr>
            <w:tcW w:w="567" w:type="dxa"/>
          </w:tcPr>
          <w:p w14:paraId="4B31232A"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2</w:t>
            </w:r>
          </w:p>
        </w:tc>
        <w:tc>
          <w:tcPr>
            <w:tcW w:w="709" w:type="dxa"/>
          </w:tcPr>
          <w:p w14:paraId="371EE0F8"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75</w:t>
            </w:r>
          </w:p>
        </w:tc>
        <w:tc>
          <w:tcPr>
            <w:tcW w:w="567" w:type="dxa"/>
          </w:tcPr>
          <w:p w14:paraId="36A95459"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5</w:t>
            </w:r>
          </w:p>
        </w:tc>
        <w:tc>
          <w:tcPr>
            <w:tcW w:w="709" w:type="dxa"/>
          </w:tcPr>
          <w:p w14:paraId="1915B466"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3</w:t>
            </w:r>
          </w:p>
        </w:tc>
        <w:tc>
          <w:tcPr>
            <w:tcW w:w="567" w:type="dxa"/>
          </w:tcPr>
          <w:p w14:paraId="70B66D44"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2</w:t>
            </w:r>
          </w:p>
        </w:tc>
        <w:tc>
          <w:tcPr>
            <w:tcW w:w="567" w:type="dxa"/>
          </w:tcPr>
          <w:p w14:paraId="218ABD18"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60</w:t>
            </w:r>
          </w:p>
        </w:tc>
        <w:tc>
          <w:tcPr>
            <w:tcW w:w="567" w:type="dxa"/>
          </w:tcPr>
          <w:p w14:paraId="62851111"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25ECA0BB"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425" w:type="dxa"/>
          </w:tcPr>
          <w:p w14:paraId="01DEDA76"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w:t>
            </w:r>
          </w:p>
        </w:tc>
        <w:tc>
          <w:tcPr>
            <w:tcW w:w="851" w:type="dxa"/>
          </w:tcPr>
          <w:p w14:paraId="5D6FA101"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r>
      <w:tr w:rsidR="00D4082B" w:rsidRPr="00FD08E2" w14:paraId="3EB0D16F" w14:textId="77777777" w:rsidTr="006C5F48">
        <w:tc>
          <w:tcPr>
            <w:tcW w:w="846" w:type="dxa"/>
          </w:tcPr>
          <w:p w14:paraId="4518FC7E" w14:textId="77777777" w:rsidR="00D4082B" w:rsidRPr="00FD08E2" w:rsidRDefault="00D4082B" w:rsidP="00D4082B">
            <w:pPr>
              <w:spacing w:before="120"/>
              <w:ind w:right="-567"/>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2019</w:t>
            </w:r>
          </w:p>
        </w:tc>
        <w:tc>
          <w:tcPr>
            <w:tcW w:w="567" w:type="dxa"/>
          </w:tcPr>
          <w:p w14:paraId="6A9B4BE2"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15</w:t>
            </w:r>
          </w:p>
        </w:tc>
        <w:tc>
          <w:tcPr>
            <w:tcW w:w="709" w:type="dxa"/>
          </w:tcPr>
          <w:p w14:paraId="62BAFC55"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9</w:t>
            </w:r>
          </w:p>
        </w:tc>
        <w:tc>
          <w:tcPr>
            <w:tcW w:w="567" w:type="dxa"/>
          </w:tcPr>
          <w:p w14:paraId="3A6F43E9"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6</w:t>
            </w:r>
          </w:p>
        </w:tc>
        <w:tc>
          <w:tcPr>
            <w:tcW w:w="708" w:type="dxa"/>
          </w:tcPr>
          <w:p w14:paraId="598D2539"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60</w:t>
            </w:r>
          </w:p>
        </w:tc>
        <w:tc>
          <w:tcPr>
            <w:tcW w:w="567" w:type="dxa"/>
          </w:tcPr>
          <w:p w14:paraId="16D9E4E9"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5</w:t>
            </w:r>
          </w:p>
        </w:tc>
        <w:tc>
          <w:tcPr>
            <w:tcW w:w="567" w:type="dxa"/>
          </w:tcPr>
          <w:p w14:paraId="402F7305"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3</w:t>
            </w:r>
          </w:p>
        </w:tc>
        <w:tc>
          <w:tcPr>
            <w:tcW w:w="426" w:type="dxa"/>
          </w:tcPr>
          <w:p w14:paraId="775C5F61"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2</w:t>
            </w:r>
          </w:p>
        </w:tc>
        <w:tc>
          <w:tcPr>
            <w:tcW w:w="567" w:type="dxa"/>
          </w:tcPr>
          <w:p w14:paraId="2DC400E7"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60</w:t>
            </w:r>
          </w:p>
        </w:tc>
        <w:tc>
          <w:tcPr>
            <w:tcW w:w="708" w:type="dxa"/>
          </w:tcPr>
          <w:p w14:paraId="536370B6"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8</w:t>
            </w:r>
          </w:p>
        </w:tc>
        <w:tc>
          <w:tcPr>
            <w:tcW w:w="567" w:type="dxa"/>
          </w:tcPr>
          <w:p w14:paraId="28E7EB4F"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7</w:t>
            </w:r>
          </w:p>
        </w:tc>
        <w:tc>
          <w:tcPr>
            <w:tcW w:w="567" w:type="dxa"/>
          </w:tcPr>
          <w:p w14:paraId="643AEC78"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1</w:t>
            </w:r>
          </w:p>
        </w:tc>
        <w:tc>
          <w:tcPr>
            <w:tcW w:w="709" w:type="dxa"/>
          </w:tcPr>
          <w:p w14:paraId="438EAF54"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87,5</w:t>
            </w:r>
          </w:p>
        </w:tc>
        <w:tc>
          <w:tcPr>
            <w:tcW w:w="567" w:type="dxa"/>
          </w:tcPr>
          <w:p w14:paraId="53E90D65"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5</w:t>
            </w:r>
          </w:p>
        </w:tc>
        <w:tc>
          <w:tcPr>
            <w:tcW w:w="709" w:type="dxa"/>
          </w:tcPr>
          <w:p w14:paraId="2EB3BA67"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3</w:t>
            </w:r>
          </w:p>
        </w:tc>
        <w:tc>
          <w:tcPr>
            <w:tcW w:w="567" w:type="dxa"/>
          </w:tcPr>
          <w:p w14:paraId="4002CBAC"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2</w:t>
            </w:r>
          </w:p>
        </w:tc>
        <w:tc>
          <w:tcPr>
            <w:tcW w:w="567" w:type="dxa"/>
          </w:tcPr>
          <w:p w14:paraId="464C5F8C"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60</w:t>
            </w:r>
          </w:p>
        </w:tc>
        <w:tc>
          <w:tcPr>
            <w:tcW w:w="567" w:type="dxa"/>
          </w:tcPr>
          <w:p w14:paraId="7AFA646F"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72EBE9B6"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425" w:type="dxa"/>
          </w:tcPr>
          <w:p w14:paraId="5F71E0D4"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w:t>
            </w:r>
          </w:p>
        </w:tc>
        <w:tc>
          <w:tcPr>
            <w:tcW w:w="851" w:type="dxa"/>
          </w:tcPr>
          <w:p w14:paraId="2ECB0CA5"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r>
      <w:tr w:rsidR="00D4082B" w:rsidRPr="00FD08E2" w14:paraId="32212B91" w14:textId="77777777" w:rsidTr="006C5F48">
        <w:tc>
          <w:tcPr>
            <w:tcW w:w="846" w:type="dxa"/>
          </w:tcPr>
          <w:p w14:paraId="205F71B5" w14:textId="77777777" w:rsidR="00D4082B" w:rsidRPr="00FD08E2" w:rsidRDefault="00D4082B" w:rsidP="00D4082B">
            <w:pPr>
              <w:spacing w:before="120"/>
              <w:ind w:right="-567"/>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2020</w:t>
            </w:r>
          </w:p>
        </w:tc>
        <w:tc>
          <w:tcPr>
            <w:tcW w:w="567" w:type="dxa"/>
          </w:tcPr>
          <w:p w14:paraId="0899F331"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15</w:t>
            </w:r>
          </w:p>
        </w:tc>
        <w:tc>
          <w:tcPr>
            <w:tcW w:w="709" w:type="dxa"/>
          </w:tcPr>
          <w:p w14:paraId="15134864"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12</w:t>
            </w:r>
          </w:p>
        </w:tc>
        <w:tc>
          <w:tcPr>
            <w:tcW w:w="567" w:type="dxa"/>
          </w:tcPr>
          <w:p w14:paraId="1FCCD08A"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3</w:t>
            </w:r>
          </w:p>
        </w:tc>
        <w:tc>
          <w:tcPr>
            <w:tcW w:w="708" w:type="dxa"/>
          </w:tcPr>
          <w:p w14:paraId="0F68F80E"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80</w:t>
            </w:r>
          </w:p>
        </w:tc>
        <w:tc>
          <w:tcPr>
            <w:tcW w:w="567" w:type="dxa"/>
          </w:tcPr>
          <w:p w14:paraId="4900F439"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5</w:t>
            </w:r>
          </w:p>
        </w:tc>
        <w:tc>
          <w:tcPr>
            <w:tcW w:w="567" w:type="dxa"/>
          </w:tcPr>
          <w:p w14:paraId="44A5FEF5"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4</w:t>
            </w:r>
          </w:p>
        </w:tc>
        <w:tc>
          <w:tcPr>
            <w:tcW w:w="426" w:type="dxa"/>
          </w:tcPr>
          <w:p w14:paraId="2F32C516"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1</w:t>
            </w:r>
          </w:p>
        </w:tc>
        <w:tc>
          <w:tcPr>
            <w:tcW w:w="567" w:type="dxa"/>
          </w:tcPr>
          <w:p w14:paraId="49BFACCA"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80</w:t>
            </w:r>
          </w:p>
        </w:tc>
        <w:tc>
          <w:tcPr>
            <w:tcW w:w="708" w:type="dxa"/>
          </w:tcPr>
          <w:p w14:paraId="5954AC61"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8</w:t>
            </w:r>
          </w:p>
        </w:tc>
        <w:tc>
          <w:tcPr>
            <w:tcW w:w="567" w:type="dxa"/>
          </w:tcPr>
          <w:p w14:paraId="2065EDC4"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6</w:t>
            </w:r>
          </w:p>
        </w:tc>
        <w:tc>
          <w:tcPr>
            <w:tcW w:w="567" w:type="dxa"/>
          </w:tcPr>
          <w:p w14:paraId="015F3A98"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2</w:t>
            </w:r>
          </w:p>
        </w:tc>
        <w:tc>
          <w:tcPr>
            <w:tcW w:w="709" w:type="dxa"/>
          </w:tcPr>
          <w:p w14:paraId="3D578A26"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75</w:t>
            </w:r>
          </w:p>
        </w:tc>
        <w:tc>
          <w:tcPr>
            <w:tcW w:w="567" w:type="dxa"/>
          </w:tcPr>
          <w:p w14:paraId="625B9EBB"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5</w:t>
            </w:r>
          </w:p>
        </w:tc>
        <w:tc>
          <w:tcPr>
            <w:tcW w:w="709" w:type="dxa"/>
          </w:tcPr>
          <w:p w14:paraId="6FE569CF"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4</w:t>
            </w:r>
          </w:p>
        </w:tc>
        <w:tc>
          <w:tcPr>
            <w:tcW w:w="567" w:type="dxa"/>
          </w:tcPr>
          <w:p w14:paraId="4F193065"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1</w:t>
            </w:r>
          </w:p>
        </w:tc>
        <w:tc>
          <w:tcPr>
            <w:tcW w:w="567" w:type="dxa"/>
          </w:tcPr>
          <w:p w14:paraId="146278D2"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80</w:t>
            </w:r>
          </w:p>
        </w:tc>
        <w:tc>
          <w:tcPr>
            <w:tcW w:w="567" w:type="dxa"/>
          </w:tcPr>
          <w:p w14:paraId="20C1D9DF"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47D001B9"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425" w:type="dxa"/>
          </w:tcPr>
          <w:p w14:paraId="11DEFB83"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w:t>
            </w:r>
          </w:p>
        </w:tc>
        <w:tc>
          <w:tcPr>
            <w:tcW w:w="851" w:type="dxa"/>
          </w:tcPr>
          <w:p w14:paraId="32639A3F"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r>
      <w:tr w:rsidR="00D4082B" w:rsidRPr="00FD08E2" w14:paraId="60497525" w14:textId="77777777" w:rsidTr="006C5F48">
        <w:tc>
          <w:tcPr>
            <w:tcW w:w="846" w:type="dxa"/>
          </w:tcPr>
          <w:p w14:paraId="3D913ADC" w14:textId="77777777" w:rsidR="00D4082B" w:rsidRPr="00FD08E2" w:rsidRDefault="00D4082B" w:rsidP="00D4082B">
            <w:pPr>
              <w:spacing w:before="120"/>
              <w:ind w:right="-567"/>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2021</w:t>
            </w:r>
          </w:p>
        </w:tc>
        <w:tc>
          <w:tcPr>
            <w:tcW w:w="567" w:type="dxa"/>
          </w:tcPr>
          <w:p w14:paraId="078BD3F4"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14</w:t>
            </w:r>
          </w:p>
        </w:tc>
        <w:tc>
          <w:tcPr>
            <w:tcW w:w="709" w:type="dxa"/>
          </w:tcPr>
          <w:p w14:paraId="1A4EFCCD"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14</w:t>
            </w:r>
          </w:p>
        </w:tc>
        <w:tc>
          <w:tcPr>
            <w:tcW w:w="567" w:type="dxa"/>
          </w:tcPr>
          <w:p w14:paraId="6345110C"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w:t>
            </w:r>
          </w:p>
        </w:tc>
        <w:tc>
          <w:tcPr>
            <w:tcW w:w="708" w:type="dxa"/>
          </w:tcPr>
          <w:p w14:paraId="6BABEB9F"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c>
          <w:tcPr>
            <w:tcW w:w="567" w:type="dxa"/>
          </w:tcPr>
          <w:p w14:paraId="3D7B330A"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5</w:t>
            </w:r>
          </w:p>
        </w:tc>
        <w:tc>
          <w:tcPr>
            <w:tcW w:w="567" w:type="dxa"/>
          </w:tcPr>
          <w:p w14:paraId="3A61DF46"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5</w:t>
            </w:r>
          </w:p>
        </w:tc>
        <w:tc>
          <w:tcPr>
            <w:tcW w:w="426" w:type="dxa"/>
          </w:tcPr>
          <w:p w14:paraId="57BF55B2"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w:t>
            </w:r>
          </w:p>
        </w:tc>
        <w:tc>
          <w:tcPr>
            <w:tcW w:w="567" w:type="dxa"/>
          </w:tcPr>
          <w:p w14:paraId="624782A0"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c>
          <w:tcPr>
            <w:tcW w:w="708" w:type="dxa"/>
          </w:tcPr>
          <w:p w14:paraId="6C6B22B7"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8</w:t>
            </w:r>
          </w:p>
        </w:tc>
        <w:tc>
          <w:tcPr>
            <w:tcW w:w="567" w:type="dxa"/>
          </w:tcPr>
          <w:p w14:paraId="651FCA94"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6</w:t>
            </w:r>
          </w:p>
        </w:tc>
        <w:tc>
          <w:tcPr>
            <w:tcW w:w="567" w:type="dxa"/>
          </w:tcPr>
          <w:p w14:paraId="0FAB7299"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2</w:t>
            </w:r>
          </w:p>
        </w:tc>
        <w:tc>
          <w:tcPr>
            <w:tcW w:w="709" w:type="dxa"/>
          </w:tcPr>
          <w:p w14:paraId="3F582176"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75</w:t>
            </w:r>
          </w:p>
        </w:tc>
        <w:tc>
          <w:tcPr>
            <w:tcW w:w="567" w:type="dxa"/>
          </w:tcPr>
          <w:p w14:paraId="33088974"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5</w:t>
            </w:r>
          </w:p>
        </w:tc>
        <w:tc>
          <w:tcPr>
            <w:tcW w:w="709" w:type="dxa"/>
          </w:tcPr>
          <w:p w14:paraId="698DFBF5"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4</w:t>
            </w:r>
          </w:p>
        </w:tc>
        <w:tc>
          <w:tcPr>
            <w:tcW w:w="567" w:type="dxa"/>
          </w:tcPr>
          <w:p w14:paraId="0707D786"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1</w:t>
            </w:r>
          </w:p>
        </w:tc>
        <w:tc>
          <w:tcPr>
            <w:tcW w:w="567" w:type="dxa"/>
          </w:tcPr>
          <w:p w14:paraId="52E3EA46"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80</w:t>
            </w:r>
          </w:p>
        </w:tc>
        <w:tc>
          <w:tcPr>
            <w:tcW w:w="567" w:type="dxa"/>
          </w:tcPr>
          <w:p w14:paraId="0C9F5AEC"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3</w:t>
            </w:r>
          </w:p>
        </w:tc>
        <w:tc>
          <w:tcPr>
            <w:tcW w:w="567" w:type="dxa"/>
          </w:tcPr>
          <w:p w14:paraId="586FBAE4"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425" w:type="dxa"/>
          </w:tcPr>
          <w:p w14:paraId="5161AEA5"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1</w:t>
            </w:r>
          </w:p>
        </w:tc>
        <w:tc>
          <w:tcPr>
            <w:tcW w:w="851" w:type="dxa"/>
          </w:tcPr>
          <w:p w14:paraId="2B75C669"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67</w:t>
            </w:r>
          </w:p>
        </w:tc>
      </w:tr>
      <w:tr w:rsidR="00D4082B" w:rsidRPr="00FD08E2" w14:paraId="3A43444C" w14:textId="77777777" w:rsidTr="006C5F48">
        <w:tc>
          <w:tcPr>
            <w:tcW w:w="846" w:type="dxa"/>
          </w:tcPr>
          <w:p w14:paraId="7D2005D2" w14:textId="77777777" w:rsidR="00D4082B" w:rsidRPr="00FD08E2" w:rsidRDefault="00D4082B" w:rsidP="00D4082B">
            <w:pPr>
              <w:spacing w:before="120"/>
              <w:ind w:right="-567"/>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2022</w:t>
            </w:r>
          </w:p>
        </w:tc>
        <w:tc>
          <w:tcPr>
            <w:tcW w:w="567" w:type="dxa"/>
          </w:tcPr>
          <w:p w14:paraId="508C5362"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14</w:t>
            </w:r>
          </w:p>
        </w:tc>
        <w:tc>
          <w:tcPr>
            <w:tcW w:w="709" w:type="dxa"/>
          </w:tcPr>
          <w:p w14:paraId="3267A773"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9</w:t>
            </w:r>
          </w:p>
        </w:tc>
        <w:tc>
          <w:tcPr>
            <w:tcW w:w="567" w:type="dxa"/>
          </w:tcPr>
          <w:p w14:paraId="4D8FC03E"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5</w:t>
            </w:r>
          </w:p>
        </w:tc>
        <w:tc>
          <w:tcPr>
            <w:tcW w:w="708" w:type="dxa"/>
          </w:tcPr>
          <w:p w14:paraId="1ECEDFB8"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64</w:t>
            </w:r>
          </w:p>
        </w:tc>
        <w:tc>
          <w:tcPr>
            <w:tcW w:w="567" w:type="dxa"/>
          </w:tcPr>
          <w:p w14:paraId="01695D7B"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5</w:t>
            </w:r>
          </w:p>
        </w:tc>
        <w:tc>
          <w:tcPr>
            <w:tcW w:w="567" w:type="dxa"/>
          </w:tcPr>
          <w:p w14:paraId="4233DDAC"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426" w:type="dxa"/>
          </w:tcPr>
          <w:p w14:paraId="5ACBECD8"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3</w:t>
            </w:r>
          </w:p>
        </w:tc>
        <w:tc>
          <w:tcPr>
            <w:tcW w:w="567" w:type="dxa"/>
          </w:tcPr>
          <w:p w14:paraId="5C4A0C35"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40</w:t>
            </w:r>
          </w:p>
        </w:tc>
        <w:tc>
          <w:tcPr>
            <w:tcW w:w="708" w:type="dxa"/>
          </w:tcPr>
          <w:p w14:paraId="1FC3431E"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8</w:t>
            </w:r>
          </w:p>
        </w:tc>
        <w:tc>
          <w:tcPr>
            <w:tcW w:w="567" w:type="dxa"/>
          </w:tcPr>
          <w:p w14:paraId="20F2A506"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6</w:t>
            </w:r>
          </w:p>
        </w:tc>
        <w:tc>
          <w:tcPr>
            <w:tcW w:w="567" w:type="dxa"/>
          </w:tcPr>
          <w:p w14:paraId="17B1A9D4"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2</w:t>
            </w:r>
          </w:p>
        </w:tc>
        <w:tc>
          <w:tcPr>
            <w:tcW w:w="709" w:type="dxa"/>
          </w:tcPr>
          <w:p w14:paraId="15CCEAE8"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75</w:t>
            </w:r>
          </w:p>
        </w:tc>
        <w:tc>
          <w:tcPr>
            <w:tcW w:w="567" w:type="dxa"/>
          </w:tcPr>
          <w:p w14:paraId="715C854B"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5</w:t>
            </w:r>
          </w:p>
        </w:tc>
        <w:tc>
          <w:tcPr>
            <w:tcW w:w="709" w:type="dxa"/>
          </w:tcPr>
          <w:p w14:paraId="0572853C"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4</w:t>
            </w:r>
          </w:p>
        </w:tc>
        <w:tc>
          <w:tcPr>
            <w:tcW w:w="567" w:type="dxa"/>
          </w:tcPr>
          <w:p w14:paraId="156E135C"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1</w:t>
            </w:r>
          </w:p>
        </w:tc>
        <w:tc>
          <w:tcPr>
            <w:tcW w:w="567" w:type="dxa"/>
          </w:tcPr>
          <w:p w14:paraId="3AE96B9E"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80</w:t>
            </w:r>
          </w:p>
        </w:tc>
        <w:tc>
          <w:tcPr>
            <w:tcW w:w="567" w:type="dxa"/>
          </w:tcPr>
          <w:p w14:paraId="27D252E8"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3</w:t>
            </w:r>
          </w:p>
        </w:tc>
        <w:tc>
          <w:tcPr>
            <w:tcW w:w="567" w:type="dxa"/>
          </w:tcPr>
          <w:p w14:paraId="4AC36533"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425" w:type="dxa"/>
          </w:tcPr>
          <w:p w14:paraId="450E23FA" w14:textId="77777777" w:rsidR="00D4082B" w:rsidRPr="00FD08E2" w:rsidRDefault="00D4082B" w:rsidP="00D4082B">
            <w:pPr>
              <w:spacing w:before="120"/>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1</w:t>
            </w:r>
          </w:p>
        </w:tc>
        <w:tc>
          <w:tcPr>
            <w:tcW w:w="851" w:type="dxa"/>
          </w:tcPr>
          <w:p w14:paraId="4A870E7A" w14:textId="77777777" w:rsidR="00D4082B" w:rsidRPr="00FD08E2" w:rsidRDefault="00D4082B" w:rsidP="00D4082B">
            <w:pPr>
              <w:spacing w:before="120"/>
              <w:ind w:right="-755"/>
              <w:rPr>
                <w:rFonts w:ascii="Times New Roman" w:hAnsi="Times New Roman" w:cs="Times New Roman"/>
                <w:sz w:val="18"/>
                <w:szCs w:val="18"/>
                <w:lang w:val="ro-RO"/>
              </w:rPr>
            </w:pPr>
            <w:r w:rsidRPr="00FD08E2">
              <w:rPr>
                <w:rFonts w:ascii="Times New Roman" w:hAnsi="Times New Roman" w:cs="Times New Roman"/>
                <w:sz w:val="18"/>
                <w:szCs w:val="18"/>
                <w:lang w:val="ro-RO"/>
              </w:rPr>
              <w:t>67</w:t>
            </w:r>
          </w:p>
        </w:tc>
      </w:tr>
    </w:tbl>
    <w:p w14:paraId="419FF99E" w14:textId="77777777" w:rsidR="003D427F" w:rsidRDefault="003D427F" w:rsidP="003D427F">
      <w:pPr>
        <w:jc w:val="center"/>
        <w:rPr>
          <w:rFonts w:ascii="Times New Roman" w:hAnsi="Times New Roman" w:cs="Times New Roman"/>
          <w:b/>
          <w:i/>
          <w:sz w:val="24"/>
          <w:szCs w:val="24"/>
        </w:rPr>
      </w:pPr>
      <w:r w:rsidRPr="00605F45">
        <w:rPr>
          <w:rFonts w:ascii="Times New Roman" w:hAnsi="Times New Roman" w:cs="Times New Roman"/>
          <w:b/>
          <w:bCs/>
        </w:rPr>
        <w:t xml:space="preserve">                                           </w:t>
      </w:r>
      <w:r w:rsidR="00634FF1" w:rsidRPr="00605F45">
        <w:rPr>
          <w:rFonts w:ascii="Times New Roman" w:hAnsi="Times New Roman" w:cs="Times New Roman"/>
          <w:b/>
          <w:bCs/>
        </w:rPr>
        <w:t xml:space="preserve">           </w:t>
      </w:r>
      <w:r w:rsidRPr="00605F45">
        <w:rPr>
          <w:rFonts w:ascii="Times New Roman" w:hAnsi="Times New Roman" w:cs="Times New Roman"/>
          <w:b/>
          <w:bCs/>
        </w:rPr>
        <w:t xml:space="preserve"> </w:t>
      </w:r>
      <w:r w:rsidRPr="00605F45">
        <w:rPr>
          <w:rFonts w:ascii="Times New Roman" w:hAnsi="Times New Roman" w:cs="Times New Roman"/>
          <w:b/>
          <w:bCs/>
          <w:lang w:val="ro-RO"/>
        </w:rPr>
        <w:t>Gradul de ocupare a funcțiilor pe subdiviziuni (fpc, fpe, pa)</w:t>
      </w:r>
      <w:r w:rsidRPr="00DD6A7A">
        <w:rPr>
          <w:rFonts w:ascii="Times New Roman" w:hAnsi="Times New Roman" w:cs="Times New Roman"/>
          <w:b/>
          <w:i/>
          <w:sz w:val="24"/>
          <w:szCs w:val="24"/>
        </w:rPr>
        <w:t xml:space="preserve">                </w:t>
      </w:r>
      <w:r w:rsidR="00634FF1" w:rsidRPr="00DD6A7A">
        <w:rPr>
          <w:rFonts w:ascii="Times New Roman" w:hAnsi="Times New Roman" w:cs="Times New Roman"/>
          <w:b/>
          <w:i/>
          <w:sz w:val="24"/>
          <w:szCs w:val="24"/>
        </w:rPr>
        <w:t xml:space="preserve">      </w:t>
      </w:r>
      <w:r w:rsidRPr="00DD6A7A">
        <w:rPr>
          <w:rFonts w:ascii="Times New Roman" w:hAnsi="Times New Roman" w:cs="Times New Roman"/>
          <w:b/>
          <w:i/>
          <w:sz w:val="24"/>
          <w:szCs w:val="24"/>
        </w:rPr>
        <w:t xml:space="preserve">  Anexa nr.</w:t>
      </w:r>
      <w:r w:rsidR="008A2E52" w:rsidRPr="00DD6A7A">
        <w:rPr>
          <w:rFonts w:ascii="Times New Roman" w:hAnsi="Times New Roman" w:cs="Times New Roman"/>
          <w:b/>
          <w:i/>
          <w:sz w:val="24"/>
          <w:szCs w:val="24"/>
        </w:rPr>
        <w:t>2</w:t>
      </w:r>
    </w:p>
    <w:p w14:paraId="451FDED6" w14:textId="4B83E6F2" w:rsidR="00C44A50" w:rsidRPr="00DD6A7A" w:rsidRDefault="00C44A50" w:rsidP="00C44A50">
      <w:pPr>
        <w:rPr>
          <w:rFonts w:ascii="Times New Roman" w:hAnsi="Times New Roman" w:cs="Times New Roman"/>
          <w:b/>
          <w:i/>
          <w:sz w:val="24"/>
          <w:szCs w:val="24"/>
        </w:rPr>
      </w:pPr>
      <w:r w:rsidRPr="00DD6A7A">
        <w:rPr>
          <w:rFonts w:ascii="Times New Roman" w:hAnsi="Times New Roman" w:cs="Times New Roman"/>
          <w:b/>
          <w:i/>
          <w:sz w:val="20"/>
          <w:szCs w:val="20"/>
        </w:rPr>
        <w:t xml:space="preserve">                  Sursa</w:t>
      </w:r>
      <w:r w:rsidRPr="00DD6A7A">
        <w:rPr>
          <w:rFonts w:ascii="Times New Roman" w:hAnsi="Times New Roman" w:cs="Times New Roman"/>
          <w:i/>
          <w:sz w:val="20"/>
          <w:szCs w:val="20"/>
        </w:rPr>
        <w:t xml:space="preserve">: Date generalizate de echipa de audit privind </w:t>
      </w:r>
      <w:r>
        <w:rPr>
          <w:rFonts w:ascii="Times New Roman" w:hAnsi="Times New Roman" w:cs="Times New Roman"/>
          <w:i/>
          <w:sz w:val="20"/>
          <w:szCs w:val="20"/>
        </w:rPr>
        <w:t xml:space="preserve">gradul de ocupare a </w:t>
      </w:r>
      <w:r w:rsidRPr="00DD6A7A">
        <w:rPr>
          <w:rFonts w:ascii="Times New Roman" w:hAnsi="Times New Roman" w:cs="Times New Roman"/>
          <w:i/>
          <w:sz w:val="20"/>
          <w:szCs w:val="20"/>
        </w:rPr>
        <w:t>funcțiil</w:t>
      </w:r>
      <w:r>
        <w:rPr>
          <w:rFonts w:ascii="Times New Roman" w:hAnsi="Times New Roman" w:cs="Times New Roman"/>
          <w:i/>
          <w:sz w:val="20"/>
          <w:szCs w:val="20"/>
        </w:rPr>
        <w:t>or</w:t>
      </w:r>
      <w:r w:rsidRPr="00DD6A7A">
        <w:rPr>
          <w:rFonts w:ascii="Times New Roman" w:hAnsi="Times New Roman" w:cs="Times New Roman"/>
          <w:i/>
          <w:sz w:val="20"/>
          <w:szCs w:val="20"/>
        </w:rPr>
        <w:t xml:space="preserve"> pe subdiviziuni.</w:t>
      </w:r>
    </w:p>
    <w:p w14:paraId="3137EC5B" w14:textId="77777777" w:rsidR="00EE1F8E" w:rsidRPr="00DD6A7A" w:rsidRDefault="00EE1F8E" w:rsidP="003D427F">
      <w:pPr>
        <w:jc w:val="center"/>
        <w:rPr>
          <w:rFonts w:ascii="Times New Roman" w:hAnsi="Times New Roman" w:cs="Times New Roman"/>
          <w:b/>
          <w:i/>
          <w:sz w:val="24"/>
          <w:szCs w:val="24"/>
        </w:rPr>
      </w:pPr>
    </w:p>
    <w:p w14:paraId="49731D40" w14:textId="77777777" w:rsidR="003D427F" w:rsidRPr="00DD6A7A" w:rsidRDefault="003D427F" w:rsidP="003D427F">
      <w:pPr>
        <w:jc w:val="center"/>
        <w:rPr>
          <w:rFonts w:ascii="Times New Roman" w:hAnsi="Times New Roman" w:cs="Times New Roman"/>
          <w:b/>
          <w:bCs/>
          <w:sz w:val="24"/>
          <w:szCs w:val="24"/>
        </w:rPr>
      </w:pPr>
    </w:p>
    <w:p w14:paraId="6035F0F2" w14:textId="77777777" w:rsidR="00C83CB5" w:rsidRPr="00DD6A7A" w:rsidRDefault="00C83CB5" w:rsidP="003F5A17">
      <w:pPr>
        <w:jc w:val="center"/>
        <w:rPr>
          <w:rFonts w:ascii="Times New Roman" w:hAnsi="Times New Roman" w:cs="Times New Roman"/>
          <w:b/>
          <w:bCs/>
          <w:sz w:val="24"/>
          <w:szCs w:val="24"/>
          <w:lang w:val="ro-RO"/>
        </w:rPr>
      </w:pPr>
    </w:p>
    <w:p w14:paraId="106965CF" w14:textId="77777777" w:rsidR="00C83CB5" w:rsidRPr="00DD6A7A" w:rsidRDefault="00C83CB5" w:rsidP="003F5A17">
      <w:pPr>
        <w:jc w:val="center"/>
        <w:rPr>
          <w:rFonts w:ascii="Times New Roman" w:hAnsi="Times New Roman" w:cs="Times New Roman"/>
          <w:b/>
          <w:bCs/>
          <w:sz w:val="24"/>
          <w:szCs w:val="24"/>
          <w:lang w:val="ro-RO"/>
        </w:rPr>
      </w:pPr>
    </w:p>
    <w:p w14:paraId="36736D46" w14:textId="77777777" w:rsidR="00C83CB5" w:rsidRPr="00DD6A7A" w:rsidRDefault="00C83CB5" w:rsidP="003F5A17">
      <w:pPr>
        <w:jc w:val="center"/>
        <w:rPr>
          <w:rFonts w:ascii="Times New Roman" w:hAnsi="Times New Roman" w:cs="Times New Roman"/>
          <w:b/>
          <w:bCs/>
          <w:sz w:val="24"/>
          <w:szCs w:val="24"/>
          <w:lang w:val="ro-RO"/>
        </w:rPr>
      </w:pPr>
    </w:p>
    <w:p w14:paraId="0533DD51" w14:textId="77777777" w:rsidR="00C83CB5" w:rsidRPr="00DD6A7A" w:rsidRDefault="00C83CB5" w:rsidP="003F5A17">
      <w:pPr>
        <w:jc w:val="center"/>
        <w:rPr>
          <w:rFonts w:ascii="Times New Roman" w:hAnsi="Times New Roman" w:cs="Times New Roman"/>
          <w:b/>
          <w:bCs/>
          <w:sz w:val="24"/>
          <w:szCs w:val="24"/>
          <w:lang w:val="ro-RO"/>
        </w:rPr>
      </w:pPr>
    </w:p>
    <w:p w14:paraId="31BE1975" w14:textId="77777777" w:rsidR="00C83CB5" w:rsidRPr="00DD6A7A" w:rsidRDefault="00C83CB5" w:rsidP="003F5A17">
      <w:pPr>
        <w:jc w:val="center"/>
        <w:rPr>
          <w:rFonts w:ascii="Times New Roman" w:hAnsi="Times New Roman" w:cs="Times New Roman"/>
          <w:b/>
          <w:bCs/>
          <w:sz w:val="24"/>
          <w:szCs w:val="24"/>
          <w:lang w:val="ro-RO"/>
        </w:rPr>
      </w:pPr>
    </w:p>
    <w:p w14:paraId="64E37DB6" w14:textId="77777777" w:rsidR="00D65804" w:rsidRDefault="00D65804" w:rsidP="003F5A17">
      <w:pPr>
        <w:jc w:val="center"/>
        <w:rPr>
          <w:rFonts w:ascii="Times New Roman" w:hAnsi="Times New Roman" w:cs="Times New Roman"/>
          <w:b/>
          <w:bCs/>
          <w:sz w:val="24"/>
          <w:szCs w:val="24"/>
          <w:lang w:val="ro-RO"/>
        </w:rPr>
      </w:pPr>
    </w:p>
    <w:p w14:paraId="065A91A7" w14:textId="77777777" w:rsidR="00D65804" w:rsidRDefault="00D65804" w:rsidP="003F5A17">
      <w:pPr>
        <w:jc w:val="center"/>
        <w:rPr>
          <w:rFonts w:ascii="Times New Roman" w:hAnsi="Times New Roman" w:cs="Times New Roman"/>
          <w:b/>
          <w:bCs/>
          <w:sz w:val="24"/>
          <w:szCs w:val="24"/>
          <w:lang w:val="ro-RO"/>
        </w:rPr>
      </w:pPr>
    </w:p>
    <w:p w14:paraId="5B9261AC" w14:textId="77777777" w:rsidR="00D65804" w:rsidRDefault="00D65804" w:rsidP="003F5A17">
      <w:pPr>
        <w:jc w:val="center"/>
        <w:rPr>
          <w:rFonts w:ascii="Times New Roman" w:hAnsi="Times New Roman" w:cs="Times New Roman"/>
          <w:b/>
          <w:bCs/>
          <w:sz w:val="24"/>
          <w:szCs w:val="24"/>
          <w:lang w:val="ro-RO"/>
        </w:rPr>
      </w:pPr>
    </w:p>
    <w:p w14:paraId="19B9F18F" w14:textId="77777777" w:rsidR="00452504" w:rsidRDefault="00452504" w:rsidP="003F5A17">
      <w:pPr>
        <w:jc w:val="center"/>
        <w:rPr>
          <w:rFonts w:ascii="Times New Roman" w:hAnsi="Times New Roman" w:cs="Times New Roman"/>
          <w:b/>
          <w:bCs/>
          <w:lang w:val="ro-RO"/>
        </w:rPr>
      </w:pPr>
    </w:p>
    <w:p w14:paraId="0D74A7E9" w14:textId="77777777" w:rsidR="003F5A17" w:rsidRPr="00605F45" w:rsidRDefault="003F5A17" w:rsidP="003F5A17">
      <w:pPr>
        <w:jc w:val="center"/>
        <w:rPr>
          <w:rFonts w:ascii="Times New Roman" w:hAnsi="Times New Roman" w:cs="Times New Roman"/>
          <w:b/>
          <w:bCs/>
          <w:lang w:val="ro-RO"/>
        </w:rPr>
      </w:pPr>
      <w:r w:rsidRPr="00605F45">
        <w:rPr>
          <w:rFonts w:ascii="Times New Roman" w:hAnsi="Times New Roman" w:cs="Times New Roman"/>
          <w:b/>
          <w:bCs/>
          <w:lang w:val="ro-RO"/>
        </w:rPr>
        <w:t>Gradul de ocupare a funcțiilor pe subdiviziuni</w:t>
      </w:r>
    </w:p>
    <w:tbl>
      <w:tblPr>
        <w:tblStyle w:val="TableGrid"/>
        <w:tblW w:w="12895" w:type="dxa"/>
        <w:jc w:val="center"/>
        <w:tblLayout w:type="fixed"/>
        <w:tblLook w:val="04A0" w:firstRow="1" w:lastRow="0" w:firstColumn="1" w:lastColumn="0" w:noHBand="0" w:noVBand="1"/>
      </w:tblPr>
      <w:tblGrid>
        <w:gridCol w:w="851"/>
        <w:gridCol w:w="567"/>
        <w:gridCol w:w="567"/>
        <w:gridCol w:w="567"/>
        <w:gridCol w:w="709"/>
        <w:gridCol w:w="567"/>
        <w:gridCol w:w="567"/>
        <w:gridCol w:w="567"/>
        <w:gridCol w:w="567"/>
        <w:gridCol w:w="709"/>
        <w:gridCol w:w="708"/>
        <w:gridCol w:w="567"/>
        <w:gridCol w:w="709"/>
        <w:gridCol w:w="567"/>
        <w:gridCol w:w="567"/>
        <w:gridCol w:w="425"/>
        <w:gridCol w:w="567"/>
        <w:gridCol w:w="709"/>
        <w:gridCol w:w="567"/>
        <w:gridCol w:w="425"/>
        <w:gridCol w:w="846"/>
      </w:tblGrid>
      <w:tr w:rsidR="003F5A17" w:rsidRPr="00FD08E2" w14:paraId="794B0AB9" w14:textId="77777777" w:rsidTr="006C5F48">
        <w:trPr>
          <w:trHeight w:val="483"/>
          <w:jc w:val="center"/>
        </w:trPr>
        <w:tc>
          <w:tcPr>
            <w:tcW w:w="851" w:type="dxa"/>
            <w:vMerge w:val="restart"/>
            <w:tcBorders>
              <w:tl2br w:val="single" w:sz="4" w:space="0" w:color="auto"/>
            </w:tcBorders>
            <w:shd w:val="clear" w:color="auto" w:fill="00B0F0"/>
          </w:tcPr>
          <w:p w14:paraId="4F5A4885" w14:textId="77777777" w:rsidR="003F5A17" w:rsidRPr="00FD08E2" w:rsidRDefault="003F5A17" w:rsidP="005936C8">
            <w:pPr>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Subdiviziuni /</w:t>
            </w:r>
          </w:p>
          <w:p w14:paraId="559CFCF8" w14:textId="77777777" w:rsidR="003F5A17" w:rsidRPr="00FD08E2" w:rsidRDefault="003F5A17" w:rsidP="005936C8">
            <w:pPr>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 xml:space="preserve">     Indicatori</w:t>
            </w:r>
          </w:p>
          <w:p w14:paraId="02A18A18" w14:textId="77777777" w:rsidR="003F5A17" w:rsidRPr="00FD08E2" w:rsidRDefault="003F5A17" w:rsidP="005936C8">
            <w:pPr>
              <w:ind w:right="-755"/>
              <w:rPr>
                <w:rFonts w:ascii="Times New Roman" w:hAnsi="Times New Roman" w:cs="Times New Roman"/>
                <w:b/>
                <w:bCs/>
                <w:sz w:val="18"/>
                <w:szCs w:val="18"/>
                <w:lang w:val="ro-RO"/>
              </w:rPr>
            </w:pPr>
          </w:p>
          <w:p w14:paraId="0A3B5F96" w14:textId="77777777" w:rsidR="003F5A17" w:rsidRPr="00FD08E2" w:rsidRDefault="003F5A17" w:rsidP="005936C8">
            <w:pPr>
              <w:ind w:right="-755"/>
              <w:rPr>
                <w:rFonts w:ascii="Times New Roman" w:hAnsi="Times New Roman" w:cs="Times New Roman"/>
                <w:b/>
                <w:bCs/>
                <w:sz w:val="18"/>
                <w:szCs w:val="18"/>
                <w:lang w:val="ro-RO"/>
              </w:rPr>
            </w:pPr>
          </w:p>
          <w:p w14:paraId="22CEBF0F" w14:textId="77777777" w:rsidR="003F5A17" w:rsidRPr="00FD08E2" w:rsidRDefault="003F5A17" w:rsidP="005936C8">
            <w:pPr>
              <w:ind w:right="-755"/>
              <w:rPr>
                <w:rFonts w:ascii="Times New Roman" w:hAnsi="Times New Roman" w:cs="Times New Roman"/>
                <w:b/>
                <w:bCs/>
                <w:sz w:val="18"/>
                <w:szCs w:val="18"/>
                <w:lang w:val="ro-RO"/>
              </w:rPr>
            </w:pPr>
          </w:p>
          <w:p w14:paraId="70846A71" w14:textId="77777777" w:rsidR="003F5A17" w:rsidRPr="00FD08E2" w:rsidRDefault="003F5A17" w:rsidP="005936C8">
            <w:pPr>
              <w:ind w:right="-755"/>
              <w:rPr>
                <w:rFonts w:ascii="Times New Roman" w:hAnsi="Times New Roman" w:cs="Times New Roman"/>
                <w:b/>
                <w:bCs/>
                <w:sz w:val="18"/>
                <w:szCs w:val="18"/>
                <w:lang w:val="ro-RO"/>
              </w:rPr>
            </w:pPr>
          </w:p>
          <w:p w14:paraId="22F4775D" w14:textId="77777777" w:rsidR="003F5A17" w:rsidRPr="00FD08E2" w:rsidRDefault="003F5A17" w:rsidP="005936C8">
            <w:pPr>
              <w:ind w:right="-755"/>
              <w:rPr>
                <w:rFonts w:ascii="Times New Roman" w:hAnsi="Times New Roman" w:cs="Times New Roman"/>
                <w:b/>
                <w:bCs/>
                <w:sz w:val="18"/>
                <w:szCs w:val="18"/>
                <w:lang w:val="ro-RO"/>
              </w:rPr>
            </w:pPr>
            <w:r w:rsidRPr="00FD08E2">
              <w:rPr>
                <w:rFonts w:ascii="Times New Roman" w:hAnsi="Times New Roman" w:cs="Times New Roman"/>
                <w:b/>
                <w:bCs/>
                <w:caps/>
                <w:sz w:val="18"/>
                <w:szCs w:val="18"/>
                <w:lang w:val="ro-RO"/>
              </w:rPr>
              <w:t>Anul</w:t>
            </w:r>
          </w:p>
          <w:p w14:paraId="1793E1DC" w14:textId="77777777" w:rsidR="003F5A17" w:rsidRPr="00FD08E2" w:rsidRDefault="003F5A17" w:rsidP="005936C8">
            <w:pPr>
              <w:ind w:right="-755"/>
              <w:rPr>
                <w:rFonts w:ascii="Times New Roman" w:hAnsi="Times New Roman" w:cs="Times New Roman"/>
                <w:b/>
                <w:bCs/>
                <w:sz w:val="18"/>
                <w:szCs w:val="18"/>
                <w:lang w:val="ro-RO"/>
              </w:rPr>
            </w:pPr>
          </w:p>
        </w:tc>
        <w:tc>
          <w:tcPr>
            <w:tcW w:w="2410" w:type="dxa"/>
            <w:gridSpan w:val="4"/>
            <w:shd w:val="clear" w:color="auto" w:fill="00B0F0"/>
          </w:tcPr>
          <w:p w14:paraId="1F4C7BCE" w14:textId="77777777" w:rsidR="003F5A17" w:rsidRPr="00FD08E2" w:rsidRDefault="003F5A17" w:rsidP="005936C8">
            <w:pPr>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Serviciul resurse umane</w:t>
            </w:r>
          </w:p>
        </w:tc>
        <w:tc>
          <w:tcPr>
            <w:tcW w:w="2268" w:type="dxa"/>
            <w:gridSpan w:val="4"/>
            <w:shd w:val="clear" w:color="auto" w:fill="00B0F0"/>
          </w:tcPr>
          <w:p w14:paraId="5436613B" w14:textId="77777777" w:rsidR="003F5A17" w:rsidRPr="00FD08E2" w:rsidRDefault="003F5A17" w:rsidP="005936C8">
            <w:pPr>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Serviciul documentare</w:t>
            </w:r>
          </w:p>
          <w:p w14:paraId="453CF4A4" w14:textId="77777777" w:rsidR="003F5A17" w:rsidRPr="00FD08E2" w:rsidRDefault="003F5A17" w:rsidP="005936C8">
            <w:pPr>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și arhivare</w:t>
            </w:r>
          </w:p>
        </w:tc>
        <w:tc>
          <w:tcPr>
            <w:tcW w:w="2693" w:type="dxa"/>
            <w:gridSpan w:val="4"/>
            <w:shd w:val="clear" w:color="auto" w:fill="00B0F0"/>
          </w:tcPr>
          <w:p w14:paraId="4E821A1C" w14:textId="77777777" w:rsidR="003F5A17" w:rsidRPr="00FD08E2" w:rsidRDefault="003F5A17" w:rsidP="005936C8">
            <w:pPr>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Serviciul de informare comunicare</w:t>
            </w:r>
          </w:p>
          <w:p w14:paraId="7030788A" w14:textId="77777777" w:rsidR="003F5A17" w:rsidRPr="00FD08E2" w:rsidRDefault="003F5A17" w:rsidP="005936C8">
            <w:pPr>
              <w:ind w:right="-755"/>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 xml:space="preserve"> cu mass-media și e-Transformare</w:t>
            </w:r>
          </w:p>
        </w:tc>
        <w:tc>
          <w:tcPr>
            <w:tcW w:w="2126" w:type="dxa"/>
            <w:gridSpan w:val="4"/>
            <w:shd w:val="clear" w:color="auto" w:fill="00B0F0"/>
          </w:tcPr>
          <w:p w14:paraId="0E8D3435" w14:textId="77777777" w:rsidR="003F5A17" w:rsidRPr="00FD08E2" w:rsidRDefault="003F5A17" w:rsidP="005936C8">
            <w:pPr>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Serviciul audit intern</w:t>
            </w:r>
          </w:p>
        </w:tc>
        <w:tc>
          <w:tcPr>
            <w:tcW w:w="2547" w:type="dxa"/>
            <w:gridSpan w:val="4"/>
            <w:shd w:val="clear" w:color="auto" w:fill="00B0F0"/>
          </w:tcPr>
          <w:p w14:paraId="5A188249" w14:textId="77777777" w:rsidR="003F5A17" w:rsidRPr="00FD08E2" w:rsidRDefault="003F5A17" w:rsidP="005936C8">
            <w:pPr>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Personal auxiliar</w:t>
            </w:r>
          </w:p>
        </w:tc>
      </w:tr>
      <w:tr w:rsidR="00C83CB5" w:rsidRPr="00FD08E2" w14:paraId="28E1E2B0" w14:textId="77777777" w:rsidTr="006C5F48">
        <w:trPr>
          <w:cantSplit/>
          <w:trHeight w:val="1369"/>
          <w:jc w:val="center"/>
        </w:trPr>
        <w:tc>
          <w:tcPr>
            <w:tcW w:w="851" w:type="dxa"/>
            <w:vMerge/>
            <w:tcBorders>
              <w:tl2br w:val="single" w:sz="4" w:space="0" w:color="auto"/>
            </w:tcBorders>
            <w:shd w:val="clear" w:color="auto" w:fill="00B0F0"/>
            <w:textDirection w:val="btLr"/>
          </w:tcPr>
          <w:p w14:paraId="4EE7641A" w14:textId="77777777" w:rsidR="003F5A17" w:rsidRPr="00FD08E2" w:rsidRDefault="003F5A17" w:rsidP="005936C8">
            <w:pPr>
              <w:ind w:left="113" w:right="-754"/>
              <w:rPr>
                <w:rFonts w:ascii="Times New Roman" w:hAnsi="Times New Roman" w:cs="Times New Roman"/>
                <w:b/>
                <w:bCs/>
                <w:sz w:val="18"/>
                <w:szCs w:val="18"/>
                <w:lang w:val="ro-RO"/>
              </w:rPr>
            </w:pPr>
          </w:p>
        </w:tc>
        <w:tc>
          <w:tcPr>
            <w:tcW w:w="567" w:type="dxa"/>
            <w:shd w:val="clear" w:color="auto" w:fill="00B0F0"/>
            <w:textDirection w:val="btLr"/>
          </w:tcPr>
          <w:p w14:paraId="1DF80DE4"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Unități</w:t>
            </w:r>
          </w:p>
          <w:p w14:paraId="5039B281"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aprobate</w:t>
            </w:r>
          </w:p>
        </w:tc>
        <w:tc>
          <w:tcPr>
            <w:tcW w:w="567" w:type="dxa"/>
            <w:shd w:val="clear" w:color="auto" w:fill="00B0F0"/>
            <w:textDirection w:val="btLr"/>
          </w:tcPr>
          <w:p w14:paraId="5081CE10"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Efectiv</w:t>
            </w:r>
          </w:p>
          <w:p w14:paraId="1ECB156E"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încadrate</w:t>
            </w:r>
          </w:p>
        </w:tc>
        <w:tc>
          <w:tcPr>
            <w:tcW w:w="567" w:type="dxa"/>
            <w:shd w:val="clear" w:color="auto" w:fill="00B0F0"/>
            <w:textDirection w:val="btLr"/>
          </w:tcPr>
          <w:p w14:paraId="7001D9BA"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Funcții vacante</w:t>
            </w:r>
          </w:p>
        </w:tc>
        <w:tc>
          <w:tcPr>
            <w:tcW w:w="709" w:type="dxa"/>
            <w:shd w:val="clear" w:color="auto" w:fill="00B0F0"/>
            <w:textDirection w:val="btLr"/>
          </w:tcPr>
          <w:p w14:paraId="120A9A53"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Gradul</w:t>
            </w:r>
          </w:p>
          <w:p w14:paraId="3BCF2F67"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de ocupare, %</w:t>
            </w:r>
          </w:p>
        </w:tc>
        <w:tc>
          <w:tcPr>
            <w:tcW w:w="567" w:type="dxa"/>
            <w:shd w:val="clear" w:color="auto" w:fill="00B0F0"/>
            <w:textDirection w:val="btLr"/>
          </w:tcPr>
          <w:p w14:paraId="165A66AD"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Unități</w:t>
            </w:r>
          </w:p>
          <w:p w14:paraId="2521AFAD"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aprobate</w:t>
            </w:r>
          </w:p>
        </w:tc>
        <w:tc>
          <w:tcPr>
            <w:tcW w:w="567" w:type="dxa"/>
            <w:shd w:val="clear" w:color="auto" w:fill="00B0F0"/>
            <w:textDirection w:val="btLr"/>
          </w:tcPr>
          <w:p w14:paraId="185D3580"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Efectiv</w:t>
            </w:r>
          </w:p>
          <w:p w14:paraId="4ADA2513"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încadrate</w:t>
            </w:r>
          </w:p>
        </w:tc>
        <w:tc>
          <w:tcPr>
            <w:tcW w:w="567" w:type="dxa"/>
            <w:shd w:val="clear" w:color="auto" w:fill="00B0F0"/>
            <w:textDirection w:val="btLr"/>
          </w:tcPr>
          <w:p w14:paraId="2DCD1EDF"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Funcții vacante</w:t>
            </w:r>
          </w:p>
        </w:tc>
        <w:tc>
          <w:tcPr>
            <w:tcW w:w="567" w:type="dxa"/>
            <w:shd w:val="clear" w:color="auto" w:fill="00B0F0"/>
            <w:textDirection w:val="btLr"/>
          </w:tcPr>
          <w:p w14:paraId="31262A1A"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Gradul</w:t>
            </w:r>
          </w:p>
          <w:p w14:paraId="202A002A"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de ocupare, %</w:t>
            </w:r>
          </w:p>
        </w:tc>
        <w:tc>
          <w:tcPr>
            <w:tcW w:w="709" w:type="dxa"/>
            <w:shd w:val="clear" w:color="auto" w:fill="00B0F0"/>
            <w:textDirection w:val="btLr"/>
          </w:tcPr>
          <w:p w14:paraId="06550123"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Unități</w:t>
            </w:r>
          </w:p>
          <w:p w14:paraId="06193FD6"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aprobate</w:t>
            </w:r>
          </w:p>
        </w:tc>
        <w:tc>
          <w:tcPr>
            <w:tcW w:w="708" w:type="dxa"/>
            <w:shd w:val="clear" w:color="auto" w:fill="00B0F0"/>
            <w:textDirection w:val="btLr"/>
          </w:tcPr>
          <w:p w14:paraId="11B296FD"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Efectiv</w:t>
            </w:r>
          </w:p>
          <w:p w14:paraId="0B571BC4"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încadrate</w:t>
            </w:r>
          </w:p>
        </w:tc>
        <w:tc>
          <w:tcPr>
            <w:tcW w:w="567" w:type="dxa"/>
            <w:shd w:val="clear" w:color="auto" w:fill="00B0F0"/>
            <w:textDirection w:val="btLr"/>
          </w:tcPr>
          <w:p w14:paraId="27D0D5FE"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Funcții vacante</w:t>
            </w:r>
          </w:p>
        </w:tc>
        <w:tc>
          <w:tcPr>
            <w:tcW w:w="709" w:type="dxa"/>
            <w:shd w:val="clear" w:color="auto" w:fill="00B0F0"/>
            <w:textDirection w:val="btLr"/>
          </w:tcPr>
          <w:p w14:paraId="11AE3610"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Gradul</w:t>
            </w:r>
          </w:p>
          <w:p w14:paraId="635CAD8C"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de ocupare, %</w:t>
            </w:r>
          </w:p>
        </w:tc>
        <w:tc>
          <w:tcPr>
            <w:tcW w:w="567" w:type="dxa"/>
            <w:shd w:val="clear" w:color="auto" w:fill="00B0F0"/>
            <w:textDirection w:val="btLr"/>
          </w:tcPr>
          <w:p w14:paraId="757AB45D"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Unități</w:t>
            </w:r>
          </w:p>
          <w:p w14:paraId="7F665230"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aprobate</w:t>
            </w:r>
          </w:p>
        </w:tc>
        <w:tc>
          <w:tcPr>
            <w:tcW w:w="567" w:type="dxa"/>
            <w:shd w:val="clear" w:color="auto" w:fill="00B0F0"/>
            <w:textDirection w:val="btLr"/>
          </w:tcPr>
          <w:p w14:paraId="136BE5C4"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Efectiv</w:t>
            </w:r>
          </w:p>
          <w:p w14:paraId="2D5A3A17"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încadrate</w:t>
            </w:r>
          </w:p>
        </w:tc>
        <w:tc>
          <w:tcPr>
            <w:tcW w:w="425" w:type="dxa"/>
            <w:shd w:val="clear" w:color="auto" w:fill="00B0F0"/>
            <w:textDirection w:val="btLr"/>
          </w:tcPr>
          <w:p w14:paraId="79734C6F"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Funcții vacante</w:t>
            </w:r>
          </w:p>
        </w:tc>
        <w:tc>
          <w:tcPr>
            <w:tcW w:w="567" w:type="dxa"/>
            <w:shd w:val="clear" w:color="auto" w:fill="00B0F0"/>
            <w:textDirection w:val="btLr"/>
          </w:tcPr>
          <w:p w14:paraId="5748347C"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Gradul</w:t>
            </w:r>
          </w:p>
          <w:p w14:paraId="08126420"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de ocupare, %</w:t>
            </w:r>
          </w:p>
        </w:tc>
        <w:tc>
          <w:tcPr>
            <w:tcW w:w="709" w:type="dxa"/>
            <w:shd w:val="clear" w:color="auto" w:fill="00B0F0"/>
            <w:textDirection w:val="btLr"/>
          </w:tcPr>
          <w:p w14:paraId="4497C264"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Unități</w:t>
            </w:r>
          </w:p>
          <w:p w14:paraId="0D095AF6"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aprobate</w:t>
            </w:r>
          </w:p>
        </w:tc>
        <w:tc>
          <w:tcPr>
            <w:tcW w:w="567" w:type="dxa"/>
            <w:shd w:val="clear" w:color="auto" w:fill="00B0F0"/>
            <w:textDirection w:val="btLr"/>
          </w:tcPr>
          <w:p w14:paraId="3AF340AC"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Efectiv</w:t>
            </w:r>
          </w:p>
          <w:p w14:paraId="2104CDE5"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încadrate</w:t>
            </w:r>
          </w:p>
        </w:tc>
        <w:tc>
          <w:tcPr>
            <w:tcW w:w="425" w:type="dxa"/>
            <w:shd w:val="clear" w:color="auto" w:fill="00B0F0"/>
            <w:textDirection w:val="btLr"/>
          </w:tcPr>
          <w:p w14:paraId="505B81A3"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Funcții vacante</w:t>
            </w:r>
          </w:p>
        </w:tc>
        <w:tc>
          <w:tcPr>
            <w:tcW w:w="846" w:type="dxa"/>
            <w:shd w:val="clear" w:color="auto" w:fill="00B0F0"/>
            <w:textDirection w:val="btLr"/>
          </w:tcPr>
          <w:p w14:paraId="618933F0"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Gradul</w:t>
            </w:r>
          </w:p>
          <w:p w14:paraId="679A6357" w14:textId="77777777" w:rsidR="003F5A17" w:rsidRPr="00FD08E2" w:rsidRDefault="003F5A17" w:rsidP="005936C8">
            <w:pPr>
              <w:ind w:left="113" w:right="-754"/>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de ocupare, %</w:t>
            </w:r>
          </w:p>
        </w:tc>
      </w:tr>
      <w:tr w:rsidR="00C83CB5" w:rsidRPr="00FD08E2" w14:paraId="3401BEEE" w14:textId="77777777" w:rsidTr="006C5F48">
        <w:trPr>
          <w:jc w:val="center"/>
        </w:trPr>
        <w:tc>
          <w:tcPr>
            <w:tcW w:w="851" w:type="dxa"/>
          </w:tcPr>
          <w:p w14:paraId="7CC24ADB" w14:textId="77777777" w:rsidR="003F5A17" w:rsidRPr="00FD08E2" w:rsidRDefault="003F5A17" w:rsidP="005936C8">
            <w:pPr>
              <w:spacing w:before="120"/>
              <w:ind w:right="-755"/>
              <w:rPr>
                <w:rFonts w:ascii="Times New Roman" w:hAnsi="Times New Roman" w:cs="Times New Roman"/>
                <w:sz w:val="18"/>
                <w:szCs w:val="18"/>
                <w:lang w:val="ro-RO"/>
              </w:rPr>
            </w:pPr>
            <w:r w:rsidRPr="00FD08E2">
              <w:rPr>
                <w:rFonts w:ascii="Times New Roman" w:hAnsi="Times New Roman" w:cs="Times New Roman"/>
                <w:b/>
                <w:bCs/>
                <w:sz w:val="18"/>
                <w:szCs w:val="18"/>
                <w:lang w:val="ro-RO"/>
              </w:rPr>
              <w:t>2018</w:t>
            </w:r>
          </w:p>
        </w:tc>
        <w:tc>
          <w:tcPr>
            <w:tcW w:w="567" w:type="dxa"/>
          </w:tcPr>
          <w:p w14:paraId="44BEBA5B"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64000634"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6FFAEE3A" w14:textId="77777777" w:rsidR="003F5A17" w:rsidRPr="00FD08E2" w:rsidRDefault="003F5A17" w:rsidP="005936C8">
            <w:pPr>
              <w:spacing w:before="120"/>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w:t>
            </w:r>
          </w:p>
        </w:tc>
        <w:tc>
          <w:tcPr>
            <w:tcW w:w="709" w:type="dxa"/>
          </w:tcPr>
          <w:p w14:paraId="08921226"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c>
          <w:tcPr>
            <w:tcW w:w="567" w:type="dxa"/>
          </w:tcPr>
          <w:p w14:paraId="66CEDEA5"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29404B8A"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229EC0AE"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w:t>
            </w:r>
          </w:p>
        </w:tc>
        <w:tc>
          <w:tcPr>
            <w:tcW w:w="567" w:type="dxa"/>
          </w:tcPr>
          <w:p w14:paraId="3F529AFE"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c>
          <w:tcPr>
            <w:tcW w:w="709" w:type="dxa"/>
          </w:tcPr>
          <w:p w14:paraId="5F10DC8F"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708" w:type="dxa"/>
          </w:tcPr>
          <w:p w14:paraId="24EA556F"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w:t>
            </w:r>
          </w:p>
        </w:tc>
        <w:tc>
          <w:tcPr>
            <w:tcW w:w="567" w:type="dxa"/>
          </w:tcPr>
          <w:p w14:paraId="4CDC43FD" w14:textId="77777777" w:rsidR="003F5A17" w:rsidRPr="00FD08E2" w:rsidRDefault="003F5A17" w:rsidP="005936C8">
            <w:pPr>
              <w:spacing w:before="120"/>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1</w:t>
            </w:r>
          </w:p>
        </w:tc>
        <w:tc>
          <w:tcPr>
            <w:tcW w:w="709" w:type="dxa"/>
          </w:tcPr>
          <w:p w14:paraId="39291162"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50</w:t>
            </w:r>
          </w:p>
        </w:tc>
        <w:tc>
          <w:tcPr>
            <w:tcW w:w="567" w:type="dxa"/>
          </w:tcPr>
          <w:p w14:paraId="778CB996"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w:t>
            </w:r>
          </w:p>
        </w:tc>
        <w:tc>
          <w:tcPr>
            <w:tcW w:w="567" w:type="dxa"/>
          </w:tcPr>
          <w:p w14:paraId="6CB8994A"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w:t>
            </w:r>
          </w:p>
        </w:tc>
        <w:tc>
          <w:tcPr>
            <w:tcW w:w="425" w:type="dxa"/>
          </w:tcPr>
          <w:p w14:paraId="00DD9802" w14:textId="77777777" w:rsidR="003F5A17" w:rsidRPr="00FD08E2" w:rsidRDefault="003F5A17" w:rsidP="005936C8">
            <w:pPr>
              <w:spacing w:before="120"/>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1</w:t>
            </w:r>
          </w:p>
        </w:tc>
        <w:tc>
          <w:tcPr>
            <w:tcW w:w="567" w:type="dxa"/>
          </w:tcPr>
          <w:p w14:paraId="501D3C66"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0</w:t>
            </w:r>
          </w:p>
        </w:tc>
        <w:tc>
          <w:tcPr>
            <w:tcW w:w="709" w:type="dxa"/>
          </w:tcPr>
          <w:p w14:paraId="0CA2ED53"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w:t>
            </w:r>
          </w:p>
        </w:tc>
        <w:tc>
          <w:tcPr>
            <w:tcW w:w="567" w:type="dxa"/>
          </w:tcPr>
          <w:p w14:paraId="6177470B"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w:t>
            </w:r>
          </w:p>
        </w:tc>
        <w:tc>
          <w:tcPr>
            <w:tcW w:w="425" w:type="dxa"/>
          </w:tcPr>
          <w:p w14:paraId="37ED4C2F" w14:textId="77777777" w:rsidR="003F5A17" w:rsidRPr="00FD08E2" w:rsidRDefault="003F5A17" w:rsidP="005936C8">
            <w:pPr>
              <w:spacing w:before="120"/>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w:t>
            </w:r>
          </w:p>
        </w:tc>
        <w:tc>
          <w:tcPr>
            <w:tcW w:w="846" w:type="dxa"/>
          </w:tcPr>
          <w:p w14:paraId="25908317"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r>
      <w:tr w:rsidR="00C83CB5" w:rsidRPr="00FD08E2" w14:paraId="3A2D52C9" w14:textId="77777777" w:rsidTr="006C5F48">
        <w:trPr>
          <w:jc w:val="center"/>
        </w:trPr>
        <w:tc>
          <w:tcPr>
            <w:tcW w:w="851" w:type="dxa"/>
          </w:tcPr>
          <w:p w14:paraId="4206856E" w14:textId="77777777" w:rsidR="003F5A17" w:rsidRPr="00FD08E2" w:rsidRDefault="003F5A17" w:rsidP="005936C8">
            <w:pPr>
              <w:spacing w:before="120"/>
              <w:ind w:right="-755"/>
              <w:rPr>
                <w:rFonts w:ascii="Times New Roman" w:hAnsi="Times New Roman" w:cs="Times New Roman"/>
                <w:sz w:val="18"/>
                <w:szCs w:val="18"/>
                <w:lang w:val="ro-RO"/>
              </w:rPr>
            </w:pPr>
            <w:r w:rsidRPr="00FD08E2">
              <w:rPr>
                <w:rFonts w:ascii="Times New Roman" w:hAnsi="Times New Roman" w:cs="Times New Roman"/>
                <w:b/>
                <w:bCs/>
                <w:sz w:val="18"/>
                <w:szCs w:val="18"/>
                <w:lang w:val="ro-RO"/>
              </w:rPr>
              <w:t>2019</w:t>
            </w:r>
          </w:p>
        </w:tc>
        <w:tc>
          <w:tcPr>
            <w:tcW w:w="567" w:type="dxa"/>
          </w:tcPr>
          <w:p w14:paraId="0F39A60E"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31A41970"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7F70B9EC" w14:textId="77777777" w:rsidR="003F5A17" w:rsidRPr="00FD08E2" w:rsidRDefault="003F5A17" w:rsidP="005936C8">
            <w:pPr>
              <w:spacing w:before="120"/>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w:t>
            </w:r>
          </w:p>
        </w:tc>
        <w:tc>
          <w:tcPr>
            <w:tcW w:w="709" w:type="dxa"/>
          </w:tcPr>
          <w:p w14:paraId="22998394"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c>
          <w:tcPr>
            <w:tcW w:w="567" w:type="dxa"/>
          </w:tcPr>
          <w:p w14:paraId="76598D85"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64970F77"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123934A8"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w:t>
            </w:r>
          </w:p>
        </w:tc>
        <w:tc>
          <w:tcPr>
            <w:tcW w:w="567" w:type="dxa"/>
          </w:tcPr>
          <w:p w14:paraId="37A5BE24"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c>
          <w:tcPr>
            <w:tcW w:w="709" w:type="dxa"/>
          </w:tcPr>
          <w:p w14:paraId="6C7C2BE4"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708" w:type="dxa"/>
          </w:tcPr>
          <w:p w14:paraId="72ACA83C"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64BF00E7" w14:textId="77777777" w:rsidR="003F5A17" w:rsidRPr="00FD08E2" w:rsidRDefault="003F5A17" w:rsidP="005936C8">
            <w:pPr>
              <w:spacing w:before="120"/>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w:t>
            </w:r>
          </w:p>
        </w:tc>
        <w:tc>
          <w:tcPr>
            <w:tcW w:w="709" w:type="dxa"/>
          </w:tcPr>
          <w:p w14:paraId="0E92888B"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c>
          <w:tcPr>
            <w:tcW w:w="567" w:type="dxa"/>
          </w:tcPr>
          <w:p w14:paraId="268D022E"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w:t>
            </w:r>
          </w:p>
        </w:tc>
        <w:tc>
          <w:tcPr>
            <w:tcW w:w="567" w:type="dxa"/>
          </w:tcPr>
          <w:p w14:paraId="0A9975B5"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w:t>
            </w:r>
          </w:p>
        </w:tc>
        <w:tc>
          <w:tcPr>
            <w:tcW w:w="425" w:type="dxa"/>
          </w:tcPr>
          <w:p w14:paraId="3C454FCF" w14:textId="77777777" w:rsidR="003F5A17" w:rsidRPr="00FD08E2" w:rsidRDefault="003F5A17" w:rsidP="005936C8">
            <w:pPr>
              <w:spacing w:before="120"/>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1</w:t>
            </w:r>
          </w:p>
        </w:tc>
        <w:tc>
          <w:tcPr>
            <w:tcW w:w="567" w:type="dxa"/>
          </w:tcPr>
          <w:p w14:paraId="4A1394BC"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0</w:t>
            </w:r>
          </w:p>
        </w:tc>
        <w:tc>
          <w:tcPr>
            <w:tcW w:w="709" w:type="dxa"/>
          </w:tcPr>
          <w:p w14:paraId="6C3DD6A6"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w:t>
            </w:r>
          </w:p>
        </w:tc>
        <w:tc>
          <w:tcPr>
            <w:tcW w:w="567" w:type="dxa"/>
          </w:tcPr>
          <w:p w14:paraId="1B607CCB"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w:t>
            </w:r>
          </w:p>
        </w:tc>
        <w:tc>
          <w:tcPr>
            <w:tcW w:w="425" w:type="dxa"/>
          </w:tcPr>
          <w:p w14:paraId="5FA02D2B" w14:textId="77777777" w:rsidR="003F5A17" w:rsidRPr="00FD08E2" w:rsidRDefault="003F5A17" w:rsidP="005936C8">
            <w:pPr>
              <w:spacing w:before="120"/>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w:t>
            </w:r>
          </w:p>
        </w:tc>
        <w:tc>
          <w:tcPr>
            <w:tcW w:w="846" w:type="dxa"/>
          </w:tcPr>
          <w:p w14:paraId="1EF1B805"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r>
      <w:tr w:rsidR="00C83CB5" w:rsidRPr="00FD08E2" w14:paraId="24929058" w14:textId="77777777" w:rsidTr="006C5F48">
        <w:trPr>
          <w:jc w:val="center"/>
        </w:trPr>
        <w:tc>
          <w:tcPr>
            <w:tcW w:w="851" w:type="dxa"/>
          </w:tcPr>
          <w:p w14:paraId="77CDC0FB" w14:textId="77777777" w:rsidR="003F5A17" w:rsidRPr="00FD08E2" w:rsidRDefault="003F5A17" w:rsidP="005936C8">
            <w:pPr>
              <w:spacing w:before="120"/>
              <w:ind w:right="-755"/>
              <w:rPr>
                <w:rFonts w:ascii="Times New Roman" w:hAnsi="Times New Roman" w:cs="Times New Roman"/>
                <w:sz w:val="18"/>
                <w:szCs w:val="18"/>
                <w:lang w:val="ro-RO"/>
              </w:rPr>
            </w:pPr>
            <w:r w:rsidRPr="00FD08E2">
              <w:rPr>
                <w:rFonts w:ascii="Times New Roman" w:hAnsi="Times New Roman" w:cs="Times New Roman"/>
                <w:b/>
                <w:bCs/>
                <w:sz w:val="18"/>
                <w:szCs w:val="18"/>
                <w:lang w:val="ro-RO"/>
              </w:rPr>
              <w:t>2020</w:t>
            </w:r>
          </w:p>
        </w:tc>
        <w:tc>
          <w:tcPr>
            <w:tcW w:w="567" w:type="dxa"/>
          </w:tcPr>
          <w:p w14:paraId="2B7166D4"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3882A06B"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w:t>
            </w:r>
          </w:p>
        </w:tc>
        <w:tc>
          <w:tcPr>
            <w:tcW w:w="567" w:type="dxa"/>
          </w:tcPr>
          <w:p w14:paraId="0650F4B4" w14:textId="77777777" w:rsidR="003F5A17" w:rsidRPr="00FD08E2" w:rsidRDefault="003F5A17" w:rsidP="005936C8">
            <w:pPr>
              <w:spacing w:before="120"/>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1</w:t>
            </w:r>
          </w:p>
        </w:tc>
        <w:tc>
          <w:tcPr>
            <w:tcW w:w="709" w:type="dxa"/>
          </w:tcPr>
          <w:p w14:paraId="6AC849F8"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50</w:t>
            </w:r>
          </w:p>
        </w:tc>
        <w:tc>
          <w:tcPr>
            <w:tcW w:w="567" w:type="dxa"/>
          </w:tcPr>
          <w:p w14:paraId="20CAB238"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1B23E364"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4AD72D06"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w:t>
            </w:r>
          </w:p>
        </w:tc>
        <w:tc>
          <w:tcPr>
            <w:tcW w:w="567" w:type="dxa"/>
          </w:tcPr>
          <w:p w14:paraId="3BE713C6"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c>
          <w:tcPr>
            <w:tcW w:w="709" w:type="dxa"/>
          </w:tcPr>
          <w:p w14:paraId="2AEE6F8B"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708" w:type="dxa"/>
          </w:tcPr>
          <w:p w14:paraId="1839EE75"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017DB282" w14:textId="77777777" w:rsidR="003F5A17" w:rsidRPr="00FD08E2" w:rsidRDefault="003F5A17" w:rsidP="005936C8">
            <w:pPr>
              <w:spacing w:before="120"/>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w:t>
            </w:r>
          </w:p>
        </w:tc>
        <w:tc>
          <w:tcPr>
            <w:tcW w:w="709" w:type="dxa"/>
          </w:tcPr>
          <w:p w14:paraId="4E35DAF3"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c>
          <w:tcPr>
            <w:tcW w:w="567" w:type="dxa"/>
          </w:tcPr>
          <w:p w14:paraId="031D7F30"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w:t>
            </w:r>
          </w:p>
        </w:tc>
        <w:tc>
          <w:tcPr>
            <w:tcW w:w="567" w:type="dxa"/>
          </w:tcPr>
          <w:p w14:paraId="1DA50A63"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w:t>
            </w:r>
          </w:p>
        </w:tc>
        <w:tc>
          <w:tcPr>
            <w:tcW w:w="425" w:type="dxa"/>
          </w:tcPr>
          <w:p w14:paraId="5F8C496A" w14:textId="77777777" w:rsidR="003F5A17" w:rsidRPr="00FD08E2" w:rsidRDefault="003F5A17" w:rsidP="005936C8">
            <w:pPr>
              <w:spacing w:before="120"/>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1</w:t>
            </w:r>
          </w:p>
        </w:tc>
        <w:tc>
          <w:tcPr>
            <w:tcW w:w="567" w:type="dxa"/>
          </w:tcPr>
          <w:p w14:paraId="23E942FF"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0</w:t>
            </w:r>
          </w:p>
        </w:tc>
        <w:tc>
          <w:tcPr>
            <w:tcW w:w="709" w:type="dxa"/>
          </w:tcPr>
          <w:p w14:paraId="46BC0229"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w:t>
            </w:r>
          </w:p>
        </w:tc>
        <w:tc>
          <w:tcPr>
            <w:tcW w:w="567" w:type="dxa"/>
          </w:tcPr>
          <w:p w14:paraId="35ABAA59"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w:t>
            </w:r>
          </w:p>
        </w:tc>
        <w:tc>
          <w:tcPr>
            <w:tcW w:w="425" w:type="dxa"/>
          </w:tcPr>
          <w:p w14:paraId="15B2EECD" w14:textId="77777777" w:rsidR="003F5A17" w:rsidRPr="00FD08E2" w:rsidRDefault="003F5A17" w:rsidP="005936C8">
            <w:pPr>
              <w:spacing w:before="120"/>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w:t>
            </w:r>
          </w:p>
        </w:tc>
        <w:tc>
          <w:tcPr>
            <w:tcW w:w="846" w:type="dxa"/>
          </w:tcPr>
          <w:p w14:paraId="0C7FF97B"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r>
      <w:tr w:rsidR="00C83CB5" w:rsidRPr="00FD08E2" w14:paraId="288FFB8B" w14:textId="77777777" w:rsidTr="006C5F48">
        <w:trPr>
          <w:jc w:val="center"/>
        </w:trPr>
        <w:tc>
          <w:tcPr>
            <w:tcW w:w="851" w:type="dxa"/>
          </w:tcPr>
          <w:p w14:paraId="25B83D56" w14:textId="77777777" w:rsidR="003F5A17" w:rsidRPr="00FD08E2" w:rsidRDefault="003F5A17" w:rsidP="005936C8">
            <w:pPr>
              <w:spacing w:before="120"/>
              <w:ind w:right="-755"/>
              <w:rPr>
                <w:rFonts w:ascii="Times New Roman" w:hAnsi="Times New Roman" w:cs="Times New Roman"/>
                <w:sz w:val="18"/>
                <w:szCs w:val="18"/>
                <w:lang w:val="ro-RO"/>
              </w:rPr>
            </w:pPr>
            <w:r w:rsidRPr="00FD08E2">
              <w:rPr>
                <w:rFonts w:ascii="Times New Roman" w:hAnsi="Times New Roman" w:cs="Times New Roman"/>
                <w:b/>
                <w:bCs/>
                <w:sz w:val="18"/>
                <w:szCs w:val="18"/>
                <w:lang w:val="ro-RO"/>
              </w:rPr>
              <w:t>2021</w:t>
            </w:r>
          </w:p>
        </w:tc>
        <w:tc>
          <w:tcPr>
            <w:tcW w:w="567" w:type="dxa"/>
          </w:tcPr>
          <w:p w14:paraId="2815DD04"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69CCB4F2"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6D46A797" w14:textId="77777777" w:rsidR="003F5A17" w:rsidRPr="00FD08E2" w:rsidRDefault="003F5A17" w:rsidP="005936C8">
            <w:pPr>
              <w:spacing w:before="120"/>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w:t>
            </w:r>
          </w:p>
        </w:tc>
        <w:tc>
          <w:tcPr>
            <w:tcW w:w="709" w:type="dxa"/>
          </w:tcPr>
          <w:p w14:paraId="4A98397A"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c>
          <w:tcPr>
            <w:tcW w:w="567" w:type="dxa"/>
          </w:tcPr>
          <w:p w14:paraId="4CE1CD45"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0D8CA2A4"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6748277F"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w:t>
            </w:r>
          </w:p>
        </w:tc>
        <w:tc>
          <w:tcPr>
            <w:tcW w:w="567" w:type="dxa"/>
          </w:tcPr>
          <w:p w14:paraId="56201CA2"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c>
          <w:tcPr>
            <w:tcW w:w="709" w:type="dxa"/>
          </w:tcPr>
          <w:p w14:paraId="28F76977"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708" w:type="dxa"/>
          </w:tcPr>
          <w:p w14:paraId="3695C250"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w:t>
            </w:r>
          </w:p>
        </w:tc>
        <w:tc>
          <w:tcPr>
            <w:tcW w:w="567" w:type="dxa"/>
          </w:tcPr>
          <w:p w14:paraId="2A4C46DD" w14:textId="77777777" w:rsidR="003F5A17" w:rsidRPr="00FD08E2" w:rsidRDefault="003F5A17" w:rsidP="005936C8">
            <w:pPr>
              <w:spacing w:before="120"/>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1</w:t>
            </w:r>
          </w:p>
        </w:tc>
        <w:tc>
          <w:tcPr>
            <w:tcW w:w="709" w:type="dxa"/>
          </w:tcPr>
          <w:p w14:paraId="4B4750EB"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50</w:t>
            </w:r>
          </w:p>
        </w:tc>
        <w:tc>
          <w:tcPr>
            <w:tcW w:w="567" w:type="dxa"/>
          </w:tcPr>
          <w:p w14:paraId="09F82FE6"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w:t>
            </w:r>
          </w:p>
        </w:tc>
        <w:tc>
          <w:tcPr>
            <w:tcW w:w="567" w:type="dxa"/>
          </w:tcPr>
          <w:p w14:paraId="11524CF2"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w:t>
            </w:r>
          </w:p>
        </w:tc>
        <w:tc>
          <w:tcPr>
            <w:tcW w:w="425" w:type="dxa"/>
          </w:tcPr>
          <w:p w14:paraId="1D5E90D8" w14:textId="77777777" w:rsidR="003F5A17" w:rsidRPr="00FD08E2" w:rsidRDefault="003F5A17" w:rsidP="005936C8">
            <w:pPr>
              <w:spacing w:before="120"/>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w:t>
            </w:r>
          </w:p>
        </w:tc>
        <w:tc>
          <w:tcPr>
            <w:tcW w:w="567" w:type="dxa"/>
          </w:tcPr>
          <w:p w14:paraId="4FE77965"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c>
          <w:tcPr>
            <w:tcW w:w="709" w:type="dxa"/>
          </w:tcPr>
          <w:p w14:paraId="7E290A1A"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w:t>
            </w:r>
          </w:p>
        </w:tc>
        <w:tc>
          <w:tcPr>
            <w:tcW w:w="567" w:type="dxa"/>
          </w:tcPr>
          <w:p w14:paraId="077595AA"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w:t>
            </w:r>
          </w:p>
        </w:tc>
        <w:tc>
          <w:tcPr>
            <w:tcW w:w="425" w:type="dxa"/>
          </w:tcPr>
          <w:p w14:paraId="44FB44F1" w14:textId="77777777" w:rsidR="003F5A17" w:rsidRPr="00FD08E2" w:rsidRDefault="003F5A17" w:rsidP="005936C8">
            <w:pPr>
              <w:spacing w:before="120"/>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w:t>
            </w:r>
          </w:p>
        </w:tc>
        <w:tc>
          <w:tcPr>
            <w:tcW w:w="846" w:type="dxa"/>
          </w:tcPr>
          <w:p w14:paraId="7690B581"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r>
      <w:tr w:rsidR="00C83CB5" w:rsidRPr="00FD08E2" w14:paraId="011376B8" w14:textId="77777777" w:rsidTr="006C5F48">
        <w:trPr>
          <w:jc w:val="center"/>
        </w:trPr>
        <w:tc>
          <w:tcPr>
            <w:tcW w:w="851" w:type="dxa"/>
          </w:tcPr>
          <w:p w14:paraId="36B1C9B4" w14:textId="77777777" w:rsidR="003F5A17" w:rsidRPr="00FD08E2" w:rsidRDefault="003F5A17" w:rsidP="005936C8">
            <w:pPr>
              <w:spacing w:before="120"/>
              <w:ind w:right="-755"/>
              <w:rPr>
                <w:rFonts w:ascii="Times New Roman" w:hAnsi="Times New Roman" w:cs="Times New Roman"/>
                <w:sz w:val="18"/>
                <w:szCs w:val="18"/>
                <w:lang w:val="ro-RO"/>
              </w:rPr>
            </w:pPr>
            <w:r w:rsidRPr="00FD08E2">
              <w:rPr>
                <w:rFonts w:ascii="Times New Roman" w:hAnsi="Times New Roman" w:cs="Times New Roman"/>
                <w:b/>
                <w:bCs/>
                <w:sz w:val="18"/>
                <w:szCs w:val="18"/>
                <w:lang w:val="ro-RO"/>
              </w:rPr>
              <w:t>2022</w:t>
            </w:r>
          </w:p>
        </w:tc>
        <w:tc>
          <w:tcPr>
            <w:tcW w:w="567" w:type="dxa"/>
          </w:tcPr>
          <w:p w14:paraId="5D93DFCC"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0CFD740C"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w:t>
            </w:r>
          </w:p>
        </w:tc>
        <w:tc>
          <w:tcPr>
            <w:tcW w:w="567" w:type="dxa"/>
          </w:tcPr>
          <w:p w14:paraId="7259A927" w14:textId="77777777" w:rsidR="003F5A17" w:rsidRPr="00FD08E2" w:rsidRDefault="003F5A17" w:rsidP="005936C8">
            <w:pPr>
              <w:spacing w:before="120"/>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1</w:t>
            </w:r>
          </w:p>
        </w:tc>
        <w:tc>
          <w:tcPr>
            <w:tcW w:w="709" w:type="dxa"/>
          </w:tcPr>
          <w:p w14:paraId="74BB313B"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50</w:t>
            </w:r>
          </w:p>
        </w:tc>
        <w:tc>
          <w:tcPr>
            <w:tcW w:w="567" w:type="dxa"/>
          </w:tcPr>
          <w:p w14:paraId="4C5C8C35"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157BBD20"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47132F5E"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w:t>
            </w:r>
          </w:p>
        </w:tc>
        <w:tc>
          <w:tcPr>
            <w:tcW w:w="567" w:type="dxa"/>
          </w:tcPr>
          <w:p w14:paraId="460D1293"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c>
          <w:tcPr>
            <w:tcW w:w="709" w:type="dxa"/>
          </w:tcPr>
          <w:p w14:paraId="7E8E5AAE"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708" w:type="dxa"/>
          </w:tcPr>
          <w:p w14:paraId="3639B7C7"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2</w:t>
            </w:r>
          </w:p>
        </w:tc>
        <w:tc>
          <w:tcPr>
            <w:tcW w:w="567" w:type="dxa"/>
          </w:tcPr>
          <w:p w14:paraId="5F4C1CCA" w14:textId="77777777" w:rsidR="003F5A17" w:rsidRPr="00FD08E2" w:rsidRDefault="003F5A17" w:rsidP="005936C8">
            <w:pPr>
              <w:spacing w:before="120"/>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w:t>
            </w:r>
          </w:p>
        </w:tc>
        <w:tc>
          <w:tcPr>
            <w:tcW w:w="709" w:type="dxa"/>
          </w:tcPr>
          <w:p w14:paraId="05F966E0"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c>
          <w:tcPr>
            <w:tcW w:w="567" w:type="dxa"/>
          </w:tcPr>
          <w:p w14:paraId="4BEC4BA8"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w:t>
            </w:r>
          </w:p>
        </w:tc>
        <w:tc>
          <w:tcPr>
            <w:tcW w:w="567" w:type="dxa"/>
          </w:tcPr>
          <w:p w14:paraId="431F5348"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w:t>
            </w:r>
          </w:p>
        </w:tc>
        <w:tc>
          <w:tcPr>
            <w:tcW w:w="425" w:type="dxa"/>
          </w:tcPr>
          <w:p w14:paraId="23CAD689" w14:textId="77777777" w:rsidR="003F5A17" w:rsidRPr="00FD08E2" w:rsidRDefault="003F5A17" w:rsidP="005936C8">
            <w:pPr>
              <w:spacing w:before="120"/>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w:t>
            </w:r>
          </w:p>
        </w:tc>
        <w:tc>
          <w:tcPr>
            <w:tcW w:w="567" w:type="dxa"/>
          </w:tcPr>
          <w:p w14:paraId="37951665"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c>
          <w:tcPr>
            <w:tcW w:w="709" w:type="dxa"/>
          </w:tcPr>
          <w:p w14:paraId="6D88E540"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w:t>
            </w:r>
          </w:p>
        </w:tc>
        <w:tc>
          <w:tcPr>
            <w:tcW w:w="567" w:type="dxa"/>
          </w:tcPr>
          <w:p w14:paraId="37CFA9CF"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w:t>
            </w:r>
          </w:p>
        </w:tc>
        <w:tc>
          <w:tcPr>
            <w:tcW w:w="425" w:type="dxa"/>
          </w:tcPr>
          <w:p w14:paraId="34B230DC" w14:textId="77777777" w:rsidR="003F5A17" w:rsidRPr="00FD08E2" w:rsidRDefault="003F5A17" w:rsidP="005936C8">
            <w:pPr>
              <w:spacing w:before="120"/>
              <w:ind w:right="-755"/>
              <w:jc w:val="both"/>
              <w:rPr>
                <w:rFonts w:ascii="Times New Roman" w:hAnsi="Times New Roman" w:cs="Times New Roman"/>
                <w:b/>
                <w:bCs/>
                <w:sz w:val="18"/>
                <w:szCs w:val="18"/>
                <w:lang w:val="ro-RO"/>
              </w:rPr>
            </w:pPr>
            <w:r w:rsidRPr="00FD08E2">
              <w:rPr>
                <w:rFonts w:ascii="Times New Roman" w:hAnsi="Times New Roman" w:cs="Times New Roman"/>
                <w:b/>
                <w:bCs/>
                <w:sz w:val="18"/>
                <w:szCs w:val="18"/>
                <w:lang w:val="ro-RO"/>
              </w:rPr>
              <w:t>-</w:t>
            </w:r>
          </w:p>
        </w:tc>
        <w:tc>
          <w:tcPr>
            <w:tcW w:w="846" w:type="dxa"/>
          </w:tcPr>
          <w:p w14:paraId="3309266A" w14:textId="77777777" w:rsidR="003F5A17" w:rsidRPr="00FD08E2" w:rsidRDefault="003F5A17" w:rsidP="005936C8">
            <w:pPr>
              <w:spacing w:before="120"/>
              <w:ind w:right="-755"/>
              <w:jc w:val="both"/>
              <w:rPr>
                <w:rFonts w:ascii="Times New Roman" w:hAnsi="Times New Roman" w:cs="Times New Roman"/>
                <w:sz w:val="18"/>
                <w:szCs w:val="18"/>
                <w:lang w:val="ro-RO"/>
              </w:rPr>
            </w:pPr>
            <w:r w:rsidRPr="00FD08E2">
              <w:rPr>
                <w:rFonts w:ascii="Times New Roman" w:hAnsi="Times New Roman" w:cs="Times New Roman"/>
                <w:sz w:val="18"/>
                <w:szCs w:val="18"/>
                <w:lang w:val="ro-RO"/>
              </w:rPr>
              <w:t>100</w:t>
            </w:r>
          </w:p>
        </w:tc>
      </w:tr>
    </w:tbl>
    <w:p w14:paraId="62BE2BE3" w14:textId="77777777" w:rsidR="00C83CB5" w:rsidRPr="00DD6A7A" w:rsidRDefault="00B37490" w:rsidP="00B37490">
      <w:pPr>
        <w:rPr>
          <w:rFonts w:ascii="Times New Roman" w:hAnsi="Times New Roman" w:cs="Times New Roman"/>
          <w:b/>
          <w:i/>
          <w:sz w:val="24"/>
          <w:szCs w:val="24"/>
        </w:rPr>
      </w:pPr>
      <w:r w:rsidRPr="00DD6A7A">
        <w:rPr>
          <w:rFonts w:ascii="Times New Roman" w:hAnsi="Times New Roman" w:cs="Times New Roman"/>
          <w:b/>
          <w:i/>
          <w:sz w:val="20"/>
          <w:szCs w:val="20"/>
        </w:rPr>
        <w:t xml:space="preserve">              </w:t>
      </w:r>
      <w:r w:rsidR="00F67A15" w:rsidRPr="00DD6A7A">
        <w:rPr>
          <w:rFonts w:ascii="Times New Roman" w:hAnsi="Times New Roman" w:cs="Times New Roman"/>
          <w:b/>
          <w:i/>
          <w:sz w:val="20"/>
          <w:szCs w:val="20"/>
        </w:rPr>
        <w:t xml:space="preserve">    </w:t>
      </w:r>
      <w:r w:rsidRPr="00DD6A7A">
        <w:rPr>
          <w:rFonts w:ascii="Times New Roman" w:hAnsi="Times New Roman" w:cs="Times New Roman"/>
          <w:b/>
          <w:i/>
          <w:sz w:val="20"/>
          <w:szCs w:val="20"/>
        </w:rPr>
        <w:t>Sursa</w:t>
      </w:r>
      <w:r w:rsidRPr="00DD6A7A">
        <w:rPr>
          <w:rFonts w:ascii="Times New Roman" w:hAnsi="Times New Roman" w:cs="Times New Roman"/>
          <w:i/>
          <w:sz w:val="20"/>
          <w:szCs w:val="20"/>
        </w:rPr>
        <w:t>: Date generalizate de echipa de audit</w:t>
      </w:r>
      <w:r w:rsidR="006B4345" w:rsidRPr="00DD6A7A">
        <w:rPr>
          <w:rFonts w:ascii="Times New Roman" w:hAnsi="Times New Roman" w:cs="Times New Roman"/>
          <w:i/>
          <w:sz w:val="20"/>
          <w:szCs w:val="20"/>
        </w:rPr>
        <w:t xml:space="preserve"> privind funcțiile vacante pe subdiviziuni.</w:t>
      </w:r>
    </w:p>
    <w:p w14:paraId="34A68267" w14:textId="77777777" w:rsidR="00531982" w:rsidRPr="00DD6A7A" w:rsidRDefault="00634FF1" w:rsidP="00634FF1">
      <w:pPr>
        <w:rPr>
          <w:rFonts w:ascii="Times New Roman" w:hAnsi="Times New Roman" w:cs="Times New Roman"/>
          <w:b/>
          <w:i/>
          <w:sz w:val="24"/>
          <w:szCs w:val="24"/>
        </w:rPr>
      </w:pPr>
      <w:r w:rsidRPr="00DD6A7A">
        <w:rPr>
          <w:rFonts w:ascii="Times New Roman" w:hAnsi="Times New Roman" w:cs="Times New Roman"/>
          <w:b/>
          <w:i/>
          <w:sz w:val="24"/>
          <w:szCs w:val="24"/>
        </w:rPr>
        <w:t xml:space="preserve">                                                                                                                                                                                 </w:t>
      </w:r>
      <w:r w:rsidR="00D65804">
        <w:rPr>
          <w:rFonts w:ascii="Times New Roman" w:hAnsi="Times New Roman" w:cs="Times New Roman"/>
          <w:b/>
          <w:i/>
          <w:sz w:val="24"/>
          <w:szCs w:val="24"/>
        </w:rPr>
        <w:t xml:space="preserve">                          </w:t>
      </w:r>
      <w:r w:rsidR="002E229F" w:rsidRPr="00DD6A7A">
        <w:rPr>
          <w:rFonts w:ascii="Times New Roman" w:hAnsi="Times New Roman" w:cs="Times New Roman"/>
          <w:b/>
          <w:i/>
          <w:sz w:val="24"/>
          <w:szCs w:val="24"/>
        </w:rPr>
        <w:t>Anexa</w:t>
      </w:r>
      <w:r w:rsidR="00531982" w:rsidRPr="00DD6A7A">
        <w:rPr>
          <w:rFonts w:ascii="Times New Roman" w:hAnsi="Times New Roman" w:cs="Times New Roman"/>
          <w:b/>
          <w:i/>
          <w:sz w:val="24"/>
          <w:szCs w:val="24"/>
        </w:rPr>
        <w:t xml:space="preserve"> nr.</w:t>
      </w:r>
      <w:r w:rsidR="008A2E52" w:rsidRPr="00DD6A7A">
        <w:rPr>
          <w:rFonts w:ascii="Times New Roman" w:hAnsi="Times New Roman" w:cs="Times New Roman"/>
          <w:b/>
          <w:i/>
          <w:sz w:val="24"/>
          <w:szCs w:val="24"/>
        </w:rPr>
        <w:t>3</w:t>
      </w:r>
    </w:p>
    <w:p w14:paraId="72E56DAD" w14:textId="2F762B0E" w:rsidR="0027547A" w:rsidRPr="00605F45" w:rsidRDefault="003153CD" w:rsidP="00605F45">
      <w:pPr>
        <w:spacing w:after="0"/>
        <w:jc w:val="center"/>
        <w:rPr>
          <w:rFonts w:ascii="Times New Roman" w:hAnsi="Times New Roman" w:cs="Times New Roman"/>
          <w:b/>
          <w:i/>
        </w:rPr>
      </w:pPr>
      <w:r w:rsidRPr="00605F45">
        <w:rPr>
          <w:rFonts w:ascii="Times New Roman" w:hAnsi="Times New Roman" w:cs="Times New Roman"/>
          <w:b/>
        </w:rPr>
        <w:t xml:space="preserve">Date analitice privind sursele de finanțare a  activității </w:t>
      </w:r>
      <w:r w:rsidR="00281115" w:rsidRPr="00605F45">
        <w:rPr>
          <w:rFonts w:ascii="Times New Roman" w:hAnsi="Times New Roman" w:cs="Times New Roman"/>
          <w:b/>
        </w:rPr>
        <w:t xml:space="preserve">CNPDCP </w:t>
      </w:r>
      <w:r w:rsidRPr="00605F45">
        <w:rPr>
          <w:rFonts w:ascii="Times New Roman" w:hAnsi="Times New Roman" w:cs="Times New Roman"/>
          <w:b/>
        </w:rPr>
        <w:t>și valorific</w:t>
      </w:r>
      <w:r w:rsidR="009B05BF" w:rsidRPr="00605F45">
        <w:rPr>
          <w:rFonts w:ascii="Times New Roman" w:hAnsi="Times New Roman" w:cs="Times New Roman"/>
          <w:b/>
        </w:rPr>
        <w:t>area</w:t>
      </w:r>
      <w:r w:rsidR="008E645E" w:rsidRPr="00605F45">
        <w:rPr>
          <w:rFonts w:ascii="Times New Roman" w:hAnsi="Times New Roman" w:cs="Times New Roman"/>
          <w:b/>
        </w:rPr>
        <w:t xml:space="preserve"> mijloacelor bugetare </w:t>
      </w:r>
      <w:r w:rsidRPr="00605F45">
        <w:rPr>
          <w:rFonts w:ascii="Times New Roman" w:hAnsi="Times New Roman" w:cs="Times New Roman"/>
          <w:b/>
        </w:rPr>
        <w:t>în anii 2018-2022</w:t>
      </w:r>
      <w:r w:rsidR="003F5A17" w:rsidRPr="00605F45">
        <w:rPr>
          <w:rFonts w:ascii="Times New Roman" w:hAnsi="Times New Roman" w:cs="Times New Roman"/>
          <w:b/>
        </w:rPr>
        <w:t xml:space="preserve"> (mil.lei)</w:t>
      </w:r>
    </w:p>
    <w:tbl>
      <w:tblPr>
        <w:tblW w:w="12615" w:type="dxa"/>
        <w:jc w:val="center"/>
        <w:tblLook w:val="04A0" w:firstRow="1" w:lastRow="0" w:firstColumn="1" w:lastColumn="0" w:noHBand="0" w:noVBand="1"/>
      </w:tblPr>
      <w:tblGrid>
        <w:gridCol w:w="3210"/>
        <w:gridCol w:w="887"/>
        <w:gridCol w:w="993"/>
        <w:gridCol w:w="1024"/>
        <w:gridCol w:w="1024"/>
        <w:gridCol w:w="1233"/>
        <w:gridCol w:w="1131"/>
        <w:gridCol w:w="990"/>
        <w:gridCol w:w="1131"/>
        <w:gridCol w:w="992"/>
      </w:tblGrid>
      <w:tr w:rsidR="0027547A" w:rsidRPr="00DD6A7A" w14:paraId="249D6FA0" w14:textId="77777777" w:rsidTr="00D4082B">
        <w:trPr>
          <w:trHeight w:val="890"/>
          <w:jc w:val="center"/>
        </w:trPr>
        <w:tc>
          <w:tcPr>
            <w:tcW w:w="3233" w:type="dxa"/>
            <w:tcBorders>
              <w:top w:val="single" w:sz="8" w:space="0" w:color="000000"/>
              <w:left w:val="single" w:sz="8" w:space="0" w:color="000000"/>
              <w:bottom w:val="single" w:sz="8" w:space="0" w:color="000000"/>
              <w:right w:val="single" w:sz="8" w:space="0" w:color="000000"/>
            </w:tcBorders>
            <w:shd w:val="clear" w:color="auto" w:fill="C00000"/>
            <w:hideMark/>
          </w:tcPr>
          <w:p w14:paraId="66AD71E4" w14:textId="77777777" w:rsidR="0027547A" w:rsidRPr="00DD6A7A" w:rsidRDefault="0027547A" w:rsidP="00C43819">
            <w:pPr>
              <w:spacing w:after="0" w:line="240" w:lineRule="auto"/>
              <w:jc w:val="center"/>
              <w:rPr>
                <w:rFonts w:ascii="Times New Roman" w:eastAsia="Times New Roman" w:hAnsi="Times New Roman" w:cs="Times New Roman"/>
                <w:b/>
                <w:bCs/>
                <w:color w:val="FFFFFF" w:themeColor="background1"/>
                <w:sz w:val="18"/>
                <w:szCs w:val="18"/>
                <w:lang w:val="ro-RO"/>
              </w:rPr>
            </w:pPr>
            <w:r w:rsidRPr="00DD6A7A">
              <w:rPr>
                <w:rFonts w:ascii="Times New Roman" w:eastAsia="Times New Roman" w:hAnsi="Times New Roman" w:cs="Times New Roman"/>
                <w:b/>
                <w:bCs/>
                <w:color w:val="FFFFFF" w:themeColor="background1"/>
                <w:sz w:val="18"/>
                <w:szCs w:val="18"/>
                <w:lang w:val="ro-RO"/>
              </w:rPr>
              <w:t>Denumirea indicatorului</w:t>
            </w:r>
          </w:p>
        </w:tc>
        <w:tc>
          <w:tcPr>
            <w:tcW w:w="850" w:type="dxa"/>
            <w:tcBorders>
              <w:top w:val="single" w:sz="8" w:space="0" w:color="000000"/>
              <w:left w:val="nil"/>
              <w:bottom w:val="single" w:sz="8" w:space="0" w:color="000000"/>
              <w:right w:val="single" w:sz="8" w:space="0" w:color="000000"/>
            </w:tcBorders>
            <w:shd w:val="clear" w:color="auto" w:fill="C00000"/>
            <w:hideMark/>
          </w:tcPr>
          <w:p w14:paraId="26F73556" w14:textId="635E8FFA" w:rsidR="0027547A" w:rsidRPr="00DD6A7A" w:rsidRDefault="0027547A" w:rsidP="00C44A50">
            <w:pPr>
              <w:spacing w:after="0" w:line="240" w:lineRule="auto"/>
              <w:jc w:val="center"/>
              <w:rPr>
                <w:rFonts w:ascii="Times New Roman" w:eastAsia="Times New Roman" w:hAnsi="Times New Roman" w:cs="Times New Roman"/>
                <w:b/>
                <w:bCs/>
                <w:color w:val="FFFFFF" w:themeColor="background1"/>
                <w:sz w:val="18"/>
                <w:szCs w:val="18"/>
                <w:lang w:val="ro-RO"/>
              </w:rPr>
            </w:pPr>
            <w:r w:rsidRPr="00DD6A7A">
              <w:rPr>
                <w:rFonts w:ascii="Times New Roman" w:eastAsia="Times New Roman" w:hAnsi="Times New Roman" w:cs="Times New Roman"/>
                <w:b/>
                <w:bCs/>
                <w:color w:val="FFFFFF" w:themeColor="background1"/>
                <w:sz w:val="18"/>
                <w:szCs w:val="18"/>
                <w:lang w:val="ro-RO"/>
              </w:rPr>
              <w:t>Codul r</w:t>
            </w:r>
            <w:r w:rsidR="00C44A50">
              <w:rPr>
                <w:rFonts w:ascii="Times New Roman" w:eastAsia="Times New Roman" w:hAnsi="Times New Roman" w:cs="Times New Roman"/>
                <w:b/>
                <w:bCs/>
                <w:color w:val="FFFFFF" w:themeColor="background1"/>
                <w:sz w:val="18"/>
                <w:szCs w:val="18"/>
                <w:lang w:val="ro-RO"/>
              </w:rPr>
              <w:t>â</w:t>
            </w:r>
            <w:r w:rsidRPr="00DD6A7A">
              <w:rPr>
                <w:rFonts w:ascii="Times New Roman" w:eastAsia="Times New Roman" w:hAnsi="Times New Roman" w:cs="Times New Roman"/>
                <w:b/>
                <w:bCs/>
                <w:color w:val="FFFFFF" w:themeColor="background1"/>
                <w:sz w:val="18"/>
                <w:szCs w:val="18"/>
                <w:lang w:val="ro-RO"/>
              </w:rPr>
              <w:t>ndului</w:t>
            </w:r>
          </w:p>
        </w:tc>
        <w:tc>
          <w:tcPr>
            <w:tcW w:w="993" w:type="dxa"/>
            <w:tcBorders>
              <w:top w:val="single" w:sz="8" w:space="0" w:color="000000"/>
              <w:left w:val="nil"/>
              <w:bottom w:val="nil"/>
              <w:right w:val="nil"/>
            </w:tcBorders>
            <w:shd w:val="clear" w:color="auto" w:fill="C00000"/>
            <w:hideMark/>
          </w:tcPr>
          <w:p w14:paraId="74C5E13B" w14:textId="77777777" w:rsidR="0027547A" w:rsidRPr="00DD6A7A" w:rsidRDefault="0027547A" w:rsidP="00C43819">
            <w:pPr>
              <w:spacing w:after="0" w:line="240" w:lineRule="auto"/>
              <w:jc w:val="center"/>
              <w:rPr>
                <w:rFonts w:ascii="Times New Roman" w:eastAsia="Times New Roman" w:hAnsi="Times New Roman" w:cs="Times New Roman"/>
                <w:b/>
                <w:bCs/>
                <w:color w:val="FFFFFF" w:themeColor="background1"/>
                <w:sz w:val="18"/>
                <w:szCs w:val="18"/>
                <w:lang w:val="ro-RO"/>
              </w:rPr>
            </w:pPr>
            <w:r w:rsidRPr="00DD6A7A">
              <w:rPr>
                <w:rFonts w:ascii="Times New Roman" w:eastAsia="Times New Roman" w:hAnsi="Times New Roman" w:cs="Times New Roman"/>
                <w:b/>
                <w:bCs/>
                <w:color w:val="FFFFFF" w:themeColor="background1"/>
                <w:sz w:val="18"/>
                <w:szCs w:val="18"/>
                <w:lang w:val="ro-RO"/>
              </w:rPr>
              <w:t>ECO k1-k6</w:t>
            </w:r>
          </w:p>
        </w:tc>
        <w:tc>
          <w:tcPr>
            <w:tcW w:w="1025" w:type="dxa"/>
            <w:tcBorders>
              <w:top w:val="single" w:sz="8" w:space="0" w:color="auto"/>
              <w:left w:val="single" w:sz="8" w:space="0" w:color="auto"/>
              <w:bottom w:val="nil"/>
              <w:right w:val="single" w:sz="8" w:space="0" w:color="auto"/>
            </w:tcBorders>
            <w:shd w:val="clear" w:color="auto" w:fill="C00000"/>
            <w:hideMark/>
          </w:tcPr>
          <w:p w14:paraId="665E8F17" w14:textId="77777777" w:rsidR="0027547A" w:rsidRPr="00DD6A7A" w:rsidRDefault="0027547A" w:rsidP="00C43819">
            <w:pPr>
              <w:spacing w:after="0" w:line="240" w:lineRule="auto"/>
              <w:jc w:val="center"/>
              <w:rPr>
                <w:rFonts w:ascii="Times New Roman" w:eastAsia="Times New Roman" w:hAnsi="Times New Roman" w:cs="Times New Roman"/>
                <w:b/>
                <w:bCs/>
                <w:color w:val="FFFFFF" w:themeColor="background1"/>
                <w:sz w:val="18"/>
                <w:szCs w:val="18"/>
                <w:lang w:val="ro-RO"/>
              </w:rPr>
            </w:pPr>
            <w:r w:rsidRPr="00DD6A7A">
              <w:rPr>
                <w:rFonts w:ascii="Times New Roman" w:eastAsia="Times New Roman" w:hAnsi="Times New Roman" w:cs="Times New Roman"/>
                <w:b/>
                <w:bCs/>
                <w:color w:val="FFFFFF" w:themeColor="background1"/>
                <w:sz w:val="18"/>
                <w:szCs w:val="18"/>
                <w:lang w:val="ro-RO"/>
              </w:rPr>
              <w:t>Aprobat initial pe an</w:t>
            </w:r>
          </w:p>
        </w:tc>
        <w:tc>
          <w:tcPr>
            <w:tcW w:w="1025" w:type="dxa"/>
            <w:tcBorders>
              <w:top w:val="single" w:sz="8" w:space="0" w:color="auto"/>
              <w:left w:val="nil"/>
              <w:bottom w:val="nil"/>
              <w:right w:val="single" w:sz="8" w:space="0" w:color="auto"/>
            </w:tcBorders>
            <w:shd w:val="clear" w:color="auto" w:fill="C00000"/>
            <w:hideMark/>
          </w:tcPr>
          <w:p w14:paraId="54A44C88" w14:textId="77777777" w:rsidR="0027547A" w:rsidRPr="00DD6A7A" w:rsidRDefault="0027547A" w:rsidP="00C43819">
            <w:pPr>
              <w:spacing w:after="0" w:line="240" w:lineRule="auto"/>
              <w:jc w:val="center"/>
              <w:rPr>
                <w:rFonts w:ascii="Times New Roman" w:eastAsia="Times New Roman" w:hAnsi="Times New Roman" w:cs="Times New Roman"/>
                <w:b/>
                <w:bCs/>
                <w:color w:val="FFFFFF" w:themeColor="background1"/>
                <w:sz w:val="18"/>
                <w:szCs w:val="18"/>
                <w:lang w:val="ro-RO"/>
              </w:rPr>
            </w:pPr>
            <w:r w:rsidRPr="00DD6A7A">
              <w:rPr>
                <w:rFonts w:ascii="Times New Roman" w:eastAsia="Times New Roman" w:hAnsi="Times New Roman" w:cs="Times New Roman"/>
                <w:b/>
                <w:bCs/>
                <w:color w:val="FFFFFF" w:themeColor="background1"/>
                <w:sz w:val="18"/>
                <w:szCs w:val="18"/>
                <w:lang w:val="ro-RO"/>
              </w:rPr>
              <w:t>Plan precizat pe an</w:t>
            </w:r>
          </w:p>
        </w:tc>
        <w:tc>
          <w:tcPr>
            <w:tcW w:w="1237" w:type="dxa"/>
            <w:tcBorders>
              <w:top w:val="single" w:sz="8" w:space="0" w:color="auto"/>
              <w:left w:val="nil"/>
              <w:bottom w:val="nil"/>
              <w:right w:val="single" w:sz="8" w:space="0" w:color="auto"/>
            </w:tcBorders>
            <w:shd w:val="clear" w:color="auto" w:fill="C00000"/>
            <w:hideMark/>
          </w:tcPr>
          <w:p w14:paraId="3E18DBD1" w14:textId="77777777" w:rsidR="0027547A" w:rsidRPr="00DD6A7A" w:rsidRDefault="0027547A" w:rsidP="00C43819">
            <w:pPr>
              <w:spacing w:after="0" w:line="240" w:lineRule="auto"/>
              <w:jc w:val="center"/>
              <w:rPr>
                <w:rFonts w:ascii="Times New Roman" w:eastAsia="Times New Roman" w:hAnsi="Times New Roman" w:cs="Times New Roman"/>
                <w:b/>
                <w:bCs/>
                <w:color w:val="FFFFFF" w:themeColor="background1"/>
                <w:sz w:val="18"/>
                <w:szCs w:val="18"/>
                <w:lang w:val="ro-RO"/>
              </w:rPr>
            </w:pPr>
            <w:r w:rsidRPr="00DD6A7A">
              <w:rPr>
                <w:rFonts w:ascii="Times New Roman" w:eastAsia="Times New Roman" w:hAnsi="Times New Roman" w:cs="Times New Roman"/>
                <w:b/>
                <w:bCs/>
                <w:color w:val="FFFFFF" w:themeColor="background1"/>
                <w:sz w:val="18"/>
                <w:szCs w:val="18"/>
                <w:lang w:val="ro-RO"/>
              </w:rPr>
              <w:t>Executat în perioada de gestiune</w:t>
            </w:r>
          </w:p>
        </w:tc>
        <w:tc>
          <w:tcPr>
            <w:tcW w:w="1134" w:type="dxa"/>
            <w:tcBorders>
              <w:top w:val="single" w:sz="8" w:space="0" w:color="auto"/>
              <w:left w:val="nil"/>
              <w:bottom w:val="nil"/>
              <w:right w:val="single" w:sz="8" w:space="0" w:color="auto"/>
            </w:tcBorders>
            <w:shd w:val="clear" w:color="auto" w:fill="C00000"/>
            <w:hideMark/>
          </w:tcPr>
          <w:p w14:paraId="5AB5B5AB" w14:textId="77777777" w:rsidR="0027547A" w:rsidRPr="00DD6A7A" w:rsidRDefault="0027547A" w:rsidP="00C43819">
            <w:pPr>
              <w:spacing w:after="0" w:line="240" w:lineRule="auto"/>
              <w:jc w:val="center"/>
              <w:rPr>
                <w:rFonts w:ascii="Times New Roman" w:eastAsia="Times New Roman" w:hAnsi="Times New Roman" w:cs="Times New Roman"/>
                <w:b/>
                <w:bCs/>
                <w:color w:val="FFFFFF" w:themeColor="background1"/>
                <w:sz w:val="18"/>
                <w:szCs w:val="18"/>
                <w:lang w:val="ro-RO"/>
              </w:rPr>
            </w:pPr>
            <w:r w:rsidRPr="00DD6A7A">
              <w:rPr>
                <w:rFonts w:ascii="Times New Roman" w:eastAsia="Times New Roman" w:hAnsi="Times New Roman" w:cs="Times New Roman"/>
                <w:b/>
                <w:bCs/>
                <w:color w:val="FFFFFF" w:themeColor="background1"/>
                <w:sz w:val="18"/>
                <w:szCs w:val="18"/>
                <w:lang w:val="ro-RO"/>
              </w:rPr>
              <w:t>Venituri / cheltuieli efective</w:t>
            </w:r>
          </w:p>
        </w:tc>
        <w:tc>
          <w:tcPr>
            <w:tcW w:w="992" w:type="dxa"/>
            <w:tcBorders>
              <w:top w:val="single" w:sz="8" w:space="0" w:color="auto"/>
              <w:left w:val="nil"/>
              <w:bottom w:val="nil"/>
              <w:right w:val="single" w:sz="8" w:space="0" w:color="auto"/>
            </w:tcBorders>
            <w:shd w:val="clear" w:color="auto" w:fill="C00000"/>
            <w:hideMark/>
          </w:tcPr>
          <w:p w14:paraId="08074BAC" w14:textId="77777777" w:rsidR="0027547A" w:rsidRPr="00DD6A7A" w:rsidRDefault="0027547A" w:rsidP="00C43819">
            <w:pPr>
              <w:spacing w:after="0" w:line="240" w:lineRule="auto"/>
              <w:jc w:val="center"/>
              <w:rPr>
                <w:rFonts w:ascii="Times New Roman" w:eastAsia="Times New Roman" w:hAnsi="Times New Roman" w:cs="Times New Roman"/>
                <w:b/>
                <w:bCs/>
                <w:i/>
                <w:iCs/>
                <w:color w:val="FFFFFF" w:themeColor="background1"/>
                <w:sz w:val="18"/>
                <w:szCs w:val="18"/>
                <w:lang w:val="ro-RO"/>
              </w:rPr>
            </w:pPr>
            <w:r w:rsidRPr="00DD6A7A">
              <w:rPr>
                <w:rFonts w:ascii="Times New Roman" w:eastAsia="Times New Roman" w:hAnsi="Times New Roman" w:cs="Times New Roman"/>
                <w:b/>
                <w:bCs/>
                <w:i/>
                <w:iCs/>
                <w:color w:val="FFFFFF" w:themeColor="background1"/>
                <w:sz w:val="18"/>
                <w:szCs w:val="18"/>
                <w:lang w:val="ro-RO"/>
              </w:rPr>
              <w:t>Precizat-Aprobat</w:t>
            </w:r>
          </w:p>
        </w:tc>
        <w:tc>
          <w:tcPr>
            <w:tcW w:w="1134" w:type="dxa"/>
            <w:tcBorders>
              <w:top w:val="single" w:sz="8" w:space="0" w:color="auto"/>
              <w:left w:val="nil"/>
              <w:bottom w:val="nil"/>
              <w:right w:val="single" w:sz="8" w:space="0" w:color="auto"/>
            </w:tcBorders>
            <w:shd w:val="clear" w:color="auto" w:fill="C00000"/>
            <w:hideMark/>
          </w:tcPr>
          <w:p w14:paraId="1AEEC434" w14:textId="77777777" w:rsidR="0027547A" w:rsidRPr="00DD6A7A" w:rsidRDefault="0027547A" w:rsidP="00C43819">
            <w:pPr>
              <w:spacing w:after="0" w:line="240" w:lineRule="auto"/>
              <w:jc w:val="center"/>
              <w:rPr>
                <w:rFonts w:ascii="Times New Roman" w:eastAsia="Times New Roman" w:hAnsi="Times New Roman" w:cs="Times New Roman"/>
                <w:b/>
                <w:bCs/>
                <w:i/>
                <w:iCs/>
                <w:color w:val="FFFFFF" w:themeColor="background1"/>
                <w:sz w:val="18"/>
                <w:szCs w:val="18"/>
                <w:lang w:val="ro-RO"/>
              </w:rPr>
            </w:pPr>
            <w:r w:rsidRPr="00DD6A7A">
              <w:rPr>
                <w:rFonts w:ascii="Times New Roman" w:eastAsia="Times New Roman" w:hAnsi="Times New Roman" w:cs="Times New Roman"/>
                <w:b/>
                <w:bCs/>
                <w:i/>
                <w:iCs/>
                <w:color w:val="FFFFFF" w:themeColor="background1"/>
                <w:sz w:val="18"/>
                <w:szCs w:val="18"/>
                <w:lang w:val="ro-RO"/>
              </w:rPr>
              <w:t xml:space="preserve">Executat-Precizat </w:t>
            </w:r>
          </w:p>
        </w:tc>
        <w:tc>
          <w:tcPr>
            <w:tcW w:w="992" w:type="dxa"/>
            <w:tcBorders>
              <w:top w:val="single" w:sz="8" w:space="0" w:color="auto"/>
              <w:left w:val="nil"/>
              <w:bottom w:val="nil"/>
              <w:right w:val="single" w:sz="8" w:space="0" w:color="auto"/>
            </w:tcBorders>
            <w:shd w:val="clear" w:color="auto" w:fill="C00000"/>
            <w:hideMark/>
          </w:tcPr>
          <w:p w14:paraId="54E9B3A4" w14:textId="77777777" w:rsidR="0027547A" w:rsidRPr="00DD6A7A" w:rsidRDefault="0027547A" w:rsidP="00C43819">
            <w:pPr>
              <w:spacing w:after="0" w:line="240" w:lineRule="auto"/>
              <w:jc w:val="center"/>
              <w:rPr>
                <w:rFonts w:ascii="Times New Roman" w:eastAsia="Times New Roman" w:hAnsi="Times New Roman" w:cs="Times New Roman"/>
                <w:b/>
                <w:bCs/>
                <w:i/>
                <w:iCs/>
                <w:color w:val="FFFFFF" w:themeColor="background1"/>
                <w:sz w:val="18"/>
                <w:szCs w:val="18"/>
                <w:lang w:val="ro-RO"/>
              </w:rPr>
            </w:pPr>
            <w:r w:rsidRPr="00DD6A7A">
              <w:rPr>
                <w:rFonts w:ascii="Times New Roman" w:eastAsia="Times New Roman" w:hAnsi="Times New Roman" w:cs="Times New Roman"/>
                <w:b/>
                <w:bCs/>
                <w:i/>
                <w:iCs/>
                <w:color w:val="FFFFFF" w:themeColor="background1"/>
                <w:sz w:val="18"/>
                <w:szCs w:val="18"/>
                <w:lang w:val="ro-RO"/>
              </w:rPr>
              <w:t>Executat</w:t>
            </w:r>
            <w:r w:rsidRPr="00DD6A7A">
              <w:rPr>
                <w:rFonts w:ascii="Times New Roman" w:eastAsia="Times New Roman" w:hAnsi="Times New Roman" w:cs="Times New Roman"/>
                <w:b/>
                <w:bCs/>
                <w:i/>
                <w:iCs/>
                <w:color w:val="FFFFFF" w:themeColor="background1"/>
                <w:sz w:val="18"/>
                <w:szCs w:val="18"/>
                <w:lang w:val="ro-RO"/>
              </w:rPr>
              <w:br/>
              <w:t>%</w:t>
            </w:r>
          </w:p>
        </w:tc>
      </w:tr>
      <w:tr w:rsidR="0027547A" w:rsidRPr="00DD6A7A" w14:paraId="790CB6AF" w14:textId="77777777" w:rsidTr="00E86DEA">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46D006D2" w14:textId="77777777" w:rsidR="0027547A" w:rsidRPr="00224B66" w:rsidRDefault="0027547A" w:rsidP="00C43819">
            <w:pPr>
              <w:spacing w:after="0" w:line="240" w:lineRule="auto"/>
              <w:jc w:val="center"/>
              <w:rPr>
                <w:rFonts w:ascii="Times New Roman" w:eastAsia="Times New Roman" w:hAnsi="Times New Roman" w:cs="Times New Roman"/>
                <w:bCs/>
                <w:i/>
                <w:color w:val="000000"/>
                <w:sz w:val="18"/>
                <w:szCs w:val="18"/>
                <w:lang w:val="ro-RO"/>
              </w:rPr>
            </w:pPr>
            <w:r w:rsidRPr="00224B66">
              <w:rPr>
                <w:rFonts w:ascii="Times New Roman" w:eastAsia="Times New Roman" w:hAnsi="Times New Roman" w:cs="Times New Roman"/>
                <w:bCs/>
                <w:i/>
                <w:color w:val="000000"/>
                <w:sz w:val="18"/>
                <w:szCs w:val="18"/>
                <w:lang w:val="ro-RO"/>
              </w:rPr>
              <w:t>1</w:t>
            </w:r>
          </w:p>
        </w:tc>
        <w:tc>
          <w:tcPr>
            <w:tcW w:w="850" w:type="dxa"/>
            <w:tcBorders>
              <w:top w:val="nil"/>
              <w:left w:val="nil"/>
              <w:bottom w:val="single" w:sz="8" w:space="0" w:color="000000"/>
              <w:right w:val="nil"/>
            </w:tcBorders>
            <w:shd w:val="clear" w:color="auto" w:fill="auto"/>
            <w:hideMark/>
          </w:tcPr>
          <w:p w14:paraId="35A27AE2" w14:textId="77777777" w:rsidR="0027547A" w:rsidRPr="00224B66" w:rsidRDefault="0027547A" w:rsidP="00C43819">
            <w:pPr>
              <w:spacing w:after="0" w:line="240" w:lineRule="auto"/>
              <w:jc w:val="center"/>
              <w:rPr>
                <w:rFonts w:ascii="Times New Roman" w:eastAsia="Times New Roman" w:hAnsi="Times New Roman" w:cs="Times New Roman"/>
                <w:bCs/>
                <w:i/>
                <w:color w:val="000000"/>
                <w:sz w:val="18"/>
                <w:szCs w:val="18"/>
                <w:lang w:val="ro-RO"/>
              </w:rPr>
            </w:pPr>
            <w:r w:rsidRPr="00224B66">
              <w:rPr>
                <w:rFonts w:ascii="Times New Roman" w:eastAsia="Times New Roman" w:hAnsi="Times New Roman" w:cs="Times New Roman"/>
                <w:bCs/>
                <w:i/>
                <w:color w:val="000000"/>
                <w:sz w:val="18"/>
                <w:szCs w:val="18"/>
                <w:lang w:val="ro-RO"/>
              </w:rPr>
              <w:t>2</w:t>
            </w:r>
          </w:p>
        </w:tc>
        <w:tc>
          <w:tcPr>
            <w:tcW w:w="993" w:type="dxa"/>
            <w:tcBorders>
              <w:top w:val="single" w:sz="8" w:space="0" w:color="auto"/>
              <w:left w:val="single" w:sz="8" w:space="0" w:color="auto"/>
              <w:bottom w:val="single" w:sz="8" w:space="0" w:color="auto"/>
              <w:right w:val="single" w:sz="8" w:space="0" w:color="auto"/>
            </w:tcBorders>
            <w:shd w:val="clear" w:color="auto" w:fill="auto"/>
            <w:hideMark/>
          </w:tcPr>
          <w:p w14:paraId="35510CB7" w14:textId="77777777" w:rsidR="0027547A" w:rsidRPr="00224B66" w:rsidRDefault="0027547A" w:rsidP="00C43819">
            <w:pPr>
              <w:spacing w:after="0" w:line="240" w:lineRule="auto"/>
              <w:jc w:val="center"/>
              <w:rPr>
                <w:rFonts w:ascii="Times New Roman" w:eastAsia="Times New Roman" w:hAnsi="Times New Roman" w:cs="Times New Roman"/>
                <w:bCs/>
                <w:i/>
                <w:color w:val="000000"/>
                <w:sz w:val="18"/>
                <w:szCs w:val="18"/>
                <w:lang w:val="ro-RO"/>
              </w:rPr>
            </w:pPr>
            <w:r w:rsidRPr="00224B66">
              <w:rPr>
                <w:rFonts w:ascii="Times New Roman" w:eastAsia="Times New Roman" w:hAnsi="Times New Roman" w:cs="Times New Roman"/>
                <w:bCs/>
                <w:i/>
                <w:color w:val="000000"/>
                <w:sz w:val="18"/>
                <w:szCs w:val="18"/>
                <w:lang w:val="ro-RO"/>
              </w:rPr>
              <w:t>3</w:t>
            </w:r>
          </w:p>
        </w:tc>
        <w:tc>
          <w:tcPr>
            <w:tcW w:w="1025" w:type="dxa"/>
            <w:tcBorders>
              <w:top w:val="single" w:sz="8" w:space="0" w:color="auto"/>
              <w:left w:val="nil"/>
              <w:bottom w:val="single" w:sz="8" w:space="0" w:color="auto"/>
              <w:right w:val="single" w:sz="8" w:space="0" w:color="auto"/>
            </w:tcBorders>
            <w:shd w:val="clear" w:color="auto" w:fill="auto"/>
            <w:hideMark/>
          </w:tcPr>
          <w:p w14:paraId="01618F71" w14:textId="77777777" w:rsidR="0027547A" w:rsidRPr="00224B66" w:rsidRDefault="0027547A" w:rsidP="00C43819">
            <w:pPr>
              <w:spacing w:after="0" w:line="240" w:lineRule="auto"/>
              <w:jc w:val="center"/>
              <w:rPr>
                <w:rFonts w:ascii="Times New Roman" w:eastAsia="Times New Roman" w:hAnsi="Times New Roman" w:cs="Times New Roman"/>
                <w:bCs/>
                <w:i/>
                <w:color w:val="000000"/>
                <w:sz w:val="18"/>
                <w:szCs w:val="18"/>
                <w:lang w:val="ro-RO"/>
              </w:rPr>
            </w:pPr>
            <w:r w:rsidRPr="00224B66">
              <w:rPr>
                <w:rFonts w:ascii="Times New Roman" w:eastAsia="Times New Roman" w:hAnsi="Times New Roman" w:cs="Times New Roman"/>
                <w:bCs/>
                <w:i/>
                <w:color w:val="000000"/>
                <w:sz w:val="18"/>
                <w:szCs w:val="18"/>
                <w:lang w:val="ro-RO"/>
              </w:rPr>
              <w:t> </w:t>
            </w:r>
            <w:r w:rsidR="00623F60" w:rsidRPr="00224B66">
              <w:rPr>
                <w:rFonts w:ascii="Times New Roman" w:eastAsia="Times New Roman" w:hAnsi="Times New Roman" w:cs="Times New Roman"/>
                <w:bCs/>
                <w:i/>
                <w:color w:val="000000"/>
                <w:sz w:val="18"/>
                <w:szCs w:val="18"/>
                <w:lang w:val="ro-RO"/>
              </w:rPr>
              <w:t>4</w:t>
            </w:r>
          </w:p>
        </w:tc>
        <w:tc>
          <w:tcPr>
            <w:tcW w:w="1025" w:type="dxa"/>
            <w:tcBorders>
              <w:top w:val="single" w:sz="8" w:space="0" w:color="auto"/>
              <w:left w:val="nil"/>
              <w:bottom w:val="single" w:sz="8" w:space="0" w:color="auto"/>
              <w:right w:val="single" w:sz="8" w:space="0" w:color="auto"/>
            </w:tcBorders>
            <w:shd w:val="clear" w:color="auto" w:fill="auto"/>
            <w:hideMark/>
          </w:tcPr>
          <w:p w14:paraId="16C8960E" w14:textId="77777777" w:rsidR="0027547A" w:rsidRPr="00224B66" w:rsidRDefault="00623F60" w:rsidP="00C43819">
            <w:pPr>
              <w:spacing w:after="0" w:line="240" w:lineRule="auto"/>
              <w:jc w:val="center"/>
              <w:rPr>
                <w:rFonts w:ascii="Times New Roman" w:eastAsia="Times New Roman" w:hAnsi="Times New Roman" w:cs="Times New Roman"/>
                <w:bCs/>
                <w:i/>
                <w:color w:val="000000"/>
                <w:sz w:val="18"/>
                <w:szCs w:val="18"/>
                <w:lang w:val="ro-RO"/>
              </w:rPr>
            </w:pPr>
            <w:r w:rsidRPr="00224B66">
              <w:rPr>
                <w:rFonts w:ascii="Times New Roman" w:eastAsia="Times New Roman" w:hAnsi="Times New Roman" w:cs="Times New Roman"/>
                <w:bCs/>
                <w:i/>
                <w:color w:val="000000"/>
                <w:sz w:val="18"/>
                <w:szCs w:val="18"/>
                <w:lang w:val="ro-RO"/>
              </w:rPr>
              <w:t>5</w:t>
            </w:r>
            <w:r w:rsidR="0027547A" w:rsidRPr="00224B66">
              <w:rPr>
                <w:rFonts w:ascii="Times New Roman" w:eastAsia="Times New Roman" w:hAnsi="Times New Roman" w:cs="Times New Roman"/>
                <w:bCs/>
                <w:i/>
                <w:color w:val="000000"/>
                <w:sz w:val="18"/>
                <w:szCs w:val="18"/>
                <w:lang w:val="ro-RO"/>
              </w:rPr>
              <w:t> </w:t>
            </w:r>
          </w:p>
        </w:tc>
        <w:tc>
          <w:tcPr>
            <w:tcW w:w="1237" w:type="dxa"/>
            <w:tcBorders>
              <w:top w:val="single" w:sz="8" w:space="0" w:color="auto"/>
              <w:left w:val="nil"/>
              <w:bottom w:val="single" w:sz="8" w:space="0" w:color="auto"/>
              <w:right w:val="single" w:sz="8" w:space="0" w:color="auto"/>
            </w:tcBorders>
            <w:shd w:val="clear" w:color="auto" w:fill="auto"/>
            <w:hideMark/>
          </w:tcPr>
          <w:p w14:paraId="28314CD0" w14:textId="77777777" w:rsidR="0027547A" w:rsidRPr="00224B66" w:rsidRDefault="0027547A" w:rsidP="00C43819">
            <w:pPr>
              <w:spacing w:after="0" w:line="240" w:lineRule="auto"/>
              <w:jc w:val="center"/>
              <w:rPr>
                <w:rFonts w:ascii="Times New Roman" w:eastAsia="Times New Roman" w:hAnsi="Times New Roman" w:cs="Times New Roman"/>
                <w:bCs/>
                <w:i/>
                <w:color w:val="000000"/>
                <w:sz w:val="18"/>
                <w:szCs w:val="18"/>
                <w:lang w:val="ro-RO"/>
              </w:rPr>
            </w:pPr>
            <w:r w:rsidRPr="00224B66">
              <w:rPr>
                <w:rFonts w:ascii="Times New Roman" w:eastAsia="Times New Roman" w:hAnsi="Times New Roman" w:cs="Times New Roman"/>
                <w:bCs/>
                <w:i/>
                <w:color w:val="000000"/>
                <w:sz w:val="18"/>
                <w:szCs w:val="18"/>
                <w:lang w:val="ro-RO"/>
              </w:rPr>
              <w:t> </w:t>
            </w:r>
            <w:r w:rsidR="00623F60" w:rsidRPr="00224B66">
              <w:rPr>
                <w:rFonts w:ascii="Times New Roman" w:eastAsia="Times New Roman" w:hAnsi="Times New Roman" w:cs="Times New Roman"/>
                <w:bCs/>
                <w:i/>
                <w:color w:val="000000"/>
                <w:sz w:val="18"/>
                <w:szCs w:val="18"/>
                <w:lang w:val="ro-RO"/>
              </w:rPr>
              <w:t>6</w:t>
            </w:r>
          </w:p>
        </w:tc>
        <w:tc>
          <w:tcPr>
            <w:tcW w:w="1134" w:type="dxa"/>
            <w:tcBorders>
              <w:top w:val="single" w:sz="8" w:space="0" w:color="auto"/>
              <w:left w:val="nil"/>
              <w:bottom w:val="single" w:sz="8" w:space="0" w:color="auto"/>
              <w:right w:val="single" w:sz="8" w:space="0" w:color="auto"/>
            </w:tcBorders>
            <w:shd w:val="clear" w:color="auto" w:fill="auto"/>
            <w:hideMark/>
          </w:tcPr>
          <w:p w14:paraId="065C8F9C" w14:textId="77777777" w:rsidR="0027547A" w:rsidRPr="00224B66" w:rsidRDefault="00623F60" w:rsidP="00C43819">
            <w:pPr>
              <w:spacing w:after="0" w:line="240" w:lineRule="auto"/>
              <w:jc w:val="center"/>
              <w:rPr>
                <w:rFonts w:ascii="Times New Roman" w:eastAsia="Times New Roman" w:hAnsi="Times New Roman" w:cs="Times New Roman"/>
                <w:bCs/>
                <w:i/>
                <w:color w:val="000000"/>
                <w:sz w:val="18"/>
                <w:szCs w:val="18"/>
                <w:lang w:val="ro-RO"/>
              </w:rPr>
            </w:pPr>
            <w:r w:rsidRPr="00224B66">
              <w:rPr>
                <w:rFonts w:ascii="Times New Roman" w:eastAsia="Times New Roman" w:hAnsi="Times New Roman" w:cs="Times New Roman"/>
                <w:bCs/>
                <w:i/>
                <w:color w:val="000000"/>
                <w:sz w:val="18"/>
                <w:szCs w:val="18"/>
                <w:lang w:val="ro-RO"/>
              </w:rPr>
              <w:t>7</w:t>
            </w:r>
            <w:r w:rsidR="0027547A" w:rsidRPr="00224B66">
              <w:rPr>
                <w:rFonts w:ascii="Times New Roman" w:eastAsia="Times New Roman" w:hAnsi="Times New Roman" w:cs="Times New Roman"/>
                <w:bCs/>
                <w:i/>
                <w:color w:val="000000"/>
                <w:sz w:val="18"/>
                <w:szCs w:val="18"/>
                <w:lang w:val="ro-RO"/>
              </w:rPr>
              <w:t> </w:t>
            </w:r>
          </w:p>
        </w:tc>
        <w:tc>
          <w:tcPr>
            <w:tcW w:w="992" w:type="dxa"/>
            <w:tcBorders>
              <w:top w:val="single" w:sz="8" w:space="0" w:color="auto"/>
              <w:left w:val="nil"/>
              <w:bottom w:val="single" w:sz="8" w:space="0" w:color="auto"/>
              <w:right w:val="single" w:sz="8" w:space="0" w:color="auto"/>
            </w:tcBorders>
            <w:shd w:val="clear" w:color="auto" w:fill="auto"/>
            <w:hideMark/>
          </w:tcPr>
          <w:p w14:paraId="27FE0CCE" w14:textId="77777777" w:rsidR="0027547A" w:rsidRPr="00224B66" w:rsidRDefault="0027547A" w:rsidP="00C43819">
            <w:pPr>
              <w:spacing w:after="0" w:line="240" w:lineRule="auto"/>
              <w:jc w:val="center"/>
              <w:rPr>
                <w:rFonts w:ascii="Times New Roman" w:eastAsia="Times New Roman" w:hAnsi="Times New Roman" w:cs="Times New Roman"/>
                <w:bCs/>
                <w:i/>
                <w:color w:val="000000"/>
                <w:sz w:val="18"/>
                <w:szCs w:val="18"/>
                <w:lang w:val="ro-RO"/>
              </w:rPr>
            </w:pPr>
            <w:r w:rsidRPr="00224B66">
              <w:rPr>
                <w:rFonts w:ascii="Times New Roman" w:eastAsia="Times New Roman" w:hAnsi="Times New Roman" w:cs="Times New Roman"/>
                <w:bCs/>
                <w:i/>
                <w:color w:val="000000"/>
                <w:sz w:val="18"/>
                <w:szCs w:val="18"/>
                <w:lang w:val="ro-RO"/>
              </w:rPr>
              <w:t> </w:t>
            </w:r>
            <w:r w:rsidR="00623F60" w:rsidRPr="00224B66">
              <w:rPr>
                <w:rFonts w:ascii="Times New Roman" w:eastAsia="Times New Roman" w:hAnsi="Times New Roman" w:cs="Times New Roman"/>
                <w:bCs/>
                <w:i/>
                <w:color w:val="000000"/>
                <w:sz w:val="18"/>
                <w:szCs w:val="18"/>
                <w:lang w:val="ro-RO"/>
              </w:rPr>
              <w:t>8</w:t>
            </w:r>
            <w:r w:rsidR="007F78CF">
              <w:rPr>
                <w:rFonts w:ascii="Times New Roman" w:eastAsia="Times New Roman" w:hAnsi="Times New Roman" w:cs="Times New Roman"/>
                <w:bCs/>
                <w:i/>
                <w:color w:val="000000"/>
                <w:sz w:val="18"/>
                <w:szCs w:val="18"/>
                <w:lang w:val="ro-RO"/>
              </w:rPr>
              <w:t>=5-4</w:t>
            </w:r>
          </w:p>
        </w:tc>
        <w:tc>
          <w:tcPr>
            <w:tcW w:w="1134" w:type="dxa"/>
            <w:tcBorders>
              <w:top w:val="single" w:sz="8" w:space="0" w:color="auto"/>
              <w:left w:val="nil"/>
              <w:bottom w:val="single" w:sz="8" w:space="0" w:color="auto"/>
              <w:right w:val="single" w:sz="8" w:space="0" w:color="auto"/>
            </w:tcBorders>
            <w:shd w:val="clear" w:color="auto" w:fill="auto"/>
            <w:hideMark/>
          </w:tcPr>
          <w:p w14:paraId="583E14B6" w14:textId="77777777" w:rsidR="0027547A" w:rsidRPr="00224B66" w:rsidRDefault="00623F60" w:rsidP="007F78CF">
            <w:pPr>
              <w:spacing w:after="0" w:line="240" w:lineRule="auto"/>
              <w:jc w:val="center"/>
              <w:rPr>
                <w:rFonts w:ascii="Times New Roman" w:eastAsia="Times New Roman" w:hAnsi="Times New Roman" w:cs="Times New Roman"/>
                <w:bCs/>
                <w:i/>
                <w:color w:val="000000"/>
                <w:sz w:val="18"/>
                <w:szCs w:val="18"/>
                <w:lang w:val="ro-RO"/>
              </w:rPr>
            </w:pPr>
            <w:r w:rsidRPr="00224B66">
              <w:rPr>
                <w:rFonts w:ascii="Times New Roman" w:eastAsia="Times New Roman" w:hAnsi="Times New Roman" w:cs="Times New Roman"/>
                <w:bCs/>
                <w:i/>
                <w:color w:val="000000"/>
                <w:sz w:val="18"/>
                <w:szCs w:val="18"/>
                <w:lang w:val="ro-RO"/>
              </w:rPr>
              <w:t>9</w:t>
            </w:r>
            <w:r w:rsidR="007F78CF">
              <w:rPr>
                <w:rFonts w:ascii="Times New Roman" w:eastAsia="Times New Roman" w:hAnsi="Times New Roman" w:cs="Times New Roman"/>
                <w:bCs/>
                <w:i/>
                <w:color w:val="000000"/>
                <w:sz w:val="18"/>
                <w:szCs w:val="18"/>
                <w:lang w:val="ro-RO"/>
              </w:rPr>
              <w:t>=6-5</w:t>
            </w:r>
          </w:p>
        </w:tc>
        <w:tc>
          <w:tcPr>
            <w:tcW w:w="992" w:type="dxa"/>
            <w:tcBorders>
              <w:top w:val="single" w:sz="8" w:space="0" w:color="auto"/>
              <w:left w:val="nil"/>
              <w:bottom w:val="single" w:sz="8" w:space="0" w:color="auto"/>
              <w:right w:val="single" w:sz="8" w:space="0" w:color="auto"/>
            </w:tcBorders>
            <w:shd w:val="clear" w:color="auto" w:fill="auto"/>
            <w:hideMark/>
          </w:tcPr>
          <w:p w14:paraId="60AD7274" w14:textId="77777777" w:rsidR="0027547A" w:rsidRPr="00224B66" w:rsidRDefault="0027547A" w:rsidP="00C43819">
            <w:pPr>
              <w:spacing w:after="0" w:line="240" w:lineRule="auto"/>
              <w:jc w:val="center"/>
              <w:rPr>
                <w:rFonts w:ascii="Times New Roman" w:eastAsia="Times New Roman" w:hAnsi="Times New Roman" w:cs="Times New Roman"/>
                <w:bCs/>
                <w:i/>
                <w:color w:val="000000"/>
                <w:sz w:val="18"/>
                <w:szCs w:val="18"/>
                <w:lang w:val="ro-RO"/>
              </w:rPr>
            </w:pPr>
            <w:r w:rsidRPr="00224B66">
              <w:rPr>
                <w:rFonts w:ascii="Times New Roman" w:eastAsia="Times New Roman" w:hAnsi="Times New Roman" w:cs="Times New Roman"/>
                <w:bCs/>
                <w:i/>
                <w:color w:val="000000"/>
                <w:sz w:val="18"/>
                <w:szCs w:val="18"/>
                <w:lang w:val="ro-RO"/>
              </w:rPr>
              <w:t> </w:t>
            </w:r>
            <w:r w:rsidR="00623F60" w:rsidRPr="00224B66">
              <w:rPr>
                <w:rFonts w:ascii="Times New Roman" w:eastAsia="Times New Roman" w:hAnsi="Times New Roman" w:cs="Times New Roman"/>
                <w:bCs/>
                <w:i/>
                <w:color w:val="000000"/>
                <w:sz w:val="18"/>
                <w:szCs w:val="18"/>
                <w:lang w:val="ro-RO"/>
              </w:rPr>
              <w:t>10</w:t>
            </w:r>
          </w:p>
        </w:tc>
      </w:tr>
      <w:tr w:rsidR="0027547A" w:rsidRPr="00DD6A7A" w14:paraId="300109A7"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77C96303"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I. VENITURI, TOTAL</w:t>
            </w:r>
          </w:p>
        </w:tc>
        <w:tc>
          <w:tcPr>
            <w:tcW w:w="850" w:type="dxa"/>
            <w:tcBorders>
              <w:top w:val="nil"/>
              <w:left w:val="nil"/>
              <w:bottom w:val="single" w:sz="8" w:space="0" w:color="000000"/>
              <w:right w:val="nil"/>
            </w:tcBorders>
            <w:shd w:val="clear" w:color="auto" w:fill="auto"/>
            <w:hideMark/>
          </w:tcPr>
          <w:p w14:paraId="03E86BA5"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 </w:t>
            </w:r>
          </w:p>
        </w:tc>
        <w:tc>
          <w:tcPr>
            <w:tcW w:w="993" w:type="dxa"/>
            <w:tcBorders>
              <w:top w:val="nil"/>
              <w:left w:val="single" w:sz="8" w:space="0" w:color="auto"/>
              <w:bottom w:val="single" w:sz="8" w:space="0" w:color="auto"/>
              <w:right w:val="single" w:sz="8" w:space="0" w:color="auto"/>
            </w:tcBorders>
            <w:shd w:val="clear" w:color="auto" w:fill="auto"/>
            <w:hideMark/>
          </w:tcPr>
          <w:p w14:paraId="06764EAB"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 </w:t>
            </w:r>
          </w:p>
        </w:tc>
        <w:tc>
          <w:tcPr>
            <w:tcW w:w="1025" w:type="dxa"/>
            <w:tcBorders>
              <w:top w:val="nil"/>
              <w:left w:val="nil"/>
              <w:bottom w:val="single" w:sz="8" w:space="0" w:color="auto"/>
              <w:right w:val="single" w:sz="8" w:space="0" w:color="auto"/>
            </w:tcBorders>
            <w:shd w:val="clear" w:color="auto" w:fill="auto"/>
            <w:hideMark/>
          </w:tcPr>
          <w:p w14:paraId="03B4B2AB"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42.100,10</w:t>
            </w:r>
          </w:p>
        </w:tc>
        <w:tc>
          <w:tcPr>
            <w:tcW w:w="1025" w:type="dxa"/>
            <w:tcBorders>
              <w:top w:val="nil"/>
              <w:left w:val="nil"/>
              <w:bottom w:val="single" w:sz="8" w:space="0" w:color="auto"/>
              <w:right w:val="single" w:sz="8" w:space="0" w:color="auto"/>
            </w:tcBorders>
            <w:shd w:val="clear" w:color="auto" w:fill="auto"/>
            <w:hideMark/>
          </w:tcPr>
          <w:p w14:paraId="4636F49B"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44.072,50</w:t>
            </w:r>
          </w:p>
        </w:tc>
        <w:tc>
          <w:tcPr>
            <w:tcW w:w="1237" w:type="dxa"/>
            <w:tcBorders>
              <w:top w:val="nil"/>
              <w:left w:val="nil"/>
              <w:bottom w:val="single" w:sz="8" w:space="0" w:color="auto"/>
              <w:right w:val="single" w:sz="8" w:space="0" w:color="auto"/>
            </w:tcBorders>
            <w:shd w:val="clear" w:color="auto" w:fill="auto"/>
            <w:hideMark/>
          </w:tcPr>
          <w:p w14:paraId="4552B7C6"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38.230,31</w:t>
            </w:r>
          </w:p>
        </w:tc>
        <w:tc>
          <w:tcPr>
            <w:tcW w:w="1134" w:type="dxa"/>
            <w:tcBorders>
              <w:top w:val="nil"/>
              <w:left w:val="nil"/>
              <w:bottom w:val="single" w:sz="8" w:space="0" w:color="auto"/>
              <w:right w:val="single" w:sz="8" w:space="0" w:color="auto"/>
            </w:tcBorders>
            <w:shd w:val="clear" w:color="auto" w:fill="auto"/>
            <w:hideMark/>
          </w:tcPr>
          <w:p w14:paraId="1160FC20"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38.421,62</w:t>
            </w:r>
          </w:p>
        </w:tc>
        <w:tc>
          <w:tcPr>
            <w:tcW w:w="992" w:type="dxa"/>
            <w:tcBorders>
              <w:top w:val="nil"/>
              <w:left w:val="nil"/>
              <w:bottom w:val="single" w:sz="8" w:space="0" w:color="auto"/>
              <w:right w:val="single" w:sz="8" w:space="0" w:color="auto"/>
            </w:tcBorders>
            <w:shd w:val="clear" w:color="auto" w:fill="auto"/>
            <w:hideMark/>
          </w:tcPr>
          <w:p w14:paraId="50B51F41"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1.972,40</w:t>
            </w:r>
          </w:p>
        </w:tc>
        <w:tc>
          <w:tcPr>
            <w:tcW w:w="1134" w:type="dxa"/>
            <w:tcBorders>
              <w:top w:val="nil"/>
              <w:left w:val="nil"/>
              <w:bottom w:val="single" w:sz="8" w:space="0" w:color="auto"/>
              <w:right w:val="single" w:sz="8" w:space="0" w:color="auto"/>
            </w:tcBorders>
            <w:shd w:val="clear" w:color="auto" w:fill="auto"/>
            <w:hideMark/>
          </w:tcPr>
          <w:p w14:paraId="4F7CF354"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-5.842,19</w:t>
            </w:r>
          </w:p>
        </w:tc>
        <w:tc>
          <w:tcPr>
            <w:tcW w:w="992" w:type="dxa"/>
            <w:tcBorders>
              <w:top w:val="nil"/>
              <w:left w:val="nil"/>
              <w:bottom w:val="single" w:sz="8" w:space="0" w:color="auto"/>
              <w:right w:val="single" w:sz="8" w:space="0" w:color="auto"/>
            </w:tcBorders>
            <w:shd w:val="clear" w:color="auto" w:fill="auto"/>
            <w:noWrap/>
            <w:hideMark/>
          </w:tcPr>
          <w:p w14:paraId="078FBAE1"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86,7%</w:t>
            </w:r>
          </w:p>
        </w:tc>
      </w:tr>
      <w:tr w:rsidR="0027547A" w:rsidRPr="00DD6A7A" w14:paraId="67FC4F06"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32DC232F" w14:textId="3B86392B"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Alte veni</w:t>
            </w:r>
            <w:r w:rsidR="00C44A50">
              <w:rPr>
                <w:rFonts w:ascii="Times New Roman" w:eastAsia="Times New Roman" w:hAnsi="Times New Roman" w:cs="Times New Roman"/>
                <w:b/>
                <w:bCs/>
                <w:color w:val="000000"/>
                <w:sz w:val="18"/>
                <w:szCs w:val="18"/>
                <w:lang w:val="ro-RO"/>
              </w:rPr>
              <w:t>t</w:t>
            </w:r>
            <w:r w:rsidRPr="00DD6A7A">
              <w:rPr>
                <w:rFonts w:ascii="Times New Roman" w:eastAsia="Times New Roman" w:hAnsi="Times New Roman" w:cs="Times New Roman"/>
                <w:b/>
                <w:bCs/>
                <w:color w:val="000000"/>
                <w:sz w:val="18"/>
                <w:szCs w:val="18"/>
                <w:lang w:val="ro-RO"/>
              </w:rPr>
              <w:t>uri și finanțări</w:t>
            </w:r>
          </w:p>
        </w:tc>
        <w:tc>
          <w:tcPr>
            <w:tcW w:w="850" w:type="dxa"/>
            <w:tcBorders>
              <w:top w:val="nil"/>
              <w:left w:val="nil"/>
              <w:bottom w:val="single" w:sz="8" w:space="0" w:color="000000"/>
              <w:right w:val="nil"/>
            </w:tcBorders>
            <w:shd w:val="clear" w:color="auto" w:fill="auto"/>
            <w:hideMark/>
          </w:tcPr>
          <w:p w14:paraId="423EA1E8"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1.12</w:t>
            </w:r>
          </w:p>
        </w:tc>
        <w:tc>
          <w:tcPr>
            <w:tcW w:w="993" w:type="dxa"/>
            <w:tcBorders>
              <w:top w:val="nil"/>
              <w:left w:val="single" w:sz="8" w:space="0" w:color="auto"/>
              <w:bottom w:val="single" w:sz="8" w:space="0" w:color="auto"/>
              <w:right w:val="single" w:sz="8" w:space="0" w:color="auto"/>
            </w:tcBorders>
            <w:shd w:val="clear" w:color="auto" w:fill="auto"/>
            <w:hideMark/>
          </w:tcPr>
          <w:p w14:paraId="77D62755"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149</w:t>
            </w:r>
          </w:p>
        </w:tc>
        <w:tc>
          <w:tcPr>
            <w:tcW w:w="1025" w:type="dxa"/>
            <w:tcBorders>
              <w:top w:val="nil"/>
              <w:left w:val="nil"/>
              <w:bottom w:val="single" w:sz="8" w:space="0" w:color="auto"/>
              <w:right w:val="single" w:sz="8" w:space="0" w:color="auto"/>
            </w:tcBorders>
            <w:shd w:val="clear" w:color="auto" w:fill="auto"/>
            <w:hideMark/>
          </w:tcPr>
          <w:p w14:paraId="6DAFD0DA"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42.100,10</w:t>
            </w:r>
          </w:p>
        </w:tc>
        <w:tc>
          <w:tcPr>
            <w:tcW w:w="1025" w:type="dxa"/>
            <w:tcBorders>
              <w:top w:val="nil"/>
              <w:left w:val="nil"/>
              <w:bottom w:val="single" w:sz="8" w:space="0" w:color="auto"/>
              <w:right w:val="single" w:sz="8" w:space="0" w:color="auto"/>
            </w:tcBorders>
            <w:shd w:val="clear" w:color="auto" w:fill="auto"/>
            <w:hideMark/>
          </w:tcPr>
          <w:p w14:paraId="0CEC2778"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44.072,50</w:t>
            </w:r>
          </w:p>
        </w:tc>
        <w:tc>
          <w:tcPr>
            <w:tcW w:w="1237" w:type="dxa"/>
            <w:tcBorders>
              <w:top w:val="nil"/>
              <w:left w:val="nil"/>
              <w:bottom w:val="single" w:sz="8" w:space="0" w:color="auto"/>
              <w:right w:val="single" w:sz="8" w:space="0" w:color="auto"/>
            </w:tcBorders>
            <w:shd w:val="clear" w:color="auto" w:fill="auto"/>
            <w:hideMark/>
          </w:tcPr>
          <w:p w14:paraId="5AB2EC33"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38.230,31</w:t>
            </w:r>
          </w:p>
        </w:tc>
        <w:tc>
          <w:tcPr>
            <w:tcW w:w="1134" w:type="dxa"/>
            <w:tcBorders>
              <w:top w:val="nil"/>
              <w:left w:val="nil"/>
              <w:bottom w:val="single" w:sz="8" w:space="0" w:color="auto"/>
              <w:right w:val="single" w:sz="8" w:space="0" w:color="auto"/>
            </w:tcBorders>
            <w:shd w:val="clear" w:color="auto" w:fill="auto"/>
            <w:hideMark/>
          </w:tcPr>
          <w:p w14:paraId="1D1C56EB"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38.230,31</w:t>
            </w:r>
          </w:p>
        </w:tc>
        <w:tc>
          <w:tcPr>
            <w:tcW w:w="992" w:type="dxa"/>
            <w:tcBorders>
              <w:top w:val="nil"/>
              <w:left w:val="nil"/>
              <w:bottom w:val="single" w:sz="8" w:space="0" w:color="auto"/>
              <w:right w:val="single" w:sz="8" w:space="0" w:color="auto"/>
            </w:tcBorders>
            <w:shd w:val="clear" w:color="auto" w:fill="auto"/>
            <w:hideMark/>
          </w:tcPr>
          <w:p w14:paraId="633F288C"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1.972,40</w:t>
            </w:r>
          </w:p>
        </w:tc>
        <w:tc>
          <w:tcPr>
            <w:tcW w:w="1134" w:type="dxa"/>
            <w:tcBorders>
              <w:top w:val="nil"/>
              <w:left w:val="nil"/>
              <w:bottom w:val="single" w:sz="8" w:space="0" w:color="auto"/>
              <w:right w:val="single" w:sz="8" w:space="0" w:color="auto"/>
            </w:tcBorders>
            <w:shd w:val="clear" w:color="auto" w:fill="auto"/>
            <w:hideMark/>
          </w:tcPr>
          <w:p w14:paraId="09035F06"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-5.842,19</w:t>
            </w:r>
          </w:p>
        </w:tc>
        <w:tc>
          <w:tcPr>
            <w:tcW w:w="992" w:type="dxa"/>
            <w:tcBorders>
              <w:top w:val="nil"/>
              <w:left w:val="nil"/>
              <w:bottom w:val="single" w:sz="8" w:space="0" w:color="auto"/>
              <w:right w:val="single" w:sz="8" w:space="0" w:color="auto"/>
            </w:tcBorders>
            <w:shd w:val="clear" w:color="auto" w:fill="auto"/>
            <w:noWrap/>
            <w:hideMark/>
          </w:tcPr>
          <w:p w14:paraId="61612CB0"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86,7%</w:t>
            </w:r>
          </w:p>
        </w:tc>
      </w:tr>
      <w:tr w:rsidR="0027547A" w:rsidRPr="00DD6A7A" w14:paraId="32007CF1"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55709962" w14:textId="6CA71261" w:rsidR="0027547A" w:rsidRPr="00DD6A7A" w:rsidRDefault="001B7053"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Finanțare</w:t>
            </w:r>
            <w:r w:rsidR="0027547A" w:rsidRPr="00DD6A7A">
              <w:rPr>
                <w:rFonts w:ascii="Times New Roman" w:eastAsia="Times New Roman" w:hAnsi="Times New Roman" w:cs="Times New Roman"/>
                <w:color w:val="000000"/>
                <w:sz w:val="18"/>
                <w:szCs w:val="18"/>
                <w:lang w:val="ro-RO"/>
              </w:rPr>
              <w:t xml:space="preserve"> de la buget</w:t>
            </w:r>
          </w:p>
        </w:tc>
        <w:tc>
          <w:tcPr>
            <w:tcW w:w="850" w:type="dxa"/>
            <w:tcBorders>
              <w:top w:val="nil"/>
              <w:left w:val="nil"/>
              <w:bottom w:val="single" w:sz="8" w:space="0" w:color="000000"/>
              <w:right w:val="nil"/>
            </w:tcBorders>
            <w:shd w:val="clear" w:color="auto" w:fill="auto"/>
            <w:hideMark/>
          </w:tcPr>
          <w:p w14:paraId="5BB91646"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1.12.0</w:t>
            </w:r>
          </w:p>
        </w:tc>
        <w:tc>
          <w:tcPr>
            <w:tcW w:w="993" w:type="dxa"/>
            <w:tcBorders>
              <w:top w:val="nil"/>
              <w:left w:val="single" w:sz="8" w:space="0" w:color="auto"/>
              <w:bottom w:val="single" w:sz="8" w:space="0" w:color="auto"/>
              <w:right w:val="single" w:sz="8" w:space="0" w:color="auto"/>
            </w:tcBorders>
            <w:shd w:val="clear" w:color="auto" w:fill="auto"/>
            <w:hideMark/>
          </w:tcPr>
          <w:p w14:paraId="669854D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149800</w:t>
            </w:r>
          </w:p>
        </w:tc>
        <w:tc>
          <w:tcPr>
            <w:tcW w:w="1025" w:type="dxa"/>
            <w:tcBorders>
              <w:top w:val="nil"/>
              <w:left w:val="nil"/>
              <w:bottom w:val="single" w:sz="8" w:space="0" w:color="auto"/>
              <w:right w:val="single" w:sz="8" w:space="0" w:color="auto"/>
            </w:tcBorders>
            <w:shd w:val="clear" w:color="auto" w:fill="auto"/>
            <w:hideMark/>
          </w:tcPr>
          <w:p w14:paraId="7CFACA83"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42.100,10</w:t>
            </w:r>
          </w:p>
        </w:tc>
        <w:tc>
          <w:tcPr>
            <w:tcW w:w="1025" w:type="dxa"/>
            <w:tcBorders>
              <w:top w:val="nil"/>
              <w:left w:val="nil"/>
              <w:bottom w:val="single" w:sz="8" w:space="0" w:color="auto"/>
              <w:right w:val="single" w:sz="8" w:space="0" w:color="auto"/>
            </w:tcBorders>
            <w:shd w:val="clear" w:color="auto" w:fill="auto"/>
            <w:hideMark/>
          </w:tcPr>
          <w:p w14:paraId="3C37F5B5"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44.072,50</w:t>
            </w:r>
          </w:p>
        </w:tc>
        <w:tc>
          <w:tcPr>
            <w:tcW w:w="1237" w:type="dxa"/>
            <w:tcBorders>
              <w:top w:val="nil"/>
              <w:left w:val="nil"/>
              <w:bottom w:val="single" w:sz="8" w:space="0" w:color="auto"/>
              <w:right w:val="single" w:sz="8" w:space="0" w:color="auto"/>
            </w:tcBorders>
            <w:shd w:val="clear" w:color="auto" w:fill="auto"/>
            <w:hideMark/>
          </w:tcPr>
          <w:p w14:paraId="49D9ECCE"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38.230,31</w:t>
            </w:r>
          </w:p>
        </w:tc>
        <w:tc>
          <w:tcPr>
            <w:tcW w:w="1134" w:type="dxa"/>
            <w:tcBorders>
              <w:top w:val="nil"/>
              <w:left w:val="nil"/>
              <w:bottom w:val="single" w:sz="8" w:space="0" w:color="auto"/>
              <w:right w:val="single" w:sz="8" w:space="0" w:color="auto"/>
            </w:tcBorders>
            <w:shd w:val="clear" w:color="auto" w:fill="auto"/>
            <w:hideMark/>
          </w:tcPr>
          <w:p w14:paraId="485E82B0"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38.230,31</w:t>
            </w:r>
          </w:p>
        </w:tc>
        <w:tc>
          <w:tcPr>
            <w:tcW w:w="992" w:type="dxa"/>
            <w:tcBorders>
              <w:top w:val="nil"/>
              <w:left w:val="nil"/>
              <w:bottom w:val="single" w:sz="8" w:space="0" w:color="auto"/>
              <w:right w:val="single" w:sz="8" w:space="0" w:color="auto"/>
            </w:tcBorders>
            <w:shd w:val="clear" w:color="auto" w:fill="auto"/>
            <w:hideMark/>
          </w:tcPr>
          <w:p w14:paraId="6CC86A55"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1.972,40</w:t>
            </w:r>
          </w:p>
        </w:tc>
        <w:tc>
          <w:tcPr>
            <w:tcW w:w="1134" w:type="dxa"/>
            <w:tcBorders>
              <w:top w:val="nil"/>
              <w:left w:val="nil"/>
              <w:bottom w:val="single" w:sz="8" w:space="0" w:color="auto"/>
              <w:right w:val="single" w:sz="8" w:space="0" w:color="auto"/>
            </w:tcBorders>
            <w:shd w:val="clear" w:color="auto" w:fill="auto"/>
            <w:hideMark/>
          </w:tcPr>
          <w:p w14:paraId="5FA43B42"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-5.842,19</w:t>
            </w:r>
          </w:p>
        </w:tc>
        <w:tc>
          <w:tcPr>
            <w:tcW w:w="992" w:type="dxa"/>
            <w:tcBorders>
              <w:top w:val="nil"/>
              <w:left w:val="nil"/>
              <w:bottom w:val="single" w:sz="8" w:space="0" w:color="auto"/>
              <w:right w:val="single" w:sz="8" w:space="0" w:color="auto"/>
            </w:tcBorders>
            <w:shd w:val="clear" w:color="auto" w:fill="auto"/>
            <w:noWrap/>
            <w:hideMark/>
          </w:tcPr>
          <w:p w14:paraId="3A8240E6"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86,7%</w:t>
            </w:r>
          </w:p>
        </w:tc>
      </w:tr>
      <w:tr w:rsidR="0027547A" w:rsidRPr="00DD6A7A" w14:paraId="3FE2BB48" w14:textId="77777777" w:rsidTr="00DA758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57C5E4AB"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CHELTUIELI ȘI ACTIVE NEFINANCIARE</w:t>
            </w:r>
          </w:p>
        </w:tc>
        <w:tc>
          <w:tcPr>
            <w:tcW w:w="850" w:type="dxa"/>
            <w:tcBorders>
              <w:top w:val="nil"/>
              <w:left w:val="nil"/>
              <w:bottom w:val="single" w:sz="8" w:space="0" w:color="000000"/>
              <w:right w:val="nil"/>
            </w:tcBorders>
            <w:shd w:val="clear" w:color="auto" w:fill="auto"/>
            <w:hideMark/>
          </w:tcPr>
          <w:p w14:paraId="5DE25A06"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2+3</w:t>
            </w:r>
          </w:p>
        </w:tc>
        <w:tc>
          <w:tcPr>
            <w:tcW w:w="993" w:type="dxa"/>
            <w:tcBorders>
              <w:top w:val="nil"/>
              <w:left w:val="single" w:sz="8" w:space="0" w:color="auto"/>
              <w:bottom w:val="single" w:sz="8" w:space="0" w:color="auto"/>
              <w:right w:val="single" w:sz="8" w:space="0" w:color="auto"/>
            </w:tcBorders>
            <w:shd w:val="clear" w:color="auto" w:fill="auto"/>
            <w:hideMark/>
          </w:tcPr>
          <w:p w14:paraId="4FA47338"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 </w:t>
            </w:r>
          </w:p>
        </w:tc>
        <w:tc>
          <w:tcPr>
            <w:tcW w:w="1025" w:type="dxa"/>
            <w:tcBorders>
              <w:top w:val="nil"/>
              <w:left w:val="nil"/>
              <w:bottom w:val="single" w:sz="8" w:space="0" w:color="auto"/>
              <w:right w:val="single" w:sz="8" w:space="0" w:color="auto"/>
            </w:tcBorders>
            <w:shd w:val="clear" w:color="auto" w:fill="auto"/>
            <w:hideMark/>
          </w:tcPr>
          <w:p w14:paraId="72E4F96B"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42.100,10</w:t>
            </w:r>
          </w:p>
        </w:tc>
        <w:tc>
          <w:tcPr>
            <w:tcW w:w="1025" w:type="dxa"/>
            <w:tcBorders>
              <w:top w:val="nil"/>
              <w:left w:val="nil"/>
              <w:bottom w:val="single" w:sz="8" w:space="0" w:color="auto"/>
              <w:right w:val="single" w:sz="8" w:space="0" w:color="auto"/>
            </w:tcBorders>
            <w:shd w:val="clear" w:color="auto" w:fill="auto"/>
            <w:hideMark/>
          </w:tcPr>
          <w:p w14:paraId="5541620D"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44.072,50</w:t>
            </w:r>
          </w:p>
        </w:tc>
        <w:tc>
          <w:tcPr>
            <w:tcW w:w="1237" w:type="dxa"/>
            <w:tcBorders>
              <w:top w:val="nil"/>
              <w:left w:val="nil"/>
              <w:bottom w:val="single" w:sz="8" w:space="0" w:color="auto"/>
              <w:right w:val="single" w:sz="8" w:space="0" w:color="auto"/>
            </w:tcBorders>
            <w:shd w:val="clear" w:color="auto" w:fill="auto"/>
            <w:hideMark/>
          </w:tcPr>
          <w:p w14:paraId="485B6104"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38.230,31</w:t>
            </w:r>
          </w:p>
        </w:tc>
        <w:tc>
          <w:tcPr>
            <w:tcW w:w="1134" w:type="dxa"/>
            <w:tcBorders>
              <w:top w:val="nil"/>
              <w:left w:val="nil"/>
              <w:bottom w:val="single" w:sz="8" w:space="0" w:color="auto"/>
              <w:right w:val="single" w:sz="8" w:space="0" w:color="auto"/>
            </w:tcBorders>
            <w:shd w:val="clear" w:color="auto" w:fill="auto"/>
            <w:hideMark/>
          </w:tcPr>
          <w:p w14:paraId="74A5BD8D"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40.408,27</w:t>
            </w:r>
          </w:p>
        </w:tc>
        <w:tc>
          <w:tcPr>
            <w:tcW w:w="992" w:type="dxa"/>
            <w:tcBorders>
              <w:top w:val="nil"/>
              <w:left w:val="nil"/>
              <w:bottom w:val="single" w:sz="8" w:space="0" w:color="auto"/>
              <w:right w:val="single" w:sz="8" w:space="0" w:color="auto"/>
            </w:tcBorders>
            <w:shd w:val="clear" w:color="auto" w:fill="auto"/>
            <w:hideMark/>
          </w:tcPr>
          <w:p w14:paraId="1565C808" w14:textId="77777777" w:rsidR="0027547A" w:rsidRPr="00DD6A7A" w:rsidRDefault="0027547A" w:rsidP="00C43819">
            <w:pPr>
              <w:spacing w:after="0" w:line="240" w:lineRule="auto"/>
              <w:jc w:val="center"/>
              <w:rPr>
                <w:rFonts w:ascii="Times New Roman" w:eastAsia="Times New Roman" w:hAnsi="Times New Roman" w:cs="Times New Roman"/>
                <w:b/>
                <w:bCs/>
                <w:i/>
                <w:iCs/>
                <w:color w:val="000000"/>
                <w:sz w:val="18"/>
                <w:szCs w:val="18"/>
                <w:lang w:val="ro-RO"/>
              </w:rPr>
            </w:pPr>
            <w:r w:rsidRPr="00DD6A7A">
              <w:rPr>
                <w:rFonts w:ascii="Times New Roman" w:eastAsia="Times New Roman" w:hAnsi="Times New Roman" w:cs="Times New Roman"/>
                <w:b/>
                <w:bCs/>
                <w:i/>
                <w:iCs/>
                <w:color w:val="000000"/>
                <w:sz w:val="18"/>
                <w:szCs w:val="18"/>
                <w:lang w:val="ro-RO"/>
              </w:rPr>
              <w:t>1.972,40</w:t>
            </w:r>
          </w:p>
        </w:tc>
        <w:tc>
          <w:tcPr>
            <w:tcW w:w="1134" w:type="dxa"/>
            <w:tcBorders>
              <w:top w:val="nil"/>
              <w:left w:val="nil"/>
              <w:bottom w:val="single" w:sz="8" w:space="0" w:color="auto"/>
              <w:right w:val="single" w:sz="8" w:space="0" w:color="auto"/>
            </w:tcBorders>
            <w:shd w:val="clear" w:color="auto" w:fill="auto"/>
            <w:hideMark/>
          </w:tcPr>
          <w:p w14:paraId="7CB78D7B" w14:textId="77777777" w:rsidR="0027547A" w:rsidRPr="00DD6A7A" w:rsidRDefault="0027547A" w:rsidP="00C43819">
            <w:pPr>
              <w:spacing w:after="0" w:line="240" w:lineRule="auto"/>
              <w:jc w:val="center"/>
              <w:rPr>
                <w:rFonts w:ascii="Times New Roman" w:eastAsia="Times New Roman" w:hAnsi="Times New Roman" w:cs="Times New Roman"/>
                <w:b/>
                <w:bCs/>
                <w:i/>
                <w:iCs/>
                <w:color w:val="000000"/>
                <w:sz w:val="18"/>
                <w:szCs w:val="18"/>
                <w:lang w:val="ro-RO"/>
              </w:rPr>
            </w:pPr>
            <w:r w:rsidRPr="00DD6A7A">
              <w:rPr>
                <w:rFonts w:ascii="Times New Roman" w:eastAsia="Times New Roman" w:hAnsi="Times New Roman" w:cs="Times New Roman"/>
                <w:b/>
                <w:bCs/>
                <w:i/>
                <w:iCs/>
                <w:color w:val="000000"/>
                <w:sz w:val="18"/>
                <w:szCs w:val="18"/>
                <w:lang w:val="ro-RO"/>
              </w:rPr>
              <w:t>-5.842,19</w:t>
            </w:r>
          </w:p>
        </w:tc>
        <w:tc>
          <w:tcPr>
            <w:tcW w:w="992" w:type="dxa"/>
            <w:tcBorders>
              <w:top w:val="nil"/>
              <w:left w:val="nil"/>
              <w:bottom w:val="single" w:sz="8" w:space="0" w:color="auto"/>
              <w:right w:val="single" w:sz="8" w:space="0" w:color="auto"/>
            </w:tcBorders>
            <w:shd w:val="clear" w:color="auto" w:fill="auto"/>
            <w:noWrap/>
            <w:hideMark/>
          </w:tcPr>
          <w:p w14:paraId="28BB98D4" w14:textId="77777777" w:rsidR="0027547A" w:rsidRPr="00DD6A7A" w:rsidRDefault="0027547A" w:rsidP="00C43819">
            <w:pPr>
              <w:spacing w:after="0" w:line="240" w:lineRule="auto"/>
              <w:jc w:val="center"/>
              <w:rPr>
                <w:rFonts w:ascii="Times New Roman" w:eastAsia="Times New Roman" w:hAnsi="Times New Roman" w:cs="Times New Roman"/>
                <w:b/>
                <w:bCs/>
                <w:i/>
                <w:iCs/>
                <w:color w:val="000000"/>
                <w:sz w:val="18"/>
                <w:szCs w:val="18"/>
                <w:lang w:val="ro-RO"/>
              </w:rPr>
            </w:pPr>
            <w:r w:rsidRPr="00DD6A7A">
              <w:rPr>
                <w:rFonts w:ascii="Times New Roman" w:eastAsia="Times New Roman" w:hAnsi="Times New Roman" w:cs="Times New Roman"/>
                <w:b/>
                <w:bCs/>
                <w:i/>
                <w:iCs/>
                <w:color w:val="000000"/>
                <w:sz w:val="18"/>
                <w:szCs w:val="18"/>
                <w:lang w:val="ro-RO"/>
              </w:rPr>
              <w:t>86,7%</w:t>
            </w:r>
          </w:p>
        </w:tc>
      </w:tr>
      <w:tr w:rsidR="0027547A" w:rsidRPr="00DD6A7A" w14:paraId="2736C340"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783790D2"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II. CHELTUIELI, TOTAL</w:t>
            </w:r>
          </w:p>
        </w:tc>
        <w:tc>
          <w:tcPr>
            <w:tcW w:w="850" w:type="dxa"/>
            <w:tcBorders>
              <w:top w:val="nil"/>
              <w:left w:val="nil"/>
              <w:bottom w:val="single" w:sz="8" w:space="0" w:color="000000"/>
              <w:right w:val="nil"/>
            </w:tcBorders>
            <w:shd w:val="clear" w:color="auto" w:fill="auto"/>
            <w:hideMark/>
          </w:tcPr>
          <w:p w14:paraId="06BBB610"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w:t>
            </w:r>
          </w:p>
        </w:tc>
        <w:tc>
          <w:tcPr>
            <w:tcW w:w="993" w:type="dxa"/>
            <w:tcBorders>
              <w:top w:val="nil"/>
              <w:left w:val="single" w:sz="8" w:space="0" w:color="auto"/>
              <w:bottom w:val="single" w:sz="8" w:space="0" w:color="auto"/>
              <w:right w:val="single" w:sz="8" w:space="0" w:color="auto"/>
            </w:tcBorders>
            <w:shd w:val="clear" w:color="auto" w:fill="auto"/>
            <w:hideMark/>
          </w:tcPr>
          <w:p w14:paraId="6A443B55"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 </w:t>
            </w:r>
          </w:p>
        </w:tc>
        <w:tc>
          <w:tcPr>
            <w:tcW w:w="1025" w:type="dxa"/>
            <w:tcBorders>
              <w:top w:val="nil"/>
              <w:left w:val="nil"/>
              <w:bottom w:val="single" w:sz="8" w:space="0" w:color="auto"/>
              <w:right w:val="single" w:sz="8" w:space="0" w:color="auto"/>
            </w:tcBorders>
            <w:shd w:val="clear" w:color="auto" w:fill="auto"/>
            <w:hideMark/>
          </w:tcPr>
          <w:p w14:paraId="56A51C92"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39.821,80</w:t>
            </w:r>
          </w:p>
        </w:tc>
        <w:tc>
          <w:tcPr>
            <w:tcW w:w="1025" w:type="dxa"/>
            <w:tcBorders>
              <w:top w:val="nil"/>
              <w:left w:val="nil"/>
              <w:bottom w:val="single" w:sz="8" w:space="0" w:color="auto"/>
              <w:right w:val="single" w:sz="8" w:space="0" w:color="auto"/>
            </w:tcBorders>
            <w:shd w:val="clear" w:color="auto" w:fill="auto"/>
            <w:hideMark/>
          </w:tcPr>
          <w:p w14:paraId="1745EE13"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40.082,20</w:t>
            </w:r>
          </w:p>
        </w:tc>
        <w:tc>
          <w:tcPr>
            <w:tcW w:w="1237" w:type="dxa"/>
            <w:tcBorders>
              <w:top w:val="nil"/>
              <w:left w:val="nil"/>
              <w:bottom w:val="single" w:sz="8" w:space="0" w:color="auto"/>
              <w:right w:val="single" w:sz="8" w:space="0" w:color="auto"/>
            </w:tcBorders>
            <w:shd w:val="clear" w:color="auto" w:fill="auto"/>
            <w:hideMark/>
          </w:tcPr>
          <w:p w14:paraId="70CB0AFE"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35.416,74</w:t>
            </w:r>
          </w:p>
        </w:tc>
        <w:tc>
          <w:tcPr>
            <w:tcW w:w="1134" w:type="dxa"/>
            <w:tcBorders>
              <w:top w:val="nil"/>
              <w:left w:val="nil"/>
              <w:bottom w:val="single" w:sz="8" w:space="0" w:color="auto"/>
              <w:right w:val="single" w:sz="8" w:space="0" w:color="auto"/>
            </w:tcBorders>
            <w:shd w:val="clear" w:color="auto" w:fill="auto"/>
            <w:hideMark/>
          </w:tcPr>
          <w:p w14:paraId="3871A60A"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40.408,27</w:t>
            </w:r>
          </w:p>
        </w:tc>
        <w:tc>
          <w:tcPr>
            <w:tcW w:w="992" w:type="dxa"/>
            <w:tcBorders>
              <w:top w:val="nil"/>
              <w:left w:val="nil"/>
              <w:bottom w:val="single" w:sz="8" w:space="0" w:color="auto"/>
              <w:right w:val="single" w:sz="8" w:space="0" w:color="auto"/>
            </w:tcBorders>
            <w:shd w:val="clear" w:color="auto" w:fill="auto"/>
            <w:hideMark/>
          </w:tcPr>
          <w:p w14:paraId="7AFB9988"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260,40</w:t>
            </w:r>
          </w:p>
        </w:tc>
        <w:tc>
          <w:tcPr>
            <w:tcW w:w="1134" w:type="dxa"/>
            <w:tcBorders>
              <w:top w:val="nil"/>
              <w:left w:val="nil"/>
              <w:bottom w:val="single" w:sz="8" w:space="0" w:color="auto"/>
              <w:right w:val="single" w:sz="8" w:space="0" w:color="auto"/>
            </w:tcBorders>
            <w:shd w:val="clear" w:color="auto" w:fill="auto"/>
            <w:hideMark/>
          </w:tcPr>
          <w:p w14:paraId="213DF6B0"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-4.665,46</w:t>
            </w:r>
          </w:p>
        </w:tc>
        <w:tc>
          <w:tcPr>
            <w:tcW w:w="992" w:type="dxa"/>
            <w:tcBorders>
              <w:top w:val="nil"/>
              <w:left w:val="nil"/>
              <w:bottom w:val="single" w:sz="8" w:space="0" w:color="auto"/>
              <w:right w:val="single" w:sz="8" w:space="0" w:color="auto"/>
            </w:tcBorders>
            <w:shd w:val="clear" w:color="auto" w:fill="auto"/>
            <w:noWrap/>
            <w:hideMark/>
          </w:tcPr>
          <w:p w14:paraId="612D7036"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88,4%</w:t>
            </w:r>
          </w:p>
        </w:tc>
      </w:tr>
      <w:tr w:rsidR="0027547A" w:rsidRPr="00DD6A7A" w14:paraId="150AF704"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7AED3CD9"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Remunerarea muncii</w:t>
            </w:r>
          </w:p>
        </w:tc>
        <w:tc>
          <w:tcPr>
            <w:tcW w:w="850" w:type="dxa"/>
            <w:tcBorders>
              <w:top w:val="nil"/>
              <w:left w:val="nil"/>
              <w:bottom w:val="single" w:sz="8" w:space="0" w:color="000000"/>
              <w:right w:val="nil"/>
            </w:tcBorders>
            <w:shd w:val="clear" w:color="auto" w:fill="auto"/>
            <w:hideMark/>
          </w:tcPr>
          <w:p w14:paraId="7A443F6C"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2.1</w:t>
            </w:r>
          </w:p>
        </w:tc>
        <w:tc>
          <w:tcPr>
            <w:tcW w:w="993" w:type="dxa"/>
            <w:tcBorders>
              <w:top w:val="nil"/>
              <w:left w:val="single" w:sz="8" w:space="0" w:color="auto"/>
              <w:bottom w:val="single" w:sz="8" w:space="0" w:color="auto"/>
              <w:right w:val="single" w:sz="8" w:space="0" w:color="auto"/>
            </w:tcBorders>
            <w:shd w:val="clear" w:color="auto" w:fill="auto"/>
            <w:hideMark/>
          </w:tcPr>
          <w:p w14:paraId="27421656"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211</w:t>
            </w:r>
          </w:p>
        </w:tc>
        <w:tc>
          <w:tcPr>
            <w:tcW w:w="1025" w:type="dxa"/>
            <w:tcBorders>
              <w:top w:val="nil"/>
              <w:left w:val="nil"/>
              <w:bottom w:val="single" w:sz="8" w:space="0" w:color="auto"/>
              <w:right w:val="single" w:sz="8" w:space="0" w:color="auto"/>
            </w:tcBorders>
            <w:shd w:val="clear" w:color="auto" w:fill="auto"/>
            <w:hideMark/>
          </w:tcPr>
          <w:p w14:paraId="2D5F9DB6"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23.492,50</w:t>
            </w:r>
          </w:p>
        </w:tc>
        <w:tc>
          <w:tcPr>
            <w:tcW w:w="1025" w:type="dxa"/>
            <w:tcBorders>
              <w:top w:val="nil"/>
              <w:left w:val="nil"/>
              <w:bottom w:val="single" w:sz="8" w:space="0" w:color="auto"/>
              <w:right w:val="single" w:sz="8" w:space="0" w:color="auto"/>
            </w:tcBorders>
            <w:shd w:val="clear" w:color="auto" w:fill="auto"/>
            <w:hideMark/>
          </w:tcPr>
          <w:p w14:paraId="483218FF"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24.916,12</w:t>
            </w:r>
          </w:p>
        </w:tc>
        <w:tc>
          <w:tcPr>
            <w:tcW w:w="1237" w:type="dxa"/>
            <w:tcBorders>
              <w:top w:val="nil"/>
              <w:left w:val="nil"/>
              <w:bottom w:val="single" w:sz="8" w:space="0" w:color="auto"/>
              <w:right w:val="single" w:sz="8" w:space="0" w:color="auto"/>
            </w:tcBorders>
            <w:shd w:val="clear" w:color="auto" w:fill="auto"/>
            <w:hideMark/>
          </w:tcPr>
          <w:p w14:paraId="44F5CC39"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23.760,70</w:t>
            </w:r>
          </w:p>
        </w:tc>
        <w:tc>
          <w:tcPr>
            <w:tcW w:w="1134" w:type="dxa"/>
            <w:tcBorders>
              <w:top w:val="nil"/>
              <w:left w:val="nil"/>
              <w:bottom w:val="single" w:sz="8" w:space="0" w:color="auto"/>
              <w:right w:val="single" w:sz="8" w:space="0" w:color="auto"/>
            </w:tcBorders>
            <w:shd w:val="clear" w:color="auto" w:fill="auto"/>
            <w:hideMark/>
          </w:tcPr>
          <w:p w14:paraId="24A87B87"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23.971,03</w:t>
            </w:r>
          </w:p>
        </w:tc>
        <w:tc>
          <w:tcPr>
            <w:tcW w:w="992" w:type="dxa"/>
            <w:tcBorders>
              <w:top w:val="nil"/>
              <w:left w:val="nil"/>
              <w:bottom w:val="single" w:sz="8" w:space="0" w:color="auto"/>
              <w:right w:val="single" w:sz="8" w:space="0" w:color="auto"/>
            </w:tcBorders>
            <w:shd w:val="clear" w:color="auto" w:fill="auto"/>
            <w:hideMark/>
          </w:tcPr>
          <w:p w14:paraId="6E97B532"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1.423,62</w:t>
            </w:r>
          </w:p>
        </w:tc>
        <w:tc>
          <w:tcPr>
            <w:tcW w:w="1134" w:type="dxa"/>
            <w:tcBorders>
              <w:top w:val="nil"/>
              <w:left w:val="nil"/>
              <w:bottom w:val="single" w:sz="8" w:space="0" w:color="auto"/>
              <w:right w:val="single" w:sz="8" w:space="0" w:color="auto"/>
            </w:tcBorders>
            <w:shd w:val="clear" w:color="auto" w:fill="auto"/>
            <w:hideMark/>
          </w:tcPr>
          <w:p w14:paraId="4D0F201F"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-1.155,42</w:t>
            </w:r>
          </w:p>
        </w:tc>
        <w:tc>
          <w:tcPr>
            <w:tcW w:w="992" w:type="dxa"/>
            <w:tcBorders>
              <w:top w:val="nil"/>
              <w:left w:val="nil"/>
              <w:bottom w:val="single" w:sz="8" w:space="0" w:color="auto"/>
              <w:right w:val="single" w:sz="8" w:space="0" w:color="auto"/>
            </w:tcBorders>
            <w:shd w:val="clear" w:color="auto" w:fill="auto"/>
            <w:noWrap/>
            <w:hideMark/>
          </w:tcPr>
          <w:p w14:paraId="585020E6"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95,4%</w:t>
            </w:r>
          </w:p>
        </w:tc>
      </w:tr>
      <w:tr w:rsidR="0027547A" w:rsidRPr="00DD6A7A" w14:paraId="34973C09" w14:textId="77777777" w:rsidTr="00DA758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60B317AA"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Contribuții și prime de asigurări obligatorii</w:t>
            </w:r>
          </w:p>
        </w:tc>
        <w:tc>
          <w:tcPr>
            <w:tcW w:w="850" w:type="dxa"/>
            <w:tcBorders>
              <w:top w:val="nil"/>
              <w:left w:val="nil"/>
              <w:bottom w:val="single" w:sz="8" w:space="0" w:color="000000"/>
              <w:right w:val="nil"/>
            </w:tcBorders>
            <w:shd w:val="clear" w:color="auto" w:fill="auto"/>
            <w:hideMark/>
          </w:tcPr>
          <w:p w14:paraId="519FABF9"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2.2</w:t>
            </w:r>
          </w:p>
        </w:tc>
        <w:tc>
          <w:tcPr>
            <w:tcW w:w="993" w:type="dxa"/>
            <w:tcBorders>
              <w:top w:val="nil"/>
              <w:left w:val="single" w:sz="8" w:space="0" w:color="auto"/>
              <w:bottom w:val="single" w:sz="8" w:space="0" w:color="auto"/>
              <w:right w:val="single" w:sz="8" w:space="0" w:color="auto"/>
            </w:tcBorders>
            <w:shd w:val="clear" w:color="auto" w:fill="auto"/>
            <w:hideMark/>
          </w:tcPr>
          <w:p w14:paraId="759559C7"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212</w:t>
            </w:r>
          </w:p>
        </w:tc>
        <w:tc>
          <w:tcPr>
            <w:tcW w:w="1025" w:type="dxa"/>
            <w:tcBorders>
              <w:top w:val="nil"/>
              <w:left w:val="nil"/>
              <w:bottom w:val="single" w:sz="8" w:space="0" w:color="auto"/>
              <w:right w:val="single" w:sz="8" w:space="0" w:color="auto"/>
            </w:tcBorders>
            <w:shd w:val="clear" w:color="auto" w:fill="auto"/>
            <w:hideMark/>
          </w:tcPr>
          <w:p w14:paraId="7DA21DD3"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6.933,50</w:t>
            </w:r>
          </w:p>
        </w:tc>
        <w:tc>
          <w:tcPr>
            <w:tcW w:w="1025" w:type="dxa"/>
            <w:tcBorders>
              <w:top w:val="nil"/>
              <w:left w:val="nil"/>
              <w:bottom w:val="single" w:sz="8" w:space="0" w:color="auto"/>
              <w:right w:val="single" w:sz="8" w:space="0" w:color="auto"/>
            </w:tcBorders>
            <w:shd w:val="clear" w:color="auto" w:fill="auto"/>
            <w:hideMark/>
          </w:tcPr>
          <w:p w14:paraId="4F5F35A4"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7.027,28</w:t>
            </w:r>
          </w:p>
        </w:tc>
        <w:tc>
          <w:tcPr>
            <w:tcW w:w="1237" w:type="dxa"/>
            <w:tcBorders>
              <w:top w:val="nil"/>
              <w:left w:val="nil"/>
              <w:bottom w:val="single" w:sz="8" w:space="0" w:color="auto"/>
              <w:right w:val="single" w:sz="8" w:space="0" w:color="auto"/>
            </w:tcBorders>
            <w:shd w:val="clear" w:color="auto" w:fill="auto"/>
            <w:hideMark/>
          </w:tcPr>
          <w:p w14:paraId="1299B683"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6.658,84</w:t>
            </w:r>
          </w:p>
        </w:tc>
        <w:tc>
          <w:tcPr>
            <w:tcW w:w="1134" w:type="dxa"/>
            <w:tcBorders>
              <w:top w:val="nil"/>
              <w:left w:val="nil"/>
              <w:bottom w:val="single" w:sz="8" w:space="0" w:color="auto"/>
              <w:right w:val="single" w:sz="8" w:space="0" w:color="auto"/>
            </w:tcBorders>
            <w:shd w:val="clear" w:color="auto" w:fill="auto"/>
            <w:hideMark/>
          </w:tcPr>
          <w:p w14:paraId="2DFB8294"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6.723,98</w:t>
            </w:r>
          </w:p>
        </w:tc>
        <w:tc>
          <w:tcPr>
            <w:tcW w:w="992" w:type="dxa"/>
            <w:tcBorders>
              <w:top w:val="nil"/>
              <w:left w:val="nil"/>
              <w:bottom w:val="single" w:sz="8" w:space="0" w:color="auto"/>
              <w:right w:val="single" w:sz="8" w:space="0" w:color="auto"/>
            </w:tcBorders>
            <w:shd w:val="clear" w:color="auto" w:fill="auto"/>
            <w:hideMark/>
          </w:tcPr>
          <w:p w14:paraId="24CD2A14"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93,78</w:t>
            </w:r>
          </w:p>
        </w:tc>
        <w:tc>
          <w:tcPr>
            <w:tcW w:w="1134" w:type="dxa"/>
            <w:tcBorders>
              <w:top w:val="nil"/>
              <w:left w:val="nil"/>
              <w:bottom w:val="single" w:sz="8" w:space="0" w:color="auto"/>
              <w:right w:val="single" w:sz="8" w:space="0" w:color="auto"/>
            </w:tcBorders>
            <w:shd w:val="clear" w:color="auto" w:fill="auto"/>
            <w:hideMark/>
          </w:tcPr>
          <w:p w14:paraId="6DD41196"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-368,44</w:t>
            </w:r>
          </w:p>
        </w:tc>
        <w:tc>
          <w:tcPr>
            <w:tcW w:w="992" w:type="dxa"/>
            <w:tcBorders>
              <w:top w:val="nil"/>
              <w:left w:val="nil"/>
              <w:bottom w:val="single" w:sz="8" w:space="0" w:color="auto"/>
              <w:right w:val="single" w:sz="8" w:space="0" w:color="auto"/>
            </w:tcBorders>
            <w:shd w:val="clear" w:color="auto" w:fill="auto"/>
            <w:noWrap/>
            <w:hideMark/>
          </w:tcPr>
          <w:p w14:paraId="7BB39CE7"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94,8%</w:t>
            </w:r>
          </w:p>
        </w:tc>
      </w:tr>
      <w:tr w:rsidR="0027547A" w:rsidRPr="00DD6A7A" w14:paraId="37418831" w14:textId="77777777" w:rsidTr="00DA758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28E6F153" w14:textId="5B585648" w:rsidR="0027547A" w:rsidRPr="00DD6A7A" w:rsidRDefault="001B7053"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Contribuții</w:t>
            </w:r>
            <w:r w:rsidR="0027547A" w:rsidRPr="00DD6A7A">
              <w:rPr>
                <w:rFonts w:ascii="Times New Roman" w:eastAsia="Times New Roman" w:hAnsi="Times New Roman" w:cs="Times New Roman"/>
                <w:color w:val="000000"/>
                <w:sz w:val="18"/>
                <w:szCs w:val="18"/>
                <w:lang w:val="ro-RO"/>
              </w:rPr>
              <w:t xml:space="preserve"> de asigurări sociale de stat obligatorii</w:t>
            </w:r>
          </w:p>
        </w:tc>
        <w:tc>
          <w:tcPr>
            <w:tcW w:w="850" w:type="dxa"/>
            <w:tcBorders>
              <w:top w:val="nil"/>
              <w:left w:val="nil"/>
              <w:bottom w:val="single" w:sz="8" w:space="0" w:color="000000"/>
              <w:right w:val="nil"/>
            </w:tcBorders>
            <w:shd w:val="clear" w:color="auto" w:fill="auto"/>
            <w:hideMark/>
          </w:tcPr>
          <w:p w14:paraId="3EC4BEA4"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2.2.0</w:t>
            </w:r>
          </w:p>
        </w:tc>
        <w:tc>
          <w:tcPr>
            <w:tcW w:w="993" w:type="dxa"/>
            <w:tcBorders>
              <w:top w:val="nil"/>
              <w:left w:val="single" w:sz="8" w:space="0" w:color="auto"/>
              <w:bottom w:val="single" w:sz="8" w:space="0" w:color="auto"/>
              <w:right w:val="single" w:sz="8" w:space="0" w:color="auto"/>
            </w:tcBorders>
            <w:shd w:val="clear" w:color="auto" w:fill="auto"/>
            <w:hideMark/>
          </w:tcPr>
          <w:p w14:paraId="1CD269FB"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212100</w:t>
            </w:r>
          </w:p>
        </w:tc>
        <w:tc>
          <w:tcPr>
            <w:tcW w:w="1025" w:type="dxa"/>
            <w:tcBorders>
              <w:top w:val="nil"/>
              <w:left w:val="nil"/>
              <w:bottom w:val="single" w:sz="8" w:space="0" w:color="auto"/>
              <w:right w:val="single" w:sz="8" w:space="0" w:color="auto"/>
            </w:tcBorders>
            <w:shd w:val="clear" w:color="auto" w:fill="auto"/>
            <w:hideMark/>
          </w:tcPr>
          <w:p w14:paraId="4F3871D6"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6.297,90</w:t>
            </w:r>
          </w:p>
        </w:tc>
        <w:tc>
          <w:tcPr>
            <w:tcW w:w="1025" w:type="dxa"/>
            <w:tcBorders>
              <w:top w:val="nil"/>
              <w:left w:val="nil"/>
              <w:bottom w:val="single" w:sz="8" w:space="0" w:color="auto"/>
              <w:right w:val="single" w:sz="8" w:space="0" w:color="auto"/>
            </w:tcBorders>
            <w:shd w:val="clear" w:color="auto" w:fill="auto"/>
            <w:hideMark/>
          </w:tcPr>
          <w:p w14:paraId="43740CA9"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6.418,74</w:t>
            </w:r>
          </w:p>
        </w:tc>
        <w:tc>
          <w:tcPr>
            <w:tcW w:w="1237" w:type="dxa"/>
            <w:tcBorders>
              <w:top w:val="nil"/>
              <w:left w:val="nil"/>
              <w:bottom w:val="single" w:sz="8" w:space="0" w:color="auto"/>
              <w:right w:val="single" w:sz="8" w:space="0" w:color="auto"/>
            </w:tcBorders>
            <w:shd w:val="clear" w:color="auto" w:fill="auto"/>
            <w:hideMark/>
          </w:tcPr>
          <w:p w14:paraId="56169B24"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6.074,99</w:t>
            </w:r>
          </w:p>
        </w:tc>
        <w:tc>
          <w:tcPr>
            <w:tcW w:w="1134" w:type="dxa"/>
            <w:tcBorders>
              <w:top w:val="nil"/>
              <w:left w:val="nil"/>
              <w:bottom w:val="single" w:sz="8" w:space="0" w:color="auto"/>
              <w:right w:val="single" w:sz="8" w:space="0" w:color="auto"/>
            </w:tcBorders>
            <w:shd w:val="clear" w:color="auto" w:fill="auto"/>
            <w:hideMark/>
          </w:tcPr>
          <w:p w14:paraId="3C4A958F"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6.152,57</w:t>
            </w:r>
          </w:p>
        </w:tc>
        <w:tc>
          <w:tcPr>
            <w:tcW w:w="992" w:type="dxa"/>
            <w:tcBorders>
              <w:top w:val="nil"/>
              <w:left w:val="nil"/>
              <w:bottom w:val="single" w:sz="8" w:space="0" w:color="auto"/>
              <w:right w:val="single" w:sz="8" w:space="0" w:color="auto"/>
            </w:tcBorders>
            <w:shd w:val="clear" w:color="auto" w:fill="auto"/>
            <w:hideMark/>
          </w:tcPr>
          <w:p w14:paraId="145874DB"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120,84</w:t>
            </w:r>
          </w:p>
        </w:tc>
        <w:tc>
          <w:tcPr>
            <w:tcW w:w="1134" w:type="dxa"/>
            <w:tcBorders>
              <w:top w:val="nil"/>
              <w:left w:val="nil"/>
              <w:bottom w:val="single" w:sz="8" w:space="0" w:color="auto"/>
              <w:right w:val="single" w:sz="8" w:space="0" w:color="auto"/>
            </w:tcBorders>
            <w:shd w:val="clear" w:color="auto" w:fill="auto"/>
            <w:hideMark/>
          </w:tcPr>
          <w:p w14:paraId="2087AA3C"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-343,75</w:t>
            </w:r>
          </w:p>
        </w:tc>
        <w:tc>
          <w:tcPr>
            <w:tcW w:w="992" w:type="dxa"/>
            <w:tcBorders>
              <w:top w:val="nil"/>
              <w:left w:val="nil"/>
              <w:bottom w:val="single" w:sz="8" w:space="0" w:color="auto"/>
              <w:right w:val="single" w:sz="8" w:space="0" w:color="auto"/>
            </w:tcBorders>
            <w:shd w:val="clear" w:color="auto" w:fill="auto"/>
            <w:noWrap/>
            <w:hideMark/>
          </w:tcPr>
          <w:p w14:paraId="0F9A8DE0"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94,6%</w:t>
            </w:r>
          </w:p>
        </w:tc>
      </w:tr>
      <w:tr w:rsidR="0027547A" w:rsidRPr="00DD6A7A" w14:paraId="2D6FE7A5" w14:textId="77777777" w:rsidTr="00DA7582">
        <w:trPr>
          <w:trHeight w:val="73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68129405"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lastRenderedPageBreak/>
              <w:t>Prime de asigurare obligatorie de asistenţă medicală achitate de angajatori şi angajaţi pe teritoriul ţării</w:t>
            </w:r>
          </w:p>
        </w:tc>
        <w:tc>
          <w:tcPr>
            <w:tcW w:w="850" w:type="dxa"/>
            <w:tcBorders>
              <w:top w:val="nil"/>
              <w:left w:val="nil"/>
              <w:bottom w:val="single" w:sz="8" w:space="0" w:color="000000"/>
              <w:right w:val="nil"/>
            </w:tcBorders>
            <w:shd w:val="clear" w:color="auto" w:fill="auto"/>
            <w:hideMark/>
          </w:tcPr>
          <w:p w14:paraId="2BC563F3"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2.2.0</w:t>
            </w:r>
          </w:p>
        </w:tc>
        <w:tc>
          <w:tcPr>
            <w:tcW w:w="993" w:type="dxa"/>
            <w:tcBorders>
              <w:top w:val="nil"/>
              <w:left w:val="single" w:sz="8" w:space="0" w:color="auto"/>
              <w:bottom w:val="single" w:sz="8" w:space="0" w:color="auto"/>
              <w:right w:val="single" w:sz="8" w:space="0" w:color="auto"/>
            </w:tcBorders>
            <w:shd w:val="clear" w:color="auto" w:fill="auto"/>
            <w:hideMark/>
          </w:tcPr>
          <w:p w14:paraId="4E983CD7"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212210</w:t>
            </w:r>
          </w:p>
        </w:tc>
        <w:tc>
          <w:tcPr>
            <w:tcW w:w="1025" w:type="dxa"/>
            <w:tcBorders>
              <w:top w:val="nil"/>
              <w:left w:val="nil"/>
              <w:bottom w:val="single" w:sz="8" w:space="0" w:color="auto"/>
              <w:right w:val="single" w:sz="8" w:space="0" w:color="auto"/>
            </w:tcBorders>
            <w:shd w:val="clear" w:color="auto" w:fill="auto"/>
            <w:hideMark/>
          </w:tcPr>
          <w:p w14:paraId="4162DC99"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635,60</w:t>
            </w:r>
          </w:p>
        </w:tc>
        <w:tc>
          <w:tcPr>
            <w:tcW w:w="1025" w:type="dxa"/>
            <w:tcBorders>
              <w:top w:val="nil"/>
              <w:left w:val="nil"/>
              <w:bottom w:val="single" w:sz="8" w:space="0" w:color="auto"/>
              <w:right w:val="single" w:sz="8" w:space="0" w:color="auto"/>
            </w:tcBorders>
            <w:shd w:val="clear" w:color="auto" w:fill="auto"/>
            <w:hideMark/>
          </w:tcPr>
          <w:p w14:paraId="08B5A0EB"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591,90</w:t>
            </w:r>
          </w:p>
        </w:tc>
        <w:tc>
          <w:tcPr>
            <w:tcW w:w="1237" w:type="dxa"/>
            <w:tcBorders>
              <w:top w:val="nil"/>
              <w:left w:val="nil"/>
              <w:bottom w:val="single" w:sz="8" w:space="0" w:color="auto"/>
              <w:right w:val="single" w:sz="8" w:space="0" w:color="auto"/>
            </w:tcBorders>
            <w:shd w:val="clear" w:color="auto" w:fill="auto"/>
            <w:hideMark/>
          </w:tcPr>
          <w:p w14:paraId="3AEB07DA"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567,21</w:t>
            </w:r>
          </w:p>
        </w:tc>
        <w:tc>
          <w:tcPr>
            <w:tcW w:w="1134" w:type="dxa"/>
            <w:tcBorders>
              <w:top w:val="nil"/>
              <w:left w:val="nil"/>
              <w:bottom w:val="single" w:sz="8" w:space="0" w:color="auto"/>
              <w:right w:val="single" w:sz="8" w:space="0" w:color="auto"/>
            </w:tcBorders>
            <w:shd w:val="clear" w:color="auto" w:fill="auto"/>
            <w:hideMark/>
          </w:tcPr>
          <w:p w14:paraId="6598FDAD"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571,41</w:t>
            </w:r>
          </w:p>
        </w:tc>
        <w:tc>
          <w:tcPr>
            <w:tcW w:w="992" w:type="dxa"/>
            <w:tcBorders>
              <w:top w:val="nil"/>
              <w:left w:val="nil"/>
              <w:bottom w:val="single" w:sz="8" w:space="0" w:color="auto"/>
              <w:right w:val="single" w:sz="8" w:space="0" w:color="auto"/>
            </w:tcBorders>
            <w:shd w:val="clear" w:color="auto" w:fill="auto"/>
            <w:hideMark/>
          </w:tcPr>
          <w:p w14:paraId="3948BAA0"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-43,70</w:t>
            </w:r>
          </w:p>
        </w:tc>
        <w:tc>
          <w:tcPr>
            <w:tcW w:w="1134" w:type="dxa"/>
            <w:tcBorders>
              <w:top w:val="nil"/>
              <w:left w:val="nil"/>
              <w:bottom w:val="single" w:sz="8" w:space="0" w:color="auto"/>
              <w:right w:val="single" w:sz="8" w:space="0" w:color="auto"/>
            </w:tcBorders>
            <w:shd w:val="clear" w:color="auto" w:fill="auto"/>
            <w:hideMark/>
          </w:tcPr>
          <w:p w14:paraId="362C71BB"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-24,69</w:t>
            </w:r>
          </w:p>
        </w:tc>
        <w:tc>
          <w:tcPr>
            <w:tcW w:w="992" w:type="dxa"/>
            <w:tcBorders>
              <w:top w:val="nil"/>
              <w:left w:val="nil"/>
              <w:bottom w:val="single" w:sz="8" w:space="0" w:color="auto"/>
              <w:right w:val="single" w:sz="8" w:space="0" w:color="auto"/>
            </w:tcBorders>
            <w:shd w:val="clear" w:color="auto" w:fill="auto"/>
            <w:noWrap/>
            <w:hideMark/>
          </w:tcPr>
          <w:p w14:paraId="6213D219"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95,8%</w:t>
            </w:r>
          </w:p>
        </w:tc>
      </w:tr>
      <w:tr w:rsidR="0027547A" w:rsidRPr="00DD6A7A" w14:paraId="0AEE2674" w14:textId="77777777" w:rsidTr="00DA758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39166142"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Bunuri-cheltuieli privind utilizarea stocurilor</w:t>
            </w:r>
          </w:p>
        </w:tc>
        <w:tc>
          <w:tcPr>
            <w:tcW w:w="850" w:type="dxa"/>
            <w:tcBorders>
              <w:top w:val="nil"/>
              <w:left w:val="nil"/>
              <w:bottom w:val="single" w:sz="8" w:space="0" w:color="000000"/>
              <w:right w:val="nil"/>
            </w:tcBorders>
            <w:shd w:val="clear" w:color="auto" w:fill="auto"/>
            <w:hideMark/>
          </w:tcPr>
          <w:p w14:paraId="2A9E0349"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2.3</w:t>
            </w:r>
          </w:p>
        </w:tc>
        <w:tc>
          <w:tcPr>
            <w:tcW w:w="993" w:type="dxa"/>
            <w:tcBorders>
              <w:top w:val="nil"/>
              <w:left w:val="single" w:sz="8" w:space="0" w:color="auto"/>
              <w:bottom w:val="single" w:sz="8" w:space="0" w:color="auto"/>
              <w:right w:val="single" w:sz="8" w:space="0" w:color="auto"/>
            </w:tcBorders>
            <w:shd w:val="clear" w:color="auto" w:fill="auto"/>
            <w:hideMark/>
          </w:tcPr>
          <w:p w14:paraId="0AF0C6FD"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221</w:t>
            </w:r>
          </w:p>
        </w:tc>
        <w:tc>
          <w:tcPr>
            <w:tcW w:w="1025" w:type="dxa"/>
            <w:tcBorders>
              <w:top w:val="nil"/>
              <w:left w:val="nil"/>
              <w:bottom w:val="single" w:sz="8" w:space="0" w:color="auto"/>
              <w:right w:val="single" w:sz="8" w:space="0" w:color="auto"/>
            </w:tcBorders>
            <w:shd w:val="clear" w:color="auto" w:fill="auto"/>
            <w:hideMark/>
          </w:tcPr>
          <w:p w14:paraId="520E859E"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1228D099"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1237" w:type="dxa"/>
            <w:tcBorders>
              <w:top w:val="nil"/>
              <w:left w:val="nil"/>
              <w:bottom w:val="single" w:sz="8" w:space="0" w:color="auto"/>
              <w:right w:val="single" w:sz="8" w:space="0" w:color="auto"/>
            </w:tcBorders>
            <w:shd w:val="clear" w:color="auto" w:fill="auto"/>
            <w:hideMark/>
          </w:tcPr>
          <w:p w14:paraId="42D73B06"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56002CEB"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955,33</w:t>
            </w:r>
          </w:p>
        </w:tc>
        <w:tc>
          <w:tcPr>
            <w:tcW w:w="992" w:type="dxa"/>
            <w:tcBorders>
              <w:top w:val="nil"/>
              <w:left w:val="nil"/>
              <w:bottom w:val="single" w:sz="8" w:space="0" w:color="auto"/>
              <w:right w:val="single" w:sz="8" w:space="0" w:color="auto"/>
            </w:tcBorders>
            <w:shd w:val="clear" w:color="auto" w:fill="auto"/>
            <w:hideMark/>
          </w:tcPr>
          <w:p w14:paraId="5FC8281C"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1CB793DD"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hideMark/>
          </w:tcPr>
          <w:p w14:paraId="49B04905" w14:textId="77777777" w:rsidR="0027547A" w:rsidRPr="00DD6A7A" w:rsidRDefault="00281115"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x</w:t>
            </w:r>
          </w:p>
        </w:tc>
      </w:tr>
      <w:tr w:rsidR="0027547A" w:rsidRPr="00DD6A7A" w14:paraId="281DD539" w14:textId="77777777" w:rsidTr="00DA7582">
        <w:trPr>
          <w:trHeight w:val="73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6D45D740" w14:textId="3C20304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 xml:space="preserve">Cheltuieli privind utilizarea </w:t>
            </w:r>
            <w:r w:rsidR="00F81701">
              <w:rPr>
                <w:rFonts w:ascii="Times New Roman" w:eastAsia="Times New Roman" w:hAnsi="Times New Roman" w:cs="Times New Roman"/>
                <w:color w:val="000000"/>
                <w:sz w:val="18"/>
                <w:szCs w:val="18"/>
                <w:lang w:val="ro-RO"/>
              </w:rPr>
              <w:t>carburanți</w:t>
            </w:r>
            <w:r w:rsidRPr="00DD6A7A">
              <w:rPr>
                <w:rFonts w:ascii="Times New Roman" w:eastAsia="Times New Roman" w:hAnsi="Times New Roman" w:cs="Times New Roman"/>
                <w:color w:val="000000"/>
                <w:sz w:val="18"/>
                <w:szCs w:val="18"/>
                <w:lang w:val="ro-RO"/>
              </w:rPr>
              <w:t>ului. carburanţilor şi lubrifianţilor</w:t>
            </w:r>
          </w:p>
        </w:tc>
        <w:tc>
          <w:tcPr>
            <w:tcW w:w="850" w:type="dxa"/>
            <w:tcBorders>
              <w:top w:val="nil"/>
              <w:left w:val="nil"/>
              <w:bottom w:val="single" w:sz="8" w:space="0" w:color="000000"/>
              <w:right w:val="nil"/>
            </w:tcBorders>
            <w:shd w:val="clear" w:color="auto" w:fill="auto"/>
            <w:hideMark/>
          </w:tcPr>
          <w:p w14:paraId="2B5FAB69"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2.3.0</w:t>
            </w:r>
          </w:p>
        </w:tc>
        <w:tc>
          <w:tcPr>
            <w:tcW w:w="993" w:type="dxa"/>
            <w:tcBorders>
              <w:top w:val="nil"/>
              <w:left w:val="single" w:sz="8" w:space="0" w:color="auto"/>
              <w:bottom w:val="single" w:sz="8" w:space="0" w:color="auto"/>
              <w:right w:val="single" w:sz="8" w:space="0" w:color="auto"/>
            </w:tcBorders>
            <w:shd w:val="clear" w:color="auto" w:fill="auto"/>
            <w:hideMark/>
          </w:tcPr>
          <w:p w14:paraId="103FAA0C"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221110</w:t>
            </w:r>
          </w:p>
        </w:tc>
        <w:tc>
          <w:tcPr>
            <w:tcW w:w="1025" w:type="dxa"/>
            <w:tcBorders>
              <w:top w:val="nil"/>
              <w:left w:val="nil"/>
              <w:bottom w:val="single" w:sz="8" w:space="0" w:color="auto"/>
              <w:right w:val="single" w:sz="8" w:space="0" w:color="auto"/>
            </w:tcBorders>
            <w:shd w:val="clear" w:color="auto" w:fill="auto"/>
            <w:hideMark/>
          </w:tcPr>
          <w:p w14:paraId="756B4C19"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30534EB3"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237" w:type="dxa"/>
            <w:tcBorders>
              <w:top w:val="nil"/>
              <w:left w:val="nil"/>
              <w:bottom w:val="single" w:sz="8" w:space="0" w:color="auto"/>
              <w:right w:val="single" w:sz="8" w:space="0" w:color="auto"/>
            </w:tcBorders>
            <w:shd w:val="clear" w:color="auto" w:fill="auto"/>
            <w:hideMark/>
          </w:tcPr>
          <w:p w14:paraId="06FEE6FF"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7BF0806D"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238,72</w:t>
            </w:r>
          </w:p>
        </w:tc>
        <w:tc>
          <w:tcPr>
            <w:tcW w:w="992" w:type="dxa"/>
            <w:tcBorders>
              <w:top w:val="nil"/>
              <w:left w:val="nil"/>
              <w:bottom w:val="single" w:sz="8" w:space="0" w:color="auto"/>
              <w:right w:val="single" w:sz="8" w:space="0" w:color="auto"/>
            </w:tcBorders>
            <w:shd w:val="clear" w:color="auto" w:fill="auto"/>
            <w:hideMark/>
          </w:tcPr>
          <w:p w14:paraId="547BD3DA"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2D7B2E95"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tcPr>
          <w:p w14:paraId="69B6E28B" w14:textId="77777777" w:rsidR="0027547A" w:rsidRPr="00DD6A7A" w:rsidRDefault="00281115"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x</w:t>
            </w:r>
          </w:p>
        </w:tc>
      </w:tr>
      <w:tr w:rsidR="0027547A" w:rsidRPr="00DD6A7A" w14:paraId="19CB6C5A" w14:textId="77777777" w:rsidTr="00DA758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1B89C6AC"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Cheltuieli privind utilizarea pieselor de schimb</w:t>
            </w:r>
          </w:p>
        </w:tc>
        <w:tc>
          <w:tcPr>
            <w:tcW w:w="850" w:type="dxa"/>
            <w:tcBorders>
              <w:top w:val="nil"/>
              <w:left w:val="nil"/>
              <w:bottom w:val="single" w:sz="8" w:space="0" w:color="000000"/>
              <w:right w:val="nil"/>
            </w:tcBorders>
            <w:shd w:val="clear" w:color="auto" w:fill="auto"/>
            <w:hideMark/>
          </w:tcPr>
          <w:p w14:paraId="0F977B98"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2.3.0</w:t>
            </w:r>
          </w:p>
        </w:tc>
        <w:tc>
          <w:tcPr>
            <w:tcW w:w="993" w:type="dxa"/>
            <w:tcBorders>
              <w:top w:val="nil"/>
              <w:left w:val="single" w:sz="8" w:space="0" w:color="auto"/>
              <w:bottom w:val="single" w:sz="8" w:space="0" w:color="auto"/>
              <w:right w:val="single" w:sz="8" w:space="0" w:color="auto"/>
            </w:tcBorders>
            <w:shd w:val="clear" w:color="auto" w:fill="auto"/>
            <w:hideMark/>
          </w:tcPr>
          <w:p w14:paraId="416D3828"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221120</w:t>
            </w:r>
          </w:p>
        </w:tc>
        <w:tc>
          <w:tcPr>
            <w:tcW w:w="1025" w:type="dxa"/>
            <w:tcBorders>
              <w:top w:val="nil"/>
              <w:left w:val="nil"/>
              <w:bottom w:val="single" w:sz="8" w:space="0" w:color="auto"/>
              <w:right w:val="single" w:sz="8" w:space="0" w:color="auto"/>
            </w:tcBorders>
            <w:shd w:val="clear" w:color="auto" w:fill="auto"/>
            <w:hideMark/>
          </w:tcPr>
          <w:p w14:paraId="16102A6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05368889"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237" w:type="dxa"/>
            <w:tcBorders>
              <w:top w:val="nil"/>
              <w:left w:val="nil"/>
              <w:bottom w:val="single" w:sz="8" w:space="0" w:color="auto"/>
              <w:right w:val="single" w:sz="8" w:space="0" w:color="auto"/>
            </w:tcBorders>
            <w:shd w:val="clear" w:color="auto" w:fill="auto"/>
            <w:hideMark/>
          </w:tcPr>
          <w:p w14:paraId="18209337"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34BC553C"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51,81</w:t>
            </w:r>
          </w:p>
        </w:tc>
        <w:tc>
          <w:tcPr>
            <w:tcW w:w="992" w:type="dxa"/>
            <w:tcBorders>
              <w:top w:val="nil"/>
              <w:left w:val="nil"/>
              <w:bottom w:val="single" w:sz="8" w:space="0" w:color="auto"/>
              <w:right w:val="single" w:sz="8" w:space="0" w:color="auto"/>
            </w:tcBorders>
            <w:shd w:val="clear" w:color="auto" w:fill="auto"/>
            <w:hideMark/>
          </w:tcPr>
          <w:p w14:paraId="381EB7BD"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0D7B9871"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hideMark/>
          </w:tcPr>
          <w:p w14:paraId="5993E52A" w14:textId="77777777" w:rsidR="0027547A" w:rsidRPr="00DD6A7A" w:rsidRDefault="00281115"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x</w:t>
            </w:r>
          </w:p>
        </w:tc>
      </w:tr>
      <w:tr w:rsidR="0027547A" w:rsidRPr="00DD6A7A" w14:paraId="3994B5CD" w14:textId="77777777" w:rsidTr="00DA7582">
        <w:trPr>
          <w:trHeight w:val="73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2C088858"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Cheltuieli privind utilizarea materialelor de uz gospodăresc şi rechizitelor de birou</w:t>
            </w:r>
          </w:p>
        </w:tc>
        <w:tc>
          <w:tcPr>
            <w:tcW w:w="850" w:type="dxa"/>
            <w:tcBorders>
              <w:top w:val="nil"/>
              <w:left w:val="nil"/>
              <w:bottom w:val="single" w:sz="8" w:space="0" w:color="000000"/>
              <w:right w:val="nil"/>
            </w:tcBorders>
            <w:shd w:val="clear" w:color="auto" w:fill="auto"/>
            <w:hideMark/>
          </w:tcPr>
          <w:p w14:paraId="5E637507"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2.3.0</w:t>
            </w:r>
          </w:p>
        </w:tc>
        <w:tc>
          <w:tcPr>
            <w:tcW w:w="993" w:type="dxa"/>
            <w:tcBorders>
              <w:top w:val="nil"/>
              <w:left w:val="single" w:sz="8" w:space="0" w:color="auto"/>
              <w:bottom w:val="single" w:sz="8" w:space="0" w:color="auto"/>
              <w:right w:val="single" w:sz="8" w:space="0" w:color="auto"/>
            </w:tcBorders>
            <w:shd w:val="clear" w:color="auto" w:fill="auto"/>
            <w:hideMark/>
          </w:tcPr>
          <w:p w14:paraId="288D7E50"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221160</w:t>
            </w:r>
          </w:p>
        </w:tc>
        <w:tc>
          <w:tcPr>
            <w:tcW w:w="1025" w:type="dxa"/>
            <w:tcBorders>
              <w:top w:val="nil"/>
              <w:left w:val="nil"/>
              <w:bottom w:val="single" w:sz="8" w:space="0" w:color="auto"/>
              <w:right w:val="single" w:sz="8" w:space="0" w:color="auto"/>
            </w:tcBorders>
            <w:shd w:val="clear" w:color="auto" w:fill="auto"/>
            <w:hideMark/>
          </w:tcPr>
          <w:p w14:paraId="573384B3"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6E76A55C"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237" w:type="dxa"/>
            <w:tcBorders>
              <w:top w:val="nil"/>
              <w:left w:val="nil"/>
              <w:bottom w:val="single" w:sz="8" w:space="0" w:color="auto"/>
              <w:right w:val="single" w:sz="8" w:space="0" w:color="auto"/>
            </w:tcBorders>
            <w:shd w:val="clear" w:color="auto" w:fill="auto"/>
            <w:hideMark/>
          </w:tcPr>
          <w:p w14:paraId="58B2AE8F"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59DF92C4"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600,70</w:t>
            </w:r>
          </w:p>
        </w:tc>
        <w:tc>
          <w:tcPr>
            <w:tcW w:w="992" w:type="dxa"/>
            <w:tcBorders>
              <w:top w:val="nil"/>
              <w:left w:val="nil"/>
              <w:bottom w:val="single" w:sz="8" w:space="0" w:color="auto"/>
              <w:right w:val="single" w:sz="8" w:space="0" w:color="auto"/>
            </w:tcBorders>
            <w:shd w:val="clear" w:color="auto" w:fill="auto"/>
            <w:hideMark/>
          </w:tcPr>
          <w:p w14:paraId="710E5BD7"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4EE643DC"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hideMark/>
          </w:tcPr>
          <w:p w14:paraId="72C63964" w14:textId="77777777" w:rsidR="0027547A" w:rsidRPr="00DD6A7A" w:rsidRDefault="00281115"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x</w:t>
            </w:r>
          </w:p>
        </w:tc>
      </w:tr>
      <w:tr w:rsidR="0027547A" w:rsidRPr="00DD6A7A" w14:paraId="29021C04" w14:textId="77777777" w:rsidTr="00DA758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190F58B6"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Cheltuieli privind utilizarea materialelor de construcţii</w:t>
            </w:r>
          </w:p>
        </w:tc>
        <w:tc>
          <w:tcPr>
            <w:tcW w:w="850" w:type="dxa"/>
            <w:tcBorders>
              <w:top w:val="nil"/>
              <w:left w:val="nil"/>
              <w:bottom w:val="single" w:sz="8" w:space="0" w:color="000000"/>
              <w:right w:val="nil"/>
            </w:tcBorders>
            <w:shd w:val="clear" w:color="auto" w:fill="auto"/>
            <w:hideMark/>
          </w:tcPr>
          <w:p w14:paraId="7CCAEC6B"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2.3.0</w:t>
            </w:r>
          </w:p>
        </w:tc>
        <w:tc>
          <w:tcPr>
            <w:tcW w:w="993" w:type="dxa"/>
            <w:tcBorders>
              <w:top w:val="nil"/>
              <w:left w:val="single" w:sz="8" w:space="0" w:color="auto"/>
              <w:bottom w:val="single" w:sz="8" w:space="0" w:color="auto"/>
              <w:right w:val="single" w:sz="8" w:space="0" w:color="auto"/>
            </w:tcBorders>
            <w:shd w:val="clear" w:color="auto" w:fill="auto"/>
            <w:hideMark/>
          </w:tcPr>
          <w:p w14:paraId="0FDCCED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221170</w:t>
            </w:r>
          </w:p>
        </w:tc>
        <w:tc>
          <w:tcPr>
            <w:tcW w:w="1025" w:type="dxa"/>
            <w:tcBorders>
              <w:top w:val="nil"/>
              <w:left w:val="nil"/>
              <w:bottom w:val="single" w:sz="8" w:space="0" w:color="auto"/>
              <w:right w:val="single" w:sz="8" w:space="0" w:color="auto"/>
            </w:tcBorders>
            <w:shd w:val="clear" w:color="auto" w:fill="auto"/>
            <w:hideMark/>
          </w:tcPr>
          <w:p w14:paraId="24F6EAD7"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2F9BF573"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237" w:type="dxa"/>
            <w:tcBorders>
              <w:top w:val="nil"/>
              <w:left w:val="nil"/>
              <w:bottom w:val="single" w:sz="8" w:space="0" w:color="auto"/>
              <w:right w:val="single" w:sz="8" w:space="0" w:color="auto"/>
            </w:tcBorders>
            <w:shd w:val="clear" w:color="auto" w:fill="auto"/>
            <w:hideMark/>
          </w:tcPr>
          <w:p w14:paraId="0D24113A"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3BB58662"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17,20</w:t>
            </w:r>
          </w:p>
        </w:tc>
        <w:tc>
          <w:tcPr>
            <w:tcW w:w="992" w:type="dxa"/>
            <w:tcBorders>
              <w:top w:val="nil"/>
              <w:left w:val="nil"/>
              <w:bottom w:val="single" w:sz="8" w:space="0" w:color="auto"/>
              <w:right w:val="single" w:sz="8" w:space="0" w:color="auto"/>
            </w:tcBorders>
            <w:shd w:val="clear" w:color="auto" w:fill="auto"/>
            <w:hideMark/>
          </w:tcPr>
          <w:p w14:paraId="3DF12CCD"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68508E16"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hideMark/>
          </w:tcPr>
          <w:p w14:paraId="7567C51F" w14:textId="77777777" w:rsidR="0027547A" w:rsidRPr="00DD6A7A" w:rsidRDefault="00281115"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x</w:t>
            </w:r>
          </w:p>
        </w:tc>
      </w:tr>
      <w:tr w:rsidR="0027547A" w:rsidRPr="00DD6A7A" w14:paraId="005BB8D9" w14:textId="77777777" w:rsidTr="00DA758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50F992B4" w14:textId="39DBDA78" w:rsidR="0027547A" w:rsidRPr="00DD6A7A" w:rsidRDefault="0027547A" w:rsidP="00021528">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Cheltuieli privind utilizarea accesoriilor de pat</w:t>
            </w:r>
            <w:r w:rsidR="00021528">
              <w:rPr>
                <w:rFonts w:ascii="Times New Roman" w:eastAsia="Times New Roman" w:hAnsi="Times New Roman" w:cs="Times New Roman"/>
                <w:color w:val="000000"/>
                <w:sz w:val="18"/>
                <w:szCs w:val="18"/>
                <w:lang w:val="ro-RO"/>
              </w:rPr>
              <w:t>,</w:t>
            </w:r>
            <w:r w:rsidRPr="00DD6A7A">
              <w:rPr>
                <w:rFonts w:ascii="Times New Roman" w:eastAsia="Times New Roman" w:hAnsi="Times New Roman" w:cs="Times New Roman"/>
                <w:color w:val="000000"/>
                <w:sz w:val="18"/>
                <w:szCs w:val="18"/>
                <w:lang w:val="ro-RO"/>
              </w:rPr>
              <w:t xml:space="preserve"> </w:t>
            </w:r>
            <w:r w:rsidR="00021528">
              <w:rPr>
                <w:rFonts w:ascii="Times New Roman" w:eastAsia="Times New Roman" w:hAnsi="Times New Roman" w:cs="Times New Roman"/>
                <w:color w:val="000000"/>
                <w:sz w:val="18"/>
                <w:szCs w:val="18"/>
                <w:lang w:val="ro-RO"/>
              </w:rPr>
              <w:t>î</w:t>
            </w:r>
            <w:r w:rsidRPr="00DD6A7A">
              <w:rPr>
                <w:rFonts w:ascii="Times New Roman" w:eastAsia="Times New Roman" w:hAnsi="Times New Roman" w:cs="Times New Roman"/>
                <w:color w:val="000000"/>
                <w:sz w:val="18"/>
                <w:szCs w:val="18"/>
                <w:lang w:val="ro-RO"/>
              </w:rPr>
              <w:t>mbr</w:t>
            </w:r>
            <w:r w:rsidR="00021528">
              <w:rPr>
                <w:rFonts w:ascii="Times New Roman" w:eastAsia="Times New Roman" w:hAnsi="Times New Roman" w:cs="Times New Roman"/>
                <w:color w:val="000000"/>
                <w:sz w:val="18"/>
                <w:szCs w:val="18"/>
                <w:lang w:val="ro-RO"/>
              </w:rPr>
              <w:t>ă</w:t>
            </w:r>
            <w:r w:rsidRPr="00DD6A7A">
              <w:rPr>
                <w:rFonts w:ascii="Times New Roman" w:eastAsia="Times New Roman" w:hAnsi="Times New Roman" w:cs="Times New Roman"/>
                <w:color w:val="000000"/>
                <w:sz w:val="18"/>
                <w:szCs w:val="18"/>
                <w:lang w:val="ro-RO"/>
              </w:rPr>
              <w:t>c</w:t>
            </w:r>
            <w:r w:rsidR="00021528">
              <w:rPr>
                <w:rFonts w:ascii="Times New Roman" w:eastAsia="Times New Roman" w:hAnsi="Times New Roman" w:cs="Times New Roman"/>
                <w:color w:val="000000"/>
                <w:sz w:val="18"/>
                <w:szCs w:val="18"/>
                <w:lang w:val="ro-RO"/>
              </w:rPr>
              <w:t>ă</w:t>
            </w:r>
            <w:r w:rsidRPr="00DD6A7A">
              <w:rPr>
                <w:rFonts w:ascii="Times New Roman" w:eastAsia="Times New Roman" w:hAnsi="Times New Roman" w:cs="Times New Roman"/>
                <w:color w:val="000000"/>
                <w:sz w:val="18"/>
                <w:szCs w:val="18"/>
                <w:lang w:val="ro-RO"/>
              </w:rPr>
              <w:t>mintei</w:t>
            </w:r>
            <w:r w:rsidR="00021528">
              <w:rPr>
                <w:rFonts w:ascii="Times New Roman" w:eastAsia="Times New Roman" w:hAnsi="Times New Roman" w:cs="Times New Roman"/>
                <w:color w:val="000000"/>
                <w:sz w:val="18"/>
                <w:szCs w:val="18"/>
                <w:lang w:val="ro-RO"/>
              </w:rPr>
              <w:t>,</w:t>
            </w:r>
            <w:r w:rsidRPr="00DD6A7A">
              <w:rPr>
                <w:rFonts w:ascii="Times New Roman" w:eastAsia="Times New Roman" w:hAnsi="Times New Roman" w:cs="Times New Roman"/>
                <w:color w:val="000000"/>
                <w:sz w:val="18"/>
                <w:szCs w:val="18"/>
                <w:lang w:val="ro-RO"/>
              </w:rPr>
              <w:t xml:space="preserve"> </w:t>
            </w:r>
            <w:r w:rsidR="00021528">
              <w:rPr>
                <w:rFonts w:ascii="Times New Roman" w:eastAsia="Times New Roman" w:hAnsi="Times New Roman" w:cs="Times New Roman"/>
                <w:color w:val="000000"/>
                <w:sz w:val="18"/>
                <w:szCs w:val="18"/>
                <w:lang w:val="ro-RO"/>
              </w:rPr>
              <w:t>î</w:t>
            </w:r>
            <w:r w:rsidRPr="00DD6A7A">
              <w:rPr>
                <w:rFonts w:ascii="Times New Roman" w:eastAsia="Times New Roman" w:hAnsi="Times New Roman" w:cs="Times New Roman"/>
                <w:color w:val="000000"/>
                <w:sz w:val="18"/>
                <w:szCs w:val="18"/>
                <w:lang w:val="ro-RO"/>
              </w:rPr>
              <w:t>nc</w:t>
            </w:r>
            <w:r w:rsidR="00021528">
              <w:rPr>
                <w:rFonts w:ascii="Times New Roman" w:eastAsia="Times New Roman" w:hAnsi="Times New Roman" w:cs="Times New Roman"/>
                <w:color w:val="000000"/>
                <w:sz w:val="18"/>
                <w:szCs w:val="18"/>
                <w:lang w:val="ro-RO"/>
              </w:rPr>
              <w:t>ă</w:t>
            </w:r>
            <w:r w:rsidRPr="00DD6A7A">
              <w:rPr>
                <w:rFonts w:ascii="Times New Roman" w:eastAsia="Times New Roman" w:hAnsi="Times New Roman" w:cs="Times New Roman"/>
                <w:color w:val="000000"/>
                <w:sz w:val="18"/>
                <w:szCs w:val="18"/>
                <w:lang w:val="ro-RO"/>
              </w:rPr>
              <w:t>l</w:t>
            </w:r>
            <w:r w:rsidR="00021528">
              <w:rPr>
                <w:rFonts w:ascii="Times New Roman" w:eastAsia="Times New Roman" w:hAnsi="Times New Roman" w:cs="Times New Roman"/>
                <w:color w:val="000000"/>
                <w:sz w:val="18"/>
                <w:szCs w:val="18"/>
                <w:lang w:val="ro-RO"/>
              </w:rPr>
              <w:t>ță</w:t>
            </w:r>
            <w:r w:rsidRPr="00DD6A7A">
              <w:rPr>
                <w:rFonts w:ascii="Times New Roman" w:eastAsia="Times New Roman" w:hAnsi="Times New Roman" w:cs="Times New Roman"/>
                <w:color w:val="000000"/>
                <w:sz w:val="18"/>
                <w:szCs w:val="18"/>
                <w:lang w:val="ro-RO"/>
              </w:rPr>
              <w:t>mintei</w:t>
            </w:r>
          </w:p>
        </w:tc>
        <w:tc>
          <w:tcPr>
            <w:tcW w:w="850" w:type="dxa"/>
            <w:tcBorders>
              <w:top w:val="nil"/>
              <w:left w:val="nil"/>
              <w:bottom w:val="single" w:sz="8" w:space="0" w:color="000000"/>
              <w:right w:val="nil"/>
            </w:tcBorders>
            <w:shd w:val="clear" w:color="auto" w:fill="auto"/>
            <w:hideMark/>
          </w:tcPr>
          <w:p w14:paraId="117DE7A6"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2.3.0</w:t>
            </w:r>
          </w:p>
        </w:tc>
        <w:tc>
          <w:tcPr>
            <w:tcW w:w="993" w:type="dxa"/>
            <w:tcBorders>
              <w:top w:val="nil"/>
              <w:left w:val="single" w:sz="8" w:space="0" w:color="auto"/>
              <w:bottom w:val="single" w:sz="8" w:space="0" w:color="auto"/>
              <w:right w:val="single" w:sz="8" w:space="0" w:color="auto"/>
            </w:tcBorders>
            <w:shd w:val="clear" w:color="auto" w:fill="auto"/>
            <w:hideMark/>
          </w:tcPr>
          <w:p w14:paraId="262C8022"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221180</w:t>
            </w:r>
          </w:p>
        </w:tc>
        <w:tc>
          <w:tcPr>
            <w:tcW w:w="1025" w:type="dxa"/>
            <w:tcBorders>
              <w:top w:val="nil"/>
              <w:left w:val="nil"/>
              <w:bottom w:val="single" w:sz="8" w:space="0" w:color="auto"/>
              <w:right w:val="single" w:sz="8" w:space="0" w:color="auto"/>
            </w:tcBorders>
            <w:shd w:val="clear" w:color="auto" w:fill="auto"/>
            <w:hideMark/>
          </w:tcPr>
          <w:p w14:paraId="143C4E0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688931EF"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237" w:type="dxa"/>
            <w:tcBorders>
              <w:top w:val="nil"/>
              <w:left w:val="nil"/>
              <w:bottom w:val="single" w:sz="8" w:space="0" w:color="auto"/>
              <w:right w:val="single" w:sz="8" w:space="0" w:color="auto"/>
            </w:tcBorders>
            <w:shd w:val="clear" w:color="auto" w:fill="auto"/>
            <w:hideMark/>
          </w:tcPr>
          <w:p w14:paraId="724D9927"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25F96C9F"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2,79</w:t>
            </w:r>
          </w:p>
        </w:tc>
        <w:tc>
          <w:tcPr>
            <w:tcW w:w="992" w:type="dxa"/>
            <w:tcBorders>
              <w:top w:val="nil"/>
              <w:left w:val="nil"/>
              <w:bottom w:val="single" w:sz="8" w:space="0" w:color="auto"/>
              <w:right w:val="single" w:sz="8" w:space="0" w:color="auto"/>
            </w:tcBorders>
            <w:shd w:val="clear" w:color="auto" w:fill="auto"/>
            <w:hideMark/>
          </w:tcPr>
          <w:p w14:paraId="6CC8E88D"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728E4C6D"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tcPr>
          <w:p w14:paraId="5816DE51" w14:textId="77777777" w:rsidR="0027547A" w:rsidRPr="00DD6A7A" w:rsidRDefault="00281115"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x</w:t>
            </w:r>
          </w:p>
        </w:tc>
      </w:tr>
      <w:tr w:rsidR="0027547A" w:rsidRPr="00DD6A7A" w14:paraId="7BDB0CBB" w14:textId="77777777" w:rsidTr="00DA758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59CF1421"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Cheltuieli privind utilizarea altor materiale</w:t>
            </w:r>
          </w:p>
        </w:tc>
        <w:tc>
          <w:tcPr>
            <w:tcW w:w="850" w:type="dxa"/>
            <w:tcBorders>
              <w:top w:val="nil"/>
              <w:left w:val="nil"/>
              <w:bottom w:val="single" w:sz="8" w:space="0" w:color="000000"/>
              <w:right w:val="nil"/>
            </w:tcBorders>
            <w:shd w:val="clear" w:color="auto" w:fill="auto"/>
            <w:hideMark/>
          </w:tcPr>
          <w:p w14:paraId="784411C6"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2.3.0</w:t>
            </w:r>
          </w:p>
        </w:tc>
        <w:tc>
          <w:tcPr>
            <w:tcW w:w="993" w:type="dxa"/>
            <w:tcBorders>
              <w:top w:val="nil"/>
              <w:left w:val="single" w:sz="8" w:space="0" w:color="auto"/>
              <w:bottom w:val="single" w:sz="8" w:space="0" w:color="auto"/>
              <w:right w:val="single" w:sz="8" w:space="0" w:color="auto"/>
            </w:tcBorders>
            <w:shd w:val="clear" w:color="auto" w:fill="auto"/>
            <w:hideMark/>
          </w:tcPr>
          <w:p w14:paraId="666AD4B6"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221190</w:t>
            </w:r>
          </w:p>
        </w:tc>
        <w:tc>
          <w:tcPr>
            <w:tcW w:w="1025" w:type="dxa"/>
            <w:tcBorders>
              <w:top w:val="nil"/>
              <w:left w:val="nil"/>
              <w:bottom w:val="single" w:sz="8" w:space="0" w:color="auto"/>
              <w:right w:val="single" w:sz="8" w:space="0" w:color="auto"/>
            </w:tcBorders>
            <w:shd w:val="clear" w:color="auto" w:fill="auto"/>
            <w:hideMark/>
          </w:tcPr>
          <w:p w14:paraId="2B6F26A8"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622ABB05"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237" w:type="dxa"/>
            <w:tcBorders>
              <w:top w:val="nil"/>
              <w:left w:val="nil"/>
              <w:bottom w:val="single" w:sz="8" w:space="0" w:color="auto"/>
              <w:right w:val="single" w:sz="8" w:space="0" w:color="auto"/>
            </w:tcBorders>
            <w:shd w:val="clear" w:color="auto" w:fill="auto"/>
            <w:hideMark/>
          </w:tcPr>
          <w:p w14:paraId="1C558D4E"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191A9EB0"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44,11</w:t>
            </w:r>
          </w:p>
        </w:tc>
        <w:tc>
          <w:tcPr>
            <w:tcW w:w="992" w:type="dxa"/>
            <w:tcBorders>
              <w:top w:val="nil"/>
              <w:left w:val="nil"/>
              <w:bottom w:val="single" w:sz="8" w:space="0" w:color="auto"/>
              <w:right w:val="single" w:sz="8" w:space="0" w:color="auto"/>
            </w:tcBorders>
            <w:shd w:val="clear" w:color="auto" w:fill="auto"/>
            <w:hideMark/>
          </w:tcPr>
          <w:p w14:paraId="2D468601"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058F9375"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tcPr>
          <w:p w14:paraId="7018A0BB" w14:textId="77777777" w:rsidR="0027547A" w:rsidRPr="00DD6A7A" w:rsidRDefault="00281115"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x</w:t>
            </w:r>
          </w:p>
        </w:tc>
      </w:tr>
      <w:tr w:rsidR="0027547A" w:rsidRPr="00DD6A7A" w14:paraId="2E8936EB"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1D846A3B"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Servicii</w:t>
            </w:r>
          </w:p>
        </w:tc>
        <w:tc>
          <w:tcPr>
            <w:tcW w:w="850" w:type="dxa"/>
            <w:tcBorders>
              <w:top w:val="nil"/>
              <w:left w:val="nil"/>
              <w:bottom w:val="single" w:sz="8" w:space="0" w:color="000000"/>
              <w:right w:val="nil"/>
            </w:tcBorders>
            <w:shd w:val="clear" w:color="auto" w:fill="auto"/>
            <w:hideMark/>
          </w:tcPr>
          <w:p w14:paraId="7BEC1C7E"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2.4</w:t>
            </w:r>
          </w:p>
        </w:tc>
        <w:tc>
          <w:tcPr>
            <w:tcW w:w="993" w:type="dxa"/>
            <w:tcBorders>
              <w:top w:val="nil"/>
              <w:left w:val="single" w:sz="8" w:space="0" w:color="auto"/>
              <w:bottom w:val="single" w:sz="8" w:space="0" w:color="auto"/>
              <w:right w:val="single" w:sz="8" w:space="0" w:color="auto"/>
            </w:tcBorders>
            <w:shd w:val="clear" w:color="auto" w:fill="auto"/>
            <w:hideMark/>
          </w:tcPr>
          <w:p w14:paraId="2C0DFD6B"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222</w:t>
            </w:r>
          </w:p>
        </w:tc>
        <w:tc>
          <w:tcPr>
            <w:tcW w:w="1025" w:type="dxa"/>
            <w:tcBorders>
              <w:top w:val="nil"/>
              <w:left w:val="nil"/>
              <w:bottom w:val="single" w:sz="8" w:space="0" w:color="auto"/>
              <w:right w:val="single" w:sz="8" w:space="0" w:color="auto"/>
            </w:tcBorders>
            <w:shd w:val="clear" w:color="auto" w:fill="auto"/>
            <w:hideMark/>
          </w:tcPr>
          <w:p w14:paraId="2FBFBE39"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9.004,80</w:t>
            </w:r>
          </w:p>
        </w:tc>
        <w:tc>
          <w:tcPr>
            <w:tcW w:w="1025" w:type="dxa"/>
            <w:tcBorders>
              <w:top w:val="nil"/>
              <w:left w:val="nil"/>
              <w:bottom w:val="single" w:sz="8" w:space="0" w:color="auto"/>
              <w:right w:val="single" w:sz="8" w:space="0" w:color="auto"/>
            </w:tcBorders>
            <w:shd w:val="clear" w:color="auto" w:fill="auto"/>
            <w:hideMark/>
          </w:tcPr>
          <w:p w14:paraId="69F16E11"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7.451,70</w:t>
            </w:r>
          </w:p>
        </w:tc>
        <w:tc>
          <w:tcPr>
            <w:tcW w:w="1237" w:type="dxa"/>
            <w:tcBorders>
              <w:top w:val="nil"/>
              <w:left w:val="nil"/>
              <w:bottom w:val="single" w:sz="8" w:space="0" w:color="auto"/>
              <w:right w:val="single" w:sz="8" w:space="0" w:color="auto"/>
            </w:tcBorders>
            <w:shd w:val="clear" w:color="auto" w:fill="auto"/>
            <w:hideMark/>
          </w:tcPr>
          <w:p w14:paraId="6E186873"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4.476,53</w:t>
            </w:r>
          </w:p>
        </w:tc>
        <w:tc>
          <w:tcPr>
            <w:tcW w:w="1134" w:type="dxa"/>
            <w:tcBorders>
              <w:top w:val="nil"/>
              <w:left w:val="nil"/>
              <w:bottom w:val="single" w:sz="8" w:space="0" w:color="auto"/>
              <w:right w:val="single" w:sz="8" w:space="0" w:color="auto"/>
            </w:tcBorders>
            <w:shd w:val="clear" w:color="auto" w:fill="auto"/>
            <w:hideMark/>
          </w:tcPr>
          <w:p w14:paraId="396C01A8"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4.510,20</w:t>
            </w:r>
          </w:p>
        </w:tc>
        <w:tc>
          <w:tcPr>
            <w:tcW w:w="992" w:type="dxa"/>
            <w:tcBorders>
              <w:top w:val="nil"/>
              <w:left w:val="nil"/>
              <w:bottom w:val="single" w:sz="8" w:space="0" w:color="auto"/>
              <w:right w:val="single" w:sz="8" w:space="0" w:color="auto"/>
            </w:tcBorders>
            <w:shd w:val="clear" w:color="auto" w:fill="auto"/>
            <w:hideMark/>
          </w:tcPr>
          <w:p w14:paraId="7F8869DC"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-1.553,10</w:t>
            </w:r>
          </w:p>
        </w:tc>
        <w:tc>
          <w:tcPr>
            <w:tcW w:w="1134" w:type="dxa"/>
            <w:tcBorders>
              <w:top w:val="nil"/>
              <w:left w:val="nil"/>
              <w:bottom w:val="single" w:sz="8" w:space="0" w:color="auto"/>
              <w:right w:val="single" w:sz="8" w:space="0" w:color="auto"/>
            </w:tcBorders>
            <w:shd w:val="clear" w:color="auto" w:fill="auto"/>
            <w:hideMark/>
          </w:tcPr>
          <w:p w14:paraId="2F522957"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-2.975,17</w:t>
            </w:r>
          </w:p>
        </w:tc>
        <w:tc>
          <w:tcPr>
            <w:tcW w:w="992" w:type="dxa"/>
            <w:tcBorders>
              <w:top w:val="nil"/>
              <w:left w:val="nil"/>
              <w:bottom w:val="single" w:sz="8" w:space="0" w:color="auto"/>
              <w:right w:val="single" w:sz="8" w:space="0" w:color="auto"/>
            </w:tcBorders>
            <w:shd w:val="clear" w:color="auto" w:fill="auto"/>
            <w:noWrap/>
            <w:hideMark/>
          </w:tcPr>
          <w:p w14:paraId="7E08B15D"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60,1%</w:t>
            </w:r>
          </w:p>
        </w:tc>
      </w:tr>
      <w:tr w:rsidR="0027547A" w:rsidRPr="00DD6A7A" w14:paraId="773D5261"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610CB235"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Servicii informaţionale</w:t>
            </w:r>
          </w:p>
        </w:tc>
        <w:tc>
          <w:tcPr>
            <w:tcW w:w="850" w:type="dxa"/>
            <w:tcBorders>
              <w:top w:val="nil"/>
              <w:left w:val="nil"/>
              <w:bottom w:val="single" w:sz="8" w:space="0" w:color="000000"/>
              <w:right w:val="nil"/>
            </w:tcBorders>
            <w:shd w:val="clear" w:color="auto" w:fill="auto"/>
            <w:hideMark/>
          </w:tcPr>
          <w:p w14:paraId="3F1D771E"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2.4.0</w:t>
            </w:r>
          </w:p>
        </w:tc>
        <w:tc>
          <w:tcPr>
            <w:tcW w:w="993" w:type="dxa"/>
            <w:tcBorders>
              <w:top w:val="nil"/>
              <w:left w:val="single" w:sz="8" w:space="0" w:color="auto"/>
              <w:bottom w:val="single" w:sz="8" w:space="0" w:color="auto"/>
              <w:right w:val="single" w:sz="8" w:space="0" w:color="auto"/>
            </w:tcBorders>
            <w:shd w:val="clear" w:color="auto" w:fill="auto"/>
            <w:hideMark/>
          </w:tcPr>
          <w:p w14:paraId="686F87E6"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222210</w:t>
            </w:r>
          </w:p>
        </w:tc>
        <w:tc>
          <w:tcPr>
            <w:tcW w:w="1025" w:type="dxa"/>
            <w:tcBorders>
              <w:top w:val="nil"/>
              <w:left w:val="nil"/>
              <w:bottom w:val="single" w:sz="8" w:space="0" w:color="auto"/>
              <w:right w:val="single" w:sz="8" w:space="0" w:color="auto"/>
            </w:tcBorders>
            <w:shd w:val="clear" w:color="auto" w:fill="auto"/>
            <w:hideMark/>
          </w:tcPr>
          <w:p w14:paraId="19BD5FC5"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3.156,30</w:t>
            </w:r>
          </w:p>
        </w:tc>
        <w:tc>
          <w:tcPr>
            <w:tcW w:w="1025" w:type="dxa"/>
            <w:tcBorders>
              <w:top w:val="nil"/>
              <w:left w:val="nil"/>
              <w:bottom w:val="single" w:sz="8" w:space="0" w:color="auto"/>
              <w:right w:val="single" w:sz="8" w:space="0" w:color="auto"/>
            </w:tcBorders>
            <w:shd w:val="clear" w:color="auto" w:fill="auto"/>
            <w:hideMark/>
          </w:tcPr>
          <w:p w14:paraId="110FBA8C"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2.748,45</w:t>
            </w:r>
          </w:p>
        </w:tc>
        <w:tc>
          <w:tcPr>
            <w:tcW w:w="1237" w:type="dxa"/>
            <w:tcBorders>
              <w:top w:val="nil"/>
              <w:left w:val="nil"/>
              <w:bottom w:val="single" w:sz="8" w:space="0" w:color="auto"/>
              <w:right w:val="single" w:sz="8" w:space="0" w:color="auto"/>
            </w:tcBorders>
            <w:shd w:val="clear" w:color="auto" w:fill="auto"/>
            <w:hideMark/>
          </w:tcPr>
          <w:p w14:paraId="23744642"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1.244,21</w:t>
            </w:r>
          </w:p>
        </w:tc>
        <w:tc>
          <w:tcPr>
            <w:tcW w:w="1134" w:type="dxa"/>
            <w:tcBorders>
              <w:top w:val="nil"/>
              <w:left w:val="nil"/>
              <w:bottom w:val="single" w:sz="8" w:space="0" w:color="auto"/>
              <w:right w:val="single" w:sz="8" w:space="0" w:color="auto"/>
            </w:tcBorders>
            <w:shd w:val="clear" w:color="auto" w:fill="auto"/>
            <w:hideMark/>
          </w:tcPr>
          <w:p w14:paraId="3EB80AB3"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1.244,41</w:t>
            </w:r>
          </w:p>
        </w:tc>
        <w:tc>
          <w:tcPr>
            <w:tcW w:w="992" w:type="dxa"/>
            <w:tcBorders>
              <w:top w:val="nil"/>
              <w:left w:val="nil"/>
              <w:bottom w:val="single" w:sz="8" w:space="0" w:color="auto"/>
              <w:right w:val="single" w:sz="8" w:space="0" w:color="auto"/>
            </w:tcBorders>
            <w:shd w:val="clear" w:color="auto" w:fill="auto"/>
            <w:hideMark/>
          </w:tcPr>
          <w:p w14:paraId="357F3BC3"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-407,86</w:t>
            </w:r>
          </w:p>
        </w:tc>
        <w:tc>
          <w:tcPr>
            <w:tcW w:w="1134" w:type="dxa"/>
            <w:tcBorders>
              <w:top w:val="nil"/>
              <w:left w:val="nil"/>
              <w:bottom w:val="single" w:sz="8" w:space="0" w:color="auto"/>
              <w:right w:val="single" w:sz="8" w:space="0" w:color="auto"/>
            </w:tcBorders>
            <w:shd w:val="clear" w:color="auto" w:fill="auto"/>
            <w:hideMark/>
          </w:tcPr>
          <w:p w14:paraId="6D246D4C"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-1.504,23</w:t>
            </w:r>
          </w:p>
        </w:tc>
        <w:tc>
          <w:tcPr>
            <w:tcW w:w="992" w:type="dxa"/>
            <w:tcBorders>
              <w:top w:val="nil"/>
              <w:left w:val="nil"/>
              <w:bottom w:val="single" w:sz="8" w:space="0" w:color="auto"/>
              <w:right w:val="single" w:sz="8" w:space="0" w:color="auto"/>
            </w:tcBorders>
            <w:shd w:val="clear" w:color="auto" w:fill="auto"/>
            <w:noWrap/>
            <w:hideMark/>
          </w:tcPr>
          <w:p w14:paraId="2981E510"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45,3%</w:t>
            </w:r>
          </w:p>
        </w:tc>
      </w:tr>
      <w:tr w:rsidR="0027547A" w:rsidRPr="00DD6A7A" w14:paraId="0BDA5544"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068E3C97"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Servicii de telecomunicaţii</w:t>
            </w:r>
          </w:p>
        </w:tc>
        <w:tc>
          <w:tcPr>
            <w:tcW w:w="850" w:type="dxa"/>
            <w:tcBorders>
              <w:top w:val="nil"/>
              <w:left w:val="nil"/>
              <w:bottom w:val="single" w:sz="8" w:space="0" w:color="000000"/>
              <w:right w:val="nil"/>
            </w:tcBorders>
            <w:shd w:val="clear" w:color="auto" w:fill="auto"/>
            <w:hideMark/>
          </w:tcPr>
          <w:p w14:paraId="19B72F52"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2.4.0</w:t>
            </w:r>
          </w:p>
        </w:tc>
        <w:tc>
          <w:tcPr>
            <w:tcW w:w="993" w:type="dxa"/>
            <w:tcBorders>
              <w:top w:val="nil"/>
              <w:left w:val="single" w:sz="8" w:space="0" w:color="auto"/>
              <w:bottom w:val="single" w:sz="8" w:space="0" w:color="auto"/>
              <w:right w:val="single" w:sz="8" w:space="0" w:color="auto"/>
            </w:tcBorders>
            <w:shd w:val="clear" w:color="auto" w:fill="auto"/>
            <w:hideMark/>
          </w:tcPr>
          <w:p w14:paraId="239F14B0"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222220</w:t>
            </w:r>
          </w:p>
        </w:tc>
        <w:tc>
          <w:tcPr>
            <w:tcW w:w="1025" w:type="dxa"/>
            <w:tcBorders>
              <w:top w:val="nil"/>
              <w:left w:val="nil"/>
              <w:bottom w:val="single" w:sz="8" w:space="0" w:color="auto"/>
              <w:right w:val="single" w:sz="8" w:space="0" w:color="auto"/>
            </w:tcBorders>
            <w:shd w:val="clear" w:color="auto" w:fill="auto"/>
            <w:hideMark/>
          </w:tcPr>
          <w:p w14:paraId="28E96ABF"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264,00</w:t>
            </w:r>
          </w:p>
        </w:tc>
        <w:tc>
          <w:tcPr>
            <w:tcW w:w="1025" w:type="dxa"/>
            <w:tcBorders>
              <w:top w:val="nil"/>
              <w:left w:val="nil"/>
              <w:bottom w:val="single" w:sz="8" w:space="0" w:color="auto"/>
              <w:right w:val="single" w:sz="8" w:space="0" w:color="auto"/>
            </w:tcBorders>
            <w:shd w:val="clear" w:color="auto" w:fill="auto"/>
            <w:hideMark/>
          </w:tcPr>
          <w:p w14:paraId="1DB0EDD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286,12</w:t>
            </w:r>
          </w:p>
        </w:tc>
        <w:tc>
          <w:tcPr>
            <w:tcW w:w="1237" w:type="dxa"/>
            <w:tcBorders>
              <w:top w:val="nil"/>
              <w:left w:val="nil"/>
              <w:bottom w:val="single" w:sz="8" w:space="0" w:color="auto"/>
              <w:right w:val="single" w:sz="8" w:space="0" w:color="auto"/>
            </w:tcBorders>
            <w:shd w:val="clear" w:color="auto" w:fill="auto"/>
            <w:hideMark/>
          </w:tcPr>
          <w:p w14:paraId="27A028E5"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216,82</w:t>
            </w:r>
          </w:p>
        </w:tc>
        <w:tc>
          <w:tcPr>
            <w:tcW w:w="1134" w:type="dxa"/>
            <w:tcBorders>
              <w:top w:val="nil"/>
              <w:left w:val="nil"/>
              <w:bottom w:val="single" w:sz="8" w:space="0" w:color="auto"/>
              <w:right w:val="single" w:sz="8" w:space="0" w:color="auto"/>
            </w:tcBorders>
            <w:shd w:val="clear" w:color="auto" w:fill="auto"/>
            <w:hideMark/>
          </w:tcPr>
          <w:p w14:paraId="464D94FC"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214,70</w:t>
            </w:r>
          </w:p>
        </w:tc>
        <w:tc>
          <w:tcPr>
            <w:tcW w:w="992" w:type="dxa"/>
            <w:tcBorders>
              <w:top w:val="nil"/>
              <w:left w:val="nil"/>
              <w:bottom w:val="single" w:sz="8" w:space="0" w:color="auto"/>
              <w:right w:val="single" w:sz="8" w:space="0" w:color="auto"/>
            </w:tcBorders>
            <w:shd w:val="clear" w:color="auto" w:fill="auto"/>
            <w:hideMark/>
          </w:tcPr>
          <w:p w14:paraId="29595F71"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22,12</w:t>
            </w:r>
          </w:p>
        </w:tc>
        <w:tc>
          <w:tcPr>
            <w:tcW w:w="1134" w:type="dxa"/>
            <w:tcBorders>
              <w:top w:val="nil"/>
              <w:left w:val="nil"/>
              <w:bottom w:val="single" w:sz="8" w:space="0" w:color="auto"/>
              <w:right w:val="single" w:sz="8" w:space="0" w:color="auto"/>
            </w:tcBorders>
            <w:shd w:val="clear" w:color="auto" w:fill="auto"/>
            <w:hideMark/>
          </w:tcPr>
          <w:p w14:paraId="64AF27FF"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-69,30</w:t>
            </w:r>
          </w:p>
        </w:tc>
        <w:tc>
          <w:tcPr>
            <w:tcW w:w="992" w:type="dxa"/>
            <w:tcBorders>
              <w:top w:val="nil"/>
              <w:left w:val="nil"/>
              <w:bottom w:val="single" w:sz="8" w:space="0" w:color="auto"/>
              <w:right w:val="single" w:sz="8" w:space="0" w:color="auto"/>
            </w:tcBorders>
            <w:shd w:val="clear" w:color="auto" w:fill="auto"/>
            <w:noWrap/>
            <w:hideMark/>
          </w:tcPr>
          <w:p w14:paraId="2E9E5973"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75,8%</w:t>
            </w:r>
          </w:p>
        </w:tc>
      </w:tr>
      <w:tr w:rsidR="0027547A" w:rsidRPr="00DD6A7A" w14:paraId="787D4EC3"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5205C5ED"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Servicii de locaţiune</w:t>
            </w:r>
          </w:p>
        </w:tc>
        <w:tc>
          <w:tcPr>
            <w:tcW w:w="850" w:type="dxa"/>
            <w:tcBorders>
              <w:top w:val="nil"/>
              <w:left w:val="nil"/>
              <w:bottom w:val="single" w:sz="8" w:space="0" w:color="000000"/>
              <w:right w:val="nil"/>
            </w:tcBorders>
            <w:shd w:val="clear" w:color="auto" w:fill="auto"/>
            <w:hideMark/>
          </w:tcPr>
          <w:p w14:paraId="42870617"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2.4.0</w:t>
            </w:r>
          </w:p>
        </w:tc>
        <w:tc>
          <w:tcPr>
            <w:tcW w:w="993" w:type="dxa"/>
            <w:tcBorders>
              <w:top w:val="nil"/>
              <w:left w:val="single" w:sz="8" w:space="0" w:color="auto"/>
              <w:bottom w:val="single" w:sz="8" w:space="0" w:color="auto"/>
              <w:right w:val="single" w:sz="8" w:space="0" w:color="auto"/>
            </w:tcBorders>
            <w:shd w:val="clear" w:color="auto" w:fill="auto"/>
            <w:hideMark/>
          </w:tcPr>
          <w:p w14:paraId="510176E6"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222300</w:t>
            </w:r>
          </w:p>
        </w:tc>
        <w:tc>
          <w:tcPr>
            <w:tcW w:w="1025" w:type="dxa"/>
            <w:tcBorders>
              <w:top w:val="nil"/>
              <w:left w:val="nil"/>
              <w:bottom w:val="single" w:sz="8" w:space="0" w:color="auto"/>
              <w:right w:val="single" w:sz="8" w:space="0" w:color="auto"/>
            </w:tcBorders>
            <w:shd w:val="clear" w:color="auto" w:fill="auto"/>
            <w:hideMark/>
          </w:tcPr>
          <w:p w14:paraId="403B2787"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1.805,00</w:t>
            </w:r>
          </w:p>
        </w:tc>
        <w:tc>
          <w:tcPr>
            <w:tcW w:w="1025" w:type="dxa"/>
            <w:tcBorders>
              <w:top w:val="nil"/>
              <w:left w:val="nil"/>
              <w:bottom w:val="single" w:sz="8" w:space="0" w:color="auto"/>
              <w:right w:val="single" w:sz="8" w:space="0" w:color="auto"/>
            </w:tcBorders>
            <w:shd w:val="clear" w:color="auto" w:fill="auto"/>
            <w:hideMark/>
          </w:tcPr>
          <w:p w14:paraId="386834F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1.444,40</w:t>
            </w:r>
          </w:p>
        </w:tc>
        <w:tc>
          <w:tcPr>
            <w:tcW w:w="1237" w:type="dxa"/>
            <w:tcBorders>
              <w:top w:val="nil"/>
              <w:left w:val="nil"/>
              <w:bottom w:val="single" w:sz="8" w:space="0" w:color="auto"/>
              <w:right w:val="single" w:sz="8" w:space="0" w:color="auto"/>
            </w:tcBorders>
            <w:shd w:val="clear" w:color="auto" w:fill="auto"/>
            <w:hideMark/>
          </w:tcPr>
          <w:p w14:paraId="10C3E5A8"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960,48</w:t>
            </w:r>
          </w:p>
        </w:tc>
        <w:tc>
          <w:tcPr>
            <w:tcW w:w="1134" w:type="dxa"/>
            <w:tcBorders>
              <w:top w:val="nil"/>
              <w:left w:val="nil"/>
              <w:bottom w:val="single" w:sz="8" w:space="0" w:color="auto"/>
              <w:right w:val="single" w:sz="8" w:space="0" w:color="auto"/>
            </w:tcBorders>
            <w:shd w:val="clear" w:color="auto" w:fill="auto"/>
            <w:hideMark/>
          </w:tcPr>
          <w:p w14:paraId="464E2B48"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1.005,66</w:t>
            </w:r>
          </w:p>
        </w:tc>
        <w:tc>
          <w:tcPr>
            <w:tcW w:w="992" w:type="dxa"/>
            <w:tcBorders>
              <w:top w:val="nil"/>
              <w:left w:val="nil"/>
              <w:bottom w:val="single" w:sz="8" w:space="0" w:color="auto"/>
              <w:right w:val="single" w:sz="8" w:space="0" w:color="auto"/>
            </w:tcBorders>
            <w:shd w:val="clear" w:color="auto" w:fill="auto"/>
            <w:hideMark/>
          </w:tcPr>
          <w:p w14:paraId="3FDF4D69"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-360,60</w:t>
            </w:r>
          </w:p>
        </w:tc>
        <w:tc>
          <w:tcPr>
            <w:tcW w:w="1134" w:type="dxa"/>
            <w:tcBorders>
              <w:top w:val="nil"/>
              <w:left w:val="nil"/>
              <w:bottom w:val="single" w:sz="8" w:space="0" w:color="auto"/>
              <w:right w:val="single" w:sz="8" w:space="0" w:color="auto"/>
            </w:tcBorders>
            <w:shd w:val="clear" w:color="auto" w:fill="auto"/>
            <w:hideMark/>
          </w:tcPr>
          <w:p w14:paraId="74A99054"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-483,92</w:t>
            </w:r>
          </w:p>
        </w:tc>
        <w:tc>
          <w:tcPr>
            <w:tcW w:w="992" w:type="dxa"/>
            <w:tcBorders>
              <w:top w:val="nil"/>
              <w:left w:val="nil"/>
              <w:bottom w:val="single" w:sz="8" w:space="0" w:color="auto"/>
              <w:right w:val="single" w:sz="8" w:space="0" w:color="auto"/>
            </w:tcBorders>
            <w:shd w:val="clear" w:color="auto" w:fill="auto"/>
            <w:noWrap/>
            <w:hideMark/>
          </w:tcPr>
          <w:p w14:paraId="2812E8E5"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66,5%</w:t>
            </w:r>
          </w:p>
        </w:tc>
      </w:tr>
      <w:tr w:rsidR="0027547A" w:rsidRPr="00DD6A7A" w14:paraId="115FF97F"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7A438A2B"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Servicii de transport</w:t>
            </w:r>
          </w:p>
        </w:tc>
        <w:tc>
          <w:tcPr>
            <w:tcW w:w="850" w:type="dxa"/>
            <w:tcBorders>
              <w:top w:val="nil"/>
              <w:left w:val="nil"/>
              <w:bottom w:val="single" w:sz="8" w:space="0" w:color="000000"/>
              <w:right w:val="nil"/>
            </w:tcBorders>
            <w:shd w:val="clear" w:color="auto" w:fill="auto"/>
            <w:hideMark/>
          </w:tcPr>
          <w:p w14:paraId="0C18933A"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2.4.0</w:t>
            </w:r>
          </w:p>
        </w:tc>
        <w:tc>
          <w:tcPr>
            <w:tcW w:w="993" w:type="dxa"/>
            <w:tcBorders>
              <w:top w:val="nil"/>
              <w:left w:val="single" w:sz="8" w:space="0" w:color="auto"/>
              <w:bottom w:val="single" w:sz="8" w:space="0" w:color="auto"/>
              <w:right w:val="single" w:sz="8" w:space="0" w:color="auto"/>
            </w:tcBorders>
            <w:shd w:val="clear" w:color="auto" w:fill="auto"/>
            <w:hideMark/>
          </w:tcPr>
          <w:p w14:paraId="25D4D870"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222400</w:t>
            </w:r>
          </w:p>
        </w:tc>
        <w:tc>
          <w:tcPr>
            <w:tcW w:w="1025" w:type="dxa"/>
            <w:tcBorders>
              <w:top w:val="nil"/>
              <w:left w:val="nil"/>
              <w:bottom w:val="single" w:sz="8" w:space="0" w:color="auto"/>
              <w:right w:val="single" w:sz="8" w:space="0" w:color="auto"/>
            </w:tcBorders>
            <w:shd w:val="clear" w:color="auto" w:fill="auto"/>
            <w:hideMark/>
          </w:tcPr>
          <w:p w14:paraId="717FF549"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333,80</w:t>
            </w:r>
          </w:p>
        </w:tc>
        <w:tc>
          <w:tcPr>
            <w:tcW w:w="1025" w:type="dxa"/>
            <w:tcBorders>
              <w:top w:val="nil"/>
              <w:left w:val="nil"/>
              <w:bottom w:val="single" w:sz="8" w:space="0" w:color="auto"/>
              <w:right w:val="single" w:sz="8" w:space="0" w:color="auto"/>
            </w:tcBorders>
            <w:shd w:val="clear" w:color="auto" w:fill="auto"/>
            <w:hideMark/>
          </w:tcPr>
          <w:p w14:paraId="54F1DEFD"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349,89</w:t>
            </w:r>
          </w:p>
        </w:tc>
        <w:tc>
          <w:tcPr>
            <w:tcW w:w="1237" w:type="dxa"/>
            <w:tcBorders>
              <w:top w:val="nil"/>
              <w:left w:val="nil"/>
              <w:bottom w:val="single" w:sz="8" w:space="0" w:color="auto"/>
              <w:right w:val="single" w:sz="8" w:space="0" w:color="auto"/>
            </w:tcBorders>
            <w:shd w:val="clear" w:color="auto" w:fill="auto"/>
            <w:hideMark/>
          </w:tcPr>
          <w:p w14:paraId="5E047849"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287,73</w:t>
            </w:r>
          </w:p>
        </w:tc>
        <w:tc>
          <w:tcPr>
            <w:tcW w:w="1134" w:type="dxa"/>
            <w:tcBorders>
              <w:top w:val="nil"/>
              <w:left w:val="nil"/>
              <w:bottom w:val="single" w:sz="8" w:space="0" w:color="auto"/>
              <w:right w:val="single" w:sz="8" w:space="0" w:color="auto"/>
            </w:tcBorders>
            <w:shd w:val="clear" w:color="auto" w:fill="auto"/>
            <w:hideMark/>
          </w:tcPr>
          <w:p w14:paraId="6C876355"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288,17</w:t>
            </w:r>
          </w:p>
        </w:tc>
        <w:tc>
          <w:tcPr>
            <w:tcW w:w="992" w:type="dxa"/>
            <w:tcBorders>
              <w:top w:val="nil"/>
              <w:left w:val="nil"/>
              <w:bottom w:val="single" w:sz="8" w:space="0" w:color="auto"/>
              <w:right w:val="single" w:sz="8" w:space="0" w:color="auto"/>
            </w:tcBorders>
            <w:shd w:val="clear" w:color="auto" w:fill="auto"/>
            <w:hideMark/>
          </w:tcPr>
          <w:p w14:paraId="20FA936A"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16,09</w:t>
            </w:r>
          </w:p>
        </w:tc>
        <w:tc>
          <w:tcPr>
            <w:tcW w:w="1134" w:type="dxa"/>
            <w:tcBorders>
              <w:top w:val="nil"/>
              <w:left w:val="nil"/>
              <w:bottom w:val="single" w:sz="8" w:space="0" w:color="auto"/>
              <w:right w:val="single" w:sz="8" w:space="0" w:color="auto"/>
            </w:tcBorders>
            <w:shd w:val="clear" w:color="auto" w:fill="auto"/>
            <w:hideMark/>
          </w:tcPr>
          <w:p w14:paraId="47F613C3"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-62,16</w:t>
            </w:r>
          </w:p>
        </w:tc>
        <w:tc>
          <w:tcPr>
            <w:tcW w:w="992" w:type="dxa"/>
            <w:tcBorders>
              <w:top w:val="nil"/>
              <w:left w:val="nil"/>
              <w:bottom w:val="single" w:sz="8" w:space="0" w:color="auto"/>
              <w:right w:val="single" w:sz="8" w:space="0" w:color="auto"/>
            </w:tcBorders>
            <w:shd w:val="clear" w:color="auto" w:fill="auto"/>
            <w:noWrap/>
            <w:hideMark/>
          </w:tcPr>
          <w:p w14:paraId="4660F9E7"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82,2%</w:t>
            </w:r>
          </w:p>
        </w:tc>
      </w:tr>
      <w:tr w:rsidR="0027547A" w:rsidRPr="00DD6A7A" w14:paraId="65A95177"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29F34A2A" w14:textId="42590EDA" w:rsidR="0027547A" w:rsidRPr="00DD6A7A" w:rsidRDefault="0027547A" w:rsidP="00021528">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Servicii de repara</w:t>
            </w:r>
            <w:r w:rsidR="00021528">
              <w:rPr>
                <w:rFonts w:ascii="Times New Roman" w:eastAsia="Times New Roman" w:hAnsi="Times New Roman" w:cs="Times New Roman"/>
                <w:color w:val="000000"/>
                <w:sz w:val="18"/>
                <w:szCs w:val="18"/>
                <w:lang w:val="ro-RO"/>
              </w:rPr>
              <w:t>ț</w:t>
            </w:r>
            <w:r w:rsidRPr="00DD6A7A">
              <w:rPr>
                <w:rFonts w:ascii="Times New Roman" w:eastAsia="Times New Roman" w:hAnsi="Times New Roman" w:cs="Times New Roman"/>
                <w:color w:val="000000"/>
                <w:sz w:val="18"/>
                <w:szCs w:val="18"/>
                <w:lang w:val="ro-RO"/>
              </w:rPr>
              <w:t>ii curente</w:t>
            </w:r>
          </w:p>
        </w:tc>
        <w:tc>
          <w:tcPr>
            <w:tcW w:w="850" w:type="dxa"/>
            <w:tcBorders>
              <w:top w:val="nil"/>
              <w:left w:val="nil"/>
              <w:bottom w:val="single" w:sz="8" w:space="0" w:color="000000"/>
              <w:right w:val="nil"/>
            </w:tcBorders>
            <w:shd w:val="clear" w:color="auto" w:fill="auto"/>
            <w:hideMark/>
          </w:tcPr>
          <w:p w14:paraId="7570FC9B"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2.4.0</w:t>
            </w:r>
          </w:p>
        </w:tc>
        <w:tc>
          <w:tcPr>
            <w:tcW w:w="993" w:type="dxa"/>
            <w:tcBorders>
              <w:top w:val="nil"/>
              <w:left w:val="single" w:sz="8" w:space="0" w:color="auto"/>
              <w:bottom w:val="single" w:sz="8" w:space="0" w:color="auto"/>
              <w:right w:val="single" w:sz="8" w:space="0" w:color="auto"/>
            </w:tcBorders>
            <w:shd w:val="clear" w:color="auto" w:fill="auto"/>
            <w:hideMark/>
          </w:tcPr>
          <w:p w14:paraId="0A97ADDD"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222500</w:t>
            </w:r>
          </w:p>
        </w:tc>
        <w:tc>
          <w:tcPr>
            <w:tcW w:w="1025" w:type="dxa"/>
            <w:tcBorders>
              <w:top w:val="nil"/>
              <w:left w:val="nil"/>
              <w:bottom w:val="single" w:sz="8" w:space="0" w:color="auto"/>
              <w:right w:val="single" w:sz="8" w:space="0" w:color="auto"/>
            </w:tcBorders>
            <w:shd w:val="clear" w:color="auto" w:fill="auto"/>
            <w:hideMark/>
          </w:tcPr>
          <w:p w14:paraId="77F5ABF5"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313,00</w:t>
            </w:r>
          </w:p>
        </w:tc>
        <w:tc>
          <w:tcPr>
            <w:tcW w:w="1025" w:type="dxa"/>
            <w:tcBorders>
              <w:top w:val="nil"/>
              <w:left w:val="nil"/>
              <w:bottom w:val="single" w:sz="8" w:space="0" w:color="auto"/>
              <w:right w:val="single" w:sz="8" w:space="0" w:color="auto"/>
            </w:tcBorders>
            <w:shd w:val="clear" w:color="auto" w:fill="auto"/>
            <w:hideMark/>
          </w:tcPr>
          <w:p w14:paraId="26D2CA72"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381,90</w:t>
            </w:r>
          </w:p>
        </w:tc>
        <w:tc>
          <w:tcPr>
            <w:tcW w:w="1237" w:type="dxa"/>
            <w:tcBorders>
              <w:top w:val="nil"/>
              <w:left w:val="nil"/>
              <w:bottom w:val="single" w:sz="8" w:space="0" w:color="auto"/>
              <w:right w:val="single" w:sz="8" w:space="0" w:color="auto"/>
            </w:tcBorders>
            <w:shd w:val="clear" w:color="auto" w:fill="auto"/>
            <w:hideMark/>
          </w:tcPr>
          <w:p w14:paraId="7FAD3560"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260,65</w:t>
            </w:r>
          </w:p>
        </w:tc>
        <w:tc>
          <w:tcPr>
            <w:tcW w:w="1134" w:type="dxa"/>
            <w:tcBorders>
              <w:top w:val="nil"/>
              <w:left w:val="nil"/>
              <w:bottom w:val="single" w:sz="8" w:space="0" w:color="auto"/>
              <w:right w:val="single" w:sz="8" w:space="0" w:color="auto"/>
            </w:tcBorders>
            <w:shd w:val="clear" w:color="auto" w:fill="auto"/>
            <w:hideMark/>
          </w:tcPr>
          <w:p w14:paraId="32E5AC65"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260,65</w:t>
            </w:r>
          </w:p>
        </w:tc>
        <w:tc>
          <w:tcPr>
            <w:tcW w:w="992" w:type="dxa"/>
            <w:tcBorders>
              <w:top w:val="nil"/>
              <w:left w:val="nil"/>
              <w:bottom w:val="single" w:sz="8" w:space="0" w:color="auto"/>
              <w:right w:val="single" w:sz="8" w:space="0" w:color="auto"/>
            </w:tcBorders>
            <w:shd w:val="clear" w:color="auto" w:fill="auto"/>
            <w:hideMark/>
          </w:tcPr>
          <w:p w14:paraId="301376BC"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68,90</w:t>
            </w:r>
          </w:p>
        </w:tc>
        <w:tc>
          <w:tcPr>
            <w:tcW w:w="1134" w:type="dxa"/>
            <w:tcBorders>
              <w:top w:val="nil"/>
              <w:left w:val="nil"/>
              <w:bottom w:val="single" w:sz="8" w:space="0" w:color="auto"/>
              <w:right w:val="single" w:sz="8" w:space="0" w:color="auto"/>
            </w:tcBorders>
            <w:shd w:val="clear" w:color="auto" w:fill="auto"/>
            <w:hideMark/>
          </w:tcPr>
          <w:p w14:paraId="75BECE2E"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-121,25</w:t>
            </w:r>
          </w:p>
        </w:tc>
        <w:tc>
          <w:tcPr>
            <w:tcW w:w="992" w:type="dxa"/>
            <w:tcBorders>
              <w:top w:val="nil"/>
              <w:left w:val="nil"/>
              <w:bottom w:val="single" w:sz="8" w:space="0" w:color="auto"/>
              <w:right w:val="single" w:sz="8" w:space="0" w:color="auto"/>
            </w:tcBorders>
            <w:shd w:val="clear" w:color="auto" w:fill="auto"/>
            <w:noWrap/>
            <w:hideMark/>
          </w:tcPr>
          <w:p w14:paraId="33F8AA48"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68,2%</w:t>
            </w:r>
          </w:p>
        </w:tc>
      </w:tr>
      <w:tr w:rsidR="0027547A" w:rsidRPr="00DD6A7A" w14:paraId="307EB06D"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2BA71CBF" w14:textId="6D9BA931" w:rsidR="0027547A" w:rsidRPr="00DD6A7A" w:rsidRDefault="0027547A" w:rsidP="00021528">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Formare profesional</w:t>
            </w:r>
            <w:r w:rsidR="00021528">
              <w:rPr>
                <w:rFonts w:ascii="Times New Roman" w:eastAsia="Times New Roman" w:hAnsi="Times New Roman" w:cs="Times New Roman"/>
                <w:color w:val="000000"/>
                <w:sz w:val="18"/>
                <w:szCs w:val="18"/>
                <w:lang w:val="ro-RO"/>
              </w:rPr>
              <w:t>ă</w:t>
            </w:r>
          </w:p>
        </w:tc>
        <w:tc>
          <w:tcPr>
            <w:tcW w:w="850" w:type="dxa"/>
            <w:tcBorders>
              <w:top w:val="nil"/>
              <w:left w:val="nil"/>
              <w:bottom w:val="single" w:sz="8" w:space="0" w:color="000000"/>
              <w:right w:val="nil"/>
            </w:tcBorders>
            <w:shd w:val="clear" w:color="auto" w:fill="auto"/>
            <w:hideMark/>
          </w:tcPr>
          <w:p w14:paraId="45068F0C"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2.4.0</w:t>
            </w:r>
          </w:p>
        </w:tc>
        <w:tc>
          <w:tcPr>
            <w:tcW w:w="993" w:type="dxa"/>
            <w:tcBorders>
              <w:top w:val="nil"/>
              <w:left w:val="single" w:sz="8" w:space="0" w:color="auto"/>
              <w:bottom w:val="single" w:sz="8" w:space="0" w:color="auto"/>
              <w:right w:val="single" w:sz="8" w:space="0" w:color="auto"/>
            </w:tcBorders>
            <w:shd w:val="clear" w:color="auto" w:fill="auto"/>
            <w:hideMark/>
          </w:tcPr>
          <w:p w14:paraId="27AA9A06"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222600</w:t>
            </w:r>
          </w:p>
        </w:tc>
        <w:tc>
          <w:tcPr>
            <w:tcW w:w="1025" w:type="dxa"/>
            <w:tcBorders>
              <w:top w:val="nil"/>
              <w:left w:val="nil"/>
              <w:bottom w:val="single" w:sz="8" w:space="0" w:color="auto"/>
              <w:right w:val="single" w:sz="8" w:space="0" w:color="auto"/>
            </w:tcBorders>
            <w:shd w:val="clear" w:color="auto" w:fill="auto"/>
            <w:hideMark/>
          </w:tcPr>
          <w:p w14:paraId="56E3A9C7"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97,90</w:t>
            </w:r>
          </w:p>
        </w:tc>
        <w:tc>
          <w:tcPr>
            <w:tcW w:w="1025" w:type="dxa"/>
            <w:tcBorders>
              <w:top w:val="nil"/>
              <w:left w:val="nil"/>
              <w:bottom w:val="single" w:sz="8" w:space="0" w:color="auto"/>
              <w:right w:val="single" w:sz="8" w:space="0" w:color="auto"/>
            </w:tcBorders>
            <w:shd w:val="clear" w:color="auto" w:fill="auto"/>
            <w:hideMark/>
          </w:tcPr>
          <w:p w14:paraId="76F509B6"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97,69</w:t>
            </w:r>
          </w:p>
        </w:tc>
        <w:tc>
          <w:tcPr>
            <w:tcW w:w="1237" w:type="dxa"/>
            <w:tcBorders>
              <w:top w:val="nil"/>
              <w:left w:val="nil"/>
              <w:bottom w:val="single" w:sz="8" w:space="0" w:color="auto"/>
              <w:right w:val="single" w:sz="8" w:space="0" w:color="auto"/>
            </w:tcBorders>
            <w:shd w:val="clear" w:color="auto" w:fill="auto"/>
            <w:hideMark/>
          </w:tcPr>
          <w:p w14:paraId="318283D4"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40,63</w:t>
            </w:r>
          </w:p>
        </w:tc>
        <w:tc>
          <w:tcPr>
            <w:tcW w:w="1134" w:type="dxa"/>
            <w:tcBorders>
              <w:top w:val="nil"/>
              <w:left w:val="nil"/>
              <w:bottom w:val="single" w:sz="8" w:space="0" w:color="auto"/>
              <w:right w:val="single" w:sz="8" w:space="0" w:color="auto"/>
            </w:tcBorders>
            <w:shd w:val="clear" w:color="auto" w:fill="auto"/>
            <w:hideMark/>
          </w:tcPr>
          <w:p w14:paraId="77082777"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40,63</w:t>
            </w:r>
          </w:p>
        </w:tc>
        <w:tc>
          <w:tcPr>
            <w:tcW w:w="992" w:type="dxa"/>
            <w:tcBorders>
              <w:top w:val="nil"/>
              <w:left w:val="nil"/>
              <w:bottom w:val="single" w:sz="8" w:space="0" w:color="auto"/>
              <w:right w:val="single" w:sz="8" w:space="0" w:color="auto"/>
            </w:tcBorders>
            <w:shd w:val="clear" w:color="auto" w:fill="auto"/>
            <w:hideMark/>
          </w:tcPr>
          <w:p w14:paraId="0EDEFD10"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-0,21</w:t>
            </w:r>
          </w:p>
        </w:tc>
        <w:tc>
          <w:tcPr>
            <w:tcW w:w="1134" w:type="dxa"/>
            <w:tcBorders>
              <w:top w:val="nil"/>
              <w:left w:val="nil"/>
              <w:bottom w:val="single" w:sz="8" w:space="0" w:color="auto"/>
              <w:right w:val="single" w:sz="8" w:space="0" w:color="auto"/>
            </w:tcBorders>
            <w:shd w:val="clear" w:color="auto" w:fill="auto"/>
            <w:hideMark/>
          </w:tcPr>
          <w:p w14:paraId="1B9F19F8"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-57,06</w:t>
            </w:r>
          </w:p>
        </w:tc>
        <w:tc>
          <w:tcPr>
            <w:tcW w:w="992" w:type="dxa"/>
            <w:tcBorders>
              <w:top w:val="nil"/>
              <w:left w:val="nil"/>
              <w:bottom w:val="single" w:sz="8" w:space="0" w:color="auto"/>
              <w:right w:val="single" w:sz="8" w:space="0" w:color="auto"/>
            </w:tcBorders>
            <w:shd w:val="clear" w:color="auto" w:fill="auto"/>
            <w:noWrap/>
            <w:hideMark/>
          </w:tcPr>
          <w:p w14:paraId="41B3F9B0"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41,6%</w:t>
            </w:r>
          </w:p>
        </w:tc>
      </w:tr>
      <w:tr w:rsidR="0027547A" w:rsidRPr="00DD6A7A" w14:paraId="4453A83F"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07431720" w14:textId="07B6C181" w:rsidR="0027547A" w:rsidRPr="00DD6A7A" w:rsidRDefault="0027547A" w:rsidP="00021528">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Deplas</w:t>
            </w:r>
            <w:r w:rsidR="00021528">
              <w:rPr>
                <w:rFonts w:ascii="Times New Roman" w:eastAsia="Times New Roman" w:hAnsi="Times New Roman" w:cs="Times New Roman"/>
                <w:color w:val="000000"/>
                <w:sz w:val="18"/>
                <w:szCs w:val="18"/>
                <w:lang w:val="ro-RO"/>
              </w:rPr>
              <w:t>ă</w:t>
            </w:r>
            <w:r w:rsidRPr="00DD6A7A">
              <w:rPr>
                <w:rFonts w:ascii="Times New Roman" w:eastAsia="Times New Roman" w:hAnsi="Times New Roman" w:cs="Times New Roman"/>
                <w:color w:val="000000"/>
                <w:sz w:val="18"/>
                <w:szCs w:val="18"/>
                <w:lang w:val="ro-RO"/>
              </w:rPr>
              <w:t>ri de serviciu peste hotare</w:t>
            </w:r>
          </w:p>
        </w:tc>
        <w:tc>
          <w:tcPr>
            <w:tcW w:w="850" w:type="dxa"/>
            <w:tcBorders>
              <w:top w:val="nil"/>
              <w:left w:val="nil"/>
              <w:bottom w:val="single" w:sz="8" w:space="0" w:color="000000"/>
              <w:right w:val="nil"/>
            </w:tcBorders>
            <w:shd w:val="clear" w:color="auto" w:fill="auto"/>
            <w:hideMark/>
          </w:tcPr>
          <w:p w14:paraId="33DACBB7"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2.4.0</w:t>
            </w:r>
          </w:p>
        </w:tc>
        <w:tc>
          <w:tcPr>
            <w:tcW w:w="993" w:type="dxa"/>
            <w:tcBorders>
              <w:top w:val="nil"/>
              <w:left w:val="single" w:sz="8" w:space="0" w:color="auto"/>
              <w:bottom w:val="single" w:sz="8" w:space="0" w:color="auto"/>
              <w:right w:val="single" w:sz="8" w:space="0" w:color="auto"/>
            </w:tcBorders>
            <w:shd w:val="clear" w:color="auto" w:fill="auto"/>
            <w:hideMark/>
          </w:tcPr>
          <w:p w14:paraId="6BC601F2"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222720</w:t>
            </w:r>
          </w:p>
        </w:tc>
        <w:tc>
          <w:tcPr>
            <w:tcW w:w="1025" w:type="dxa"/>
            <w:tcBorders>
              <w:top w:val="nil"/>
              <w:left w:val="nil"/>
              <w:bottom w:val="single" w:sz="8" w:space="0" w:color="auto"/>
              <w:right w:val="single" w:sz="8" w:space="0" w:color="auto"/>
            </w:tcBorders>
            <w:shd w:val="clear" w:color="auto" w:fill="auto"/>
            <w:hideMark/>
          </w:tcPr>
          <w:p w14:paraId="26459248"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2.283,70</w:t>
            </w:r>
          </w:p>
        </w:tc>
        <w:tc>
          <w:tcPr>
            <w:tcW w:w="1025" w:type="dxa"/>
            <w:tcBorders>
              <w:top w:val="nil"/>
              <w:left w:val="nil"/>
              <w:bottom w:val="single" w:sz="8" w:space="0" w:color="auto"/>
              <w:right w:val="single" w:sz="8" w:space="0" w:color="auto"/>
            </w:tcBorders>
            <w:shd w:val="clear" w:color="auto" w:fill="auto"/>
            <w:hideMark/>
          </w:tcPr>
          <w:p w14:paraId="5609A740"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1.398,59</w:t>
            </w:r>
          </w:p>
        </w:tc>
        <w:tc>
          <w:tcPr>
            <w:tcW w:w="1237" w:type="dxa"/>
            <w:tcBorders>
              <w:top w:val="nil"/>
              <w:left w:val="nil"/>
              <w:bottom w:val="single" w:sz="8" w:space="0" w:color="auto"/>
              <w:right w:val="single" w:sz="8" w:space="0" w:color="auto"/>
            </w:tcBorders>
            <w:shd w:val="clear" w:color="auto" w:fill="auto"/>
            <w:hideMark/>
          </w:tcPr>
          <w:p w14:paraId="4B622CF3"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1.034,86</w:t>
            </w:r>
          </w:p>
        </w:tc>
        <w:tc>
          <w:tcPr>
            <w:tcW w:w="1134" w:type="dxa"/>
            <w:tcBorders>
              <w:top w:val="nil"/>
              <w:left w:val="nil"/>
              <w:bottom w:val="single" w:sz="8" w:space="0" w:color="auto"/>
              <w:right w:val="single" w:sz="8" w:space="0" w:color="auto"/>
            </w:tcBorders>
            <w:shd w:val="clear" w:color="auto" w:fill="auto"/>
            <w:hideMark/>
          </w:tcPr>
          <w:p w14:paraId="106332EF"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1.034,15</w:t>
            </w:r>
          </w:p>
        </w:tc>
        <w:tc>
          <w:tcPr>
            <w:tcW w:w="992" w:type="dxa"/>
            <w:tcBorders>
              <w:top w:val="nil"/>
              <w:left w:val="nil"/>
              <w:bottom w:val="single" w:sz="8" w:space="0" w:color="auto"/>
              <w:right w:val="single" w:sz="8" w:space="0" w:color="auto"/>
            </w:tcBorders>
            <w:shd w:val="clear" w:color="auto" w:fill="auto"/>
            <w:hideMark/>
          </w:tcPr>
          <w:p w14:paraId="48A5A755"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-885,11</w:t>
            </w:r>
          </w:p>
        </w:tc>
        <w:tc>
          <w:tcPr>
            <w:tcW w:w="1134" w:type="dxa"/>
            <w:tcBorders>
              <w:top w:val="nil"/>
              <w:left w:val="nil"/>
              <w:bottom w:val="single" w:sz="8" w:space="0" w:color="auto"/>
              <w:right w:val="single" w:sz="8" w:space="0" w:color="auto"/>
            </w:tcBorders>
            <w:shd w:val="clear" w:color="auto" w:fill="auto"/>
            <w:hideMark/>
          </w:tcPr>
          <w:p w14:paraId="16113DAD"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-363,73</w:t>
            </w:r>
          </w:p>
        </w:tc>
        <w:tc>
          <w:tcPr>
            <w:tcW w:w="992" w:type="dxa"/>
            <w:tcBorders>
              <w:top w:val="nil"/>
              <w:left w:val="nil"/>
              <w:bottom w:val="single" w:sz="8" w:space="0" w:color="auto"/>
              <w:right w:val="single" w:sz="8" w:space="0" w:color="auto"/>
            </w:tcBorders>
            <w:shd w:val="clear" w:color="auto" w:fill="auto"/>
            <w:noWrap/>
            <w:hideMark/>
          </w:tcPr>
          <w:p w14:paraId="2E77C880"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74,0%</w:t>
            </w:r>
          </w:p>
        </w:tc>
      </w:tr>
      <w:tr w:rsidR="0027547A" w:rsidRPr="00DD6A7A" w14:paraId="6A1849DB"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586A593E"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Servicii editoriale</w:t>
            </w:r>
          </w:p>
        </w:tc>
        <w:tc>
          <w:tcPr>
            <w:tcW w:w="850" w:type="dxa"/>
            <w:tcBorders>
              <w:top w:val="nil"/>
              <w:left w:val="nil"/>
              <w:bottom w:val="single" w:sz="8" w:space="0" w:color="000000"/>
              <w:right w:val="nil"/>
            </w:tcBorders>
            <w:shd w:val="clear" w:color="auto" w:fill="auto"/>
            <w:hideMark/>
          </w:tcPr>
          <w:p w14:paraId="02EE8FFF"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2.4.0</w:t>
            </w:r>
          </w:p>
        </w:tc>
        <w:tc>
          <w:tcPr>
            <w:tcW w:w="993" w:type="dxa"/>
            <w:tcBorders>
              <w:top w:val="nil"/>
              <w:left w:val="single" w:sz="8" w:space="0" w:color="auto"/>
              <w:bottom w:val="single" w:sz="8" w:space="0" w:color="auto"/>
              <w:right w:val="single" w:sz="8" w:space="0" w:color="auto"/>
            </w:tcBorders>
            <w:shd w:val="clear" w:color="auto" w:fill="auto"/>
            <w:hideMark/>
          </w:tcPr>
          <w:p w14:paraId="1516CF67"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222910</w:t>
            </w:r>
          </w:p>
        </w:tc>
        <w:tc>
          <w:tcPr>
            <w:tcW w:w="1025" w:type="dxa"/>
            <w:tcBorders>
              <w:top w:val="nil"/>
              <w:left w:val="nil"/>
              <w:bottom w:val="single" w:sz="8" w:space="0" w:color="auto"/>
              <w:right w:val="single" w:sz="8" w:space="0" w:color="auto"/>
            </w:tcBorders>
            <w:shd w:val="clear" w:color="auto" w:fill="auto"/>
            <w:hideMark/>
          </w:tcPr>
          <w:p w14:paraId="271F6AE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30,50</w:t>
            </w:r>
          </w:p>
        </w:tc>
        <w:tc>
          <w:tcPr>
            <w:tcW w:w="1025" w:type="dxa"/>
            <w:tcBorders>
              <w:top w:val="nil"/>
              <w:left w:val="nil"/>
              <w:bottom w:val="single" w:sz="8" w:space="0" w:color="auto"/>
              <w:right w:val="single" w:sz="8" w:space="0" w:color="auto"/>
            </w:tcBorders>
            <w:shd w:val="clear" w:color="auto" w:fill="auto"/>
            <w:hideMark/>
          </w:tcPr>
          <w:p w14:paraId="7B53F6A7"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51,42</w:t>
            </w:r>
          </w:p>
        </w:tc>
        <w:tc>
          <w:tcPr>
            <w:tcW w:w="1237" w:type="dxa"/>
            <w:tcBorders>
              <w:top w:val="nil"/>
              <w:left w:val="nil"/>
              <w:bottom w:val="single" w:sz="8" w:space="0" w:color="auto"/>
              <w:right w:val="single" w:sz="8" w:space="0" w:color="auto"/>
            </w:tcBorders>
            <w:shd w:val="clear" w:color="auto" w:fill="auto"/>
            <w:hideMark/>
          </w:tcPr>
          <w:p w14:paraId="5F2A585B"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36,29</w:t>
            </w:r>
          </w:p>
        </w:tc>
        <w:tc>
          <w:tcPr>
            <w:tcW w:w="1134" w:type="dxa"/>
            <w:tcBorders>
              <w:top w:val="nil"/>
              <w:left w:val="nil"/>
              <w:bottom w:val="single" w:sz="8" w:space="0" w:color="auto"/>
              <w:right w:val="single" w:sz="8" w:space="0" w:color="auto"/>
            </w:tcBorders>
            <w:shd w:val="clear" w:color="auto" w:fill="auto"/>
            <w:hideMark/>
          </w:tcPr>
          <w:p w14:paraId="768C8647"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36,29</w:t>
            </w:r>
          </w:p>
        </w:tc>
        <w:tc>
          <w:tcPr>
            <w:tcW w:w="992" w:type="dxa"/>
            <w:tcBorders>
              <w:top w:val="nil"/>
              <w:left w:val="nil"/>
              <w:bottom w:val="single" w:sz="8" w:space="0" w:color="auto"/>
              <w:right w:val="single" w:sz="8" w:space="0" w:color="auto"/>
            </w:tcBorders>
            <w:shd w:val="clear" w:color="auto" w:fill="auto"/>
            <w:hideMark/>
          </w:tcPr>
          <w:p w14:paraId="08084F3A"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20,92</w:t>
            </w:r>
          </w:p>
        </w:tc>
        <w:tc>
          <w:tcPr>
            <w:tcW w:w="1134" w:type="dxa"/>
            <w:tcBorders>
              <w:top w:val="nil"/>
              <w:left w:val="nil"/>
              <w:bottom w:val="single" w:sz="8" w:space="0" w:color="auto"/>
              <w:right w:val="single" w:sz="8" w:space="0" w:color="auto"/>
            </w:tcBorders>
            <w:shd w:val="clear" w:color="auto" w:fill="auto"/>
            <w:hideMark/>
          </w:tcPr>
          <w:p w14:paraId="41D41A3E"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-15,13</w:t>
            </w:r>
          </w:p>
        </w:tc>
        <w:tc>
          <w:tcPr>
            <w:tcW w:w="992" w:type="dxa"/>
            <w:tcBorders>
              <w:top w:val="nil"/>
              <w:left w:val="nil"/>
              <w:bottom w:val="single" w:sz="8" w:space="0" w:color="auto"/>
              <w:right w:val="single" w:sz="8" w:space="0" w:color="auto"/>
            </w:tcBorders>
            <w:shd w:val="clear" w:color="auto" w:fill="auto"/>
            <w:noWrap/>
            <w:hideMark/>
          </w:tcPr>
          <w:p w14:paraId="00FFA2E1"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70,6%</w:t>
            </w:r>
          </w:p>
        </w:tc>
      </w:tr>
      <w:tr w:rsidR="0027547A" w:rsidRPr="00DD6A7A" w14:paraId="531ABD98"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40D658A3"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Servicii de protocol</w:t>
            </w:r>
          </w:p>
        </w:tc>
        <w:tc>
          <w:tcPr>
            <w:tcW w:w="850" w:type="dxa"/>
            <w:tcBorders>
              <w:top w:val="nil"/>
              <w:left w:val="nil"/>
              <w:bottom w:val="single" w:sz="8" w:space="0" w:color="000000"/>
              <w:right w:val="nil"/>
            </w:tcBorders>
            <w:shd w:val="clear" w:color="auto" w:fill="auto"/>
            <w:hideMark/>
          </w:tcPr>
          <w:p w14:paraId="7A1330BD"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2.4.0</w:t>
            </w:r>
          </w:p>
        </w:tc>
        <w:tc>
          <w:tcPr>
            <w:tcW w:w="993" w:type="dxa"/>
            <w:tcBorders>
              <w:top w:val="nil"/>
              <w:left w:val="single" w:sz="8" w:space="0" w:color="auto"/>
              <w:bottom w:val="single" w:sz="8" w:space="0" w:color="auto"/>
              <w:right w:val="single" w:sz="8" w:space="0" w:color="auto"/>
            </w:tcBorders>
            <w:shd w:val="clear" w:color="auto" w:fill="auto"/>
            <w:hideMark/>
          </w:tcPr>
          <w:p w14:paraId="4D41C675"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222920</w:t>
            </w:r>
          </w:p>
        </w:tc>
        <w:tc>
          <w:tcPr>
            <w:tcW w:w="1025" w:type="dxa"/>
            <w:tcBorders>
              <w:top w:val="nil"/>
              <w:left w:val="nil"/>
              <w:bottom w:val="single" w:sz="8" w:space="0" w:color="auto"/>
              <w:right w:val="single" w:sz="8" w:space="0" w:color="auto"/>
            </w:tcBorders>
            <w:shd w:val="clear" w:color="auto" w:fill="auto"/>
            <w:hideMark/>
          </w:tcPr>
          <w:p w14:paraId="6F6763D2"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68,00</w:t>
            </w:r>
          </w:p>
        </w:tc>
        <w:tc>
          <w:tcPr>
            <w:tcW w:w="1025" w:type="dxa"/>
            <w:tcBorders>
              <w:top w:val="nil"/>
              <w:left w:val="nil"/>
              <w:bottom w:val="single" w:sz="8" w:space="0" w:color="auto"/>
              <w:right w:val="single" w:sz="8" w:space="0" w:color="auto"/>
            </w:tcBorders>
            <w:shd w:val="clear" w:color="auto" w:fill="auto"/>
            <w:hideMark/>
          </w:tcPr>
          <w:p w14:paraId="6C6D7003"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67,08</w:t>
            </w:r>
          </w:p>
        </w:tc>
        <w:tc>
          <w:tcPr>
            <w:tcW w:w="1237" w:type="dxa"/>
            <w:tcBorders>
              <w:top w:val="nil"/>
              <w:left w:val="nil"/>
              <w:bottom w:val="single" w:sz="8" w:space="0" w:color="auto"/>
              <w:right w:val="single" w:sz="8" w:space="0" w:color="auto"/>
            </w:tcBorders>
            <w:shd w:val="clear" w:color="auto" w:fill="auto"/>
            <w:hideMark/>
          </w:tcPr>
          <w:p w14:paraId="3D6F25B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32,38</w:t>
            </w:r>
          </w:p>
        </w:tc>
        <w:tc>
          <w:tcPr>
            <w:tcW w:w="1134" w:type="dxa"/>
            <w:tcBorders>
              <w:top w:val="nil"/>
              <w:left w:val="nil"/>
              <w:bottom w:val="single" w:sz="8" w:space="0" w:color="auto"/>
              <w:right w:val="single" w:sz="8" w:space="0" w:color="auto"/>
            </w:tcBorders>
            <w:shd w:val="clear" w:color="auto" w:fill="auto"/>
            <w:hideMark/>
          </w:tcPr>
          <w:p w14:paraId="6C05C1DA"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32,68</w:t>
            </w:r>
          </w:p>
        </w:tc>
        <w:tc>
          <w:tcPr>
            <w:tcW w:w="992" w:type="dxa"/>
            <w:tcBorders>
              <w:top w:val="nil"/>
              <w:left w:val="nil"/>
              <w:bottom w:val="single" w:sz="8" w:space="0" w:color="auto"/>
              <w:right w:val="single" w:sz="8" w:space="0" w:color="auto"/>
            </w:tcBorders>
            <w:shd w:val="clear" w:color="auto" w:fill="auto"/>
            <w:hideMark/>
          </w:tcPr>
          <w:p w14:paraId="33EABE22"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-0,92</w:t>
            </w:r>
          </w:p>
        </w:tc>
        <w:tc>
          <w:tcPr>
            <w:tcW w:w="1134" w:type="dxa"/>
            <w:tcBorders>
              <w:top w:val="nil"/>
              <w:left w:val="nil"/>
              <w:bottom w:val="single" w:sz="8" w:space="0" w:color="auto"/>
              <w:right w:val="single" w:sz="8" w:space="0" w:color="auto"/>
            </w:tcBorders>
            <w:shd w:val="clear" w:color="auto" w:fill="auto"/>
            <w:hideMark/>
          </w:tcPr>
          <w:p w14:paraId="4F8CF498"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-34,70</w:t>
            </w:r>
          </w:p>
        </w:tc>
        <w:tc>
          <w:tcPr>
            <w:tcW w:w="992" w:type="dxa"/>
            <w:tcBorders>
              <w:top w:val="nil"/>
              <w:left w:val="nil"/>
              <w:bottom w:val="single" w:sz="8" w:space="0" w:color="auto"/>
              <w:right w:val="single" w:sz="8" w:space="0" w:color="auto"/>
            </w:tcBorders>
            <w:shd w:val="clear" w:color="auto" w:fill="auto"/>
            <w:noWrap/>
            <w:hideMark/>
          </w:tcPr>
          <w:p w14:paraId="6D9047AE"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48,3%</w:t>
            </w:r>
          </w:p>
        </w:tc>
      </w:tr>
      <w:tr w:rsidR="0027547A" w:rsidRPr="00DD6A7A" w14:paraId="78C8EEB6"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43E852E6"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Servicii de pază</w:t>
            </w:r>
          </w:p>
        </w:tc>
        <w:tc>
          <w:tcPr>
            <w:tcW w:w="850" w:type="dxa"/>
            <w:tcBorders>
              <w:top w:val="nil"/>
              <w:left w:val="nil"/>
              <w:bottom w:val="single" w:sz="8" w:space="0" w:color="000000"/>
              <w:right w:val="nil"/>
            </w:tcBorders>
            <w:shd w:val="clear" w:color="auto" w:fill="auto"/>
            <w:hideMark/>
          </w:tcPr>
          <w:p w14:paraId="42C123DC"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2.4.0</w:t>
            </w:r>
          </w:p>
        </w:tc>
        <w:tc>
          <w:tcPr>
            <w:tcW w:w="993" w:type="dxa"/>
            <w:tcBorders>
              <w:top w:val="nil"/>
              <w:left w:val="single" w:sz="8" w:space="0" w:color="auto"/>
              <w:bottom w:val="single" w:sz="8" w:space="0" w:color="auto"/>
              <w:right w:val="single" w:sz="8" w:space="0" w:color="auto"/>
            </w:tcBorders>
            <w:shd w:val="clear" w:color="auto" w:fill="auto"/>
            <w:hideMark/>
          </w:tcPr>
          <w:p w14:paraId="068994C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222940</w:t>
            </w:r>
          </w:p>
        </w:tc>
        <w:tc>
          <w:tcPr>
            <w:tcW w:w="1025" w:type="dxa"/>
            <w:tcBorders>
              <w:top w:val="nil"/>
              <w:left w:val="nil"/>
              <w:bottom w:val="single" w:sz="8" w:space="0" w:color="auto"/>
              <w:right w:val="single" w:sz="8" w:space="0" w:color="auto"/>
            </w:tcBorders>
            <w:shd w:val="clear" w:color="auto" w:fill="auto"/>
            <w:hideMark/>
          </w:tcPr>
          <w:p w14:paraId="671C5DD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120,20</w:t>
            </w:r>
          </w:p>
        </w:tc>
        <w:tc>
          <w:tcPr>
            <w:tcW w:w="1025" w:type="dxa"/>
            <w:tcBorders>
              <w:top w:val="nil"/>
              <w:left w:val="nil"/>
              <w:bottom w:val="single" w:sz="8" w:space="0" w:color="auto"/>
              <w:right w:val="single" w:sz="8" w:space="0" w:color="auto"/>
            </w:tcBorders>
            <w:shd w:val="clear" w:color="auto" w:fill="auto"/>
            <w:hideMark/>
          </w:tcPr>
          <w:p w14:paraId="4648137C"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113,50</w:t>
            </w:r>
          </w:p>
        </w:tc>
        <w:tc>
          <w:tcPr>
            <w:tcW w:w="1237" w:type="dxa"/>
            <w:tcBorders>
              <w:top w:val="nil"/>
              <w:left w:val="nil"/>
              <w:bottom w:val="single" w:sz="8" w:space="0" w:color="auto"/>
              <w:right w:val="single" w:sz="8" w:space="0" w:color="auto"/>
            </w:tcBorders>
            <w:shd w:val="clear" w:color="auto" w:fill="auto"/>
            <w:hideMark/>
          </w:tcPr>
          <w:p w14:paraId="56205FDA"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52,96</w:t>
            </w:r>
          </w:p>
        </w:tc>
        <w:tc>
          <w:tcPr>
            <w:tcW w:w="1134" w:type="dxa"/>
            <w:tcBorders>
              <w:top w:val="nil"/>
              <w:left w:val="nil"/>
              <w:bottom w:val="single" w:sz="8" w:space="0" w:color="auto"/>
              <w:right w:val="single" w:sz="8" w:space="0" w:color="auto"/>
            </w:tcBorders>
            <w:shd w:val="clear" w:color="auto" w:fill="auto"/>
            <w:hideMark/>
          </w:tcPr>
          <w:p w14:paraId="330A05F0"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52,46</w:t>
            </w:r>
          </w:p>
        </w:tc>
        <w:tc>
          <w:tcPr>
            <w:tcW w:w="992" w:type="dxa"/>
            <w:tcBorders>
              <w:top w:val="nil"/>
              <w:left w:val="nil"/>
              <w:bottom w:val="single" w:sz="8" w:space="0" w:color="auto"/>
              <w:right w:val="single" w:sz="8" w:space="0" w:color="auto"/>
            </w:tcBorders>
            <w:shd w:val="clear" w:color="auto" w:fill="auto"/>
            <w:hideMark/>
          </w:tcPr>
          <w:p w14:paraId="22929691"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-6,70</w:t>
            </w:r>
          </w:p>
        </w:tc>
        <w:tc>
          <w:tcPr>
            <w:tcW w:w="1134" w:type="dxa"/>
            <w:tcBorders>
              <w:top w:val="nil"/>
              <w:left w:val="nil"/>
              <w:bottom w:val="single" w:sz="8" w:space="0" w:color="auto"/>
              <w:right w:val="single" w:sz="8" w:space="0" w:color="auto"/>
            </w:tcBorders>
            <w:shd w:val="clear" w:color="auto" w:fill="auto"/>
            <w:hideMark/>
          </w:tcPr>
          <w:p w14:paraId="6CA6EC00"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-60,54</w:t>
            </w:r>
          </w:p>
        </w:tc>
        <w:tc>
          <w:tcPr>
            <w:tcW w:w="992" w:type="dxa"/>
            <w:tcBorders>
              <w:top w:val="nil"/>
              <w:left w:val="nil"/>
              <w:bottom w:val="single" w:sz="8" w:space="0" w:color="auto"/>
              <w:right w:val="single" w:sz="8" w:space="0" w:color="auto"/>
            </w:tcBorders>
            <w:shd w:val="clear" w:color="auto" w:fill="auto"/>
            <w:noWrap/>
            <w:hideMark/>
          </w:tcPr>
          <w:p w14:paraId="5AB8A619"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46,7%</w:t>
            </w:r>
          </w:p>
        </w:tc>
      </w:tr>
      <w:tr w:rsidR="0027547A" w:rsidRPr="00DD6A7A" w14:paraId="690B9968"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4F7AAFF5"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Servicii bancare</w:t>
            </w:r>
          </w:p>
        </w:tc>
        <w:tc>
          <w:tcPr>
            <w:tcW w:w="850" w:type="dxa"/>
            <w:tcBorders>
              <w:top w:val="nil"/>
              <w:left w:val="nil"/>
              <w:bottom w:val="single" w:sz="8" w:space="0" w:color="000000"/>
              <w:right w:val="nil"/>
            </w:tcBorders>
            <w:shd w:val="clear" w:color="auto" w:fill="auto"/>
            <w:hideMark/>
          </w:tcPr>
          <w:p w14:paraId="30BD1CF3"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2.4.0</w:t>
            </w:r>
          </w:p>
        </w:tc>
        <w:tc>
          <w:tcPr>
            <w:tcW w:w="993" w:type="dxa"/>
            <w:tcBorders>
              <w:top w:val="nil"/>
              <w:left w:val="single" w:sz="8" w:space="0" w:color="auto"/>
              <w:bottom w:val="single" w:sz="8" w:space="0" w:color="auto"/>
              <w:right w:val="single" w:sz="8" w:space="0" w:color="auto"/>
            </w:tcBorders>
            <w:shd w:val="clear" w:color="auto" w:fill="auto"/>
            <w:hideMark/>
          </w:tcPr>
          <w:p w14:paraId="620C7309"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222970</w:t>
            </w:r>
          </w:p>
        </w:tc>
        <w:tc>
          <w:tcPr>
            <w:tcW w:w="1025" w:type="dxa"/>
            <w:tcBorders>
              <w:top w:val="nil"/>
              <w:left w:val="nil"/>
              <w:bottom w:val="single" w:sz="8" w:space="0" w:color="auto"/>
              <w:right w:val="single" w:sz="8" w:space="0" w:color="auto"/>
            </w:tcBorders>
            <w:shd w:val="clear" w:color="auto" w:fill="auto"/>
            <w:hideMark/>
          </w:tcPr>
          <w:p w14:paraId="12A61B88"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1,00</w:t>
            </w:r>
          </w:p>
        </w:tc>
        <w:tc>
          <w:tcPr>
            <w:tcW w:w="1025" w:type="dxa"/>
            <w:tcBorders>
              <w:top w:val="nil"/>
              <w:left w:val="nil"/>
              <w:bottom w:val="single" w:sz="8" w:space="0" w:color="auto"/>
              <w:right w:val="single" w:sz="8" w:space="0" w:color="auto"/>
            </w:tcBorders>
            <w:shd w:val="clear" w:color="auto" w:fill="auto"/>
            <w:hideMark/>
          </w:tcPr>
          <w:p w14:paraId="097ADC2B"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1,00</w:t>
            </w:r>
          </w:p>
        </w:tc>
        <w:tc>
          <w:tcPr>
            <w:tcW w:w="1237" w:type="dxa"/>
            <w:tcBorders>
              <w:top w:val="nil"/>
              <w:left w:val="nil"/>
              <w:bottom w:val="single" w:sz="8" w:space="0" w:color="auto"/>
              <w:right w:val="single" w:sz="8" w:space="0" w:color="auto"/>
            </w:tcBorders>
            <w:shd w:val="clear" w:color="auto" w:fill="auto"/>
            <w:hideMark/>
          </w:tcPr>
          <w:p w14:paraId="495D1418"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0,96</w:t>
            </w:r>
          </w:p>
        </w:tc>
        <w:tc>
          <w:tcPr>
            <w:tcW w:w="1134" w:type="dxa"/>
            <w:tcBorders>
              <w:top w:val="nil"/>
              <w:left w:val="nil"/>
              <w:bottom w:val="single" w:sz="8" w:space="0" w:color="auto"/>
              <w:right w:val="single" w:sz="8" w:space="0" w:color="auto"/>
            </w:tcBorders>
            <w:shd w:val="clear" w:color="auto" w:fill="auto"/>
            <w:hideMark/>
          </w:tcPr>
          <w:p w14:paraId="12D8B895"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0,96</w:t>
            </w:r>
          </w:p>
        </w:tc>
        <w:tc>
          <w:tcPr>
            <w:tcW w:w="992" w:type="dxa"/>
            <w:tcBorders>
              <w:top w:val="nil"/>
              <w:left w:val="nil"/>
              <w:bottom w:val="single" w:sz="8" w:space="0" w:color="auto"/>
              <w:right w:val="single" w:sz="8" w:space="0" w:color="auto"/>
            </w:tcBorders>
            <w:shd w:val="clear" w:color="auto" w:fill="auto"/>
            <w:hideMark/>
          </w:tcPr>
          <w:p w14:paraId="1F2DFA22"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41E1A133"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-0,04</w:t>
            </w:r>
          </w:p>
        </w:tc>
        <w:tc>
          <w:tcPr>
            <w:tcW w:w="992" w:type="dxa"/>
            <w:tcBorders>
              <w:top w:val="nil"/>
              <w:left w:val="nil"/>
              <w:bottom w:val="single" w:sz="8" w:space="0" w:color="auto"/>
              <w:right w:val="single" w:sz="8" w:space="0" w:color="auto"/>
            </w:tcBorders>
            <w:shd w:val="clear" w:color="auto" w:fill="auto"/>
            <w:noWrap/>
            <w:hideMark/>
          </w:tcPr>
          <w:p w14:paraId="07F1F9DF"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96,0%</w:t>
            </w:r>
          </w:p>
        </w:tc>
      </w:tr>
      <w:tr w:rsidR="0027547A" w:rsidRPr="00DD6A7A" w14:paraId="23328DC2" w14:textId="77777777" w:rsidTr="00DA758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7D0909DD"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Servicii poștale și servicii de distribuire a drepturilor sociale</w:t>
            </w:r>
          </w:p>
        </w:tc>
        <w:tc>
          <w:tcPr>
            <w:tcW w:w="850" w:type="dxa"/>
            <w:tcBorders>
              <w:top w:val="nil"/>
              <w:left w:val="nil"/>
              <w:bottom w:val="single" w:sz="8" w:space="0" w:color="000000"/>
              <w:right w:val="nil"/>
            </w:tcBorders>
            <w:shd w:val="clear" w:color="auto" w:fill="auto"/>
            <w:hideMark/>
          </w:tcPr>
          <w:p w14:paraId="5ECC5061"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2.4.0</w:t>
            </w:r>
          </w:p>
        </w:tc>
        <w:tc>
          <w:tcPr>
            <w:tcW w:w="993" w:type="dxa"/>
            <w:tcBorders>
              <w:top w:val="nil"/>
              <w:left w:val="single" w:sz="8" w:space="0" w:color="auto"/>
              <w:bottom w:val="single" w:sz="8" w:space="0" w:color="auto"/>
              <w:right w:val="single" w:sz="8" w:space="0" w:color="auto"/>
            </w:tcBorders>
            <w:shd w:val="clear" w:color="auto" w:fill="auto"/>
            <w:hideMark/>
          </w:tcPr>
          <w:p w14:paraId="5F34850F"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222980</w:t>
            </w:r>
          </w:p>
        </w:tc>
        <w:tc>
          <w:tcPr>
            <w:tcW w:w="1025" w:type="dxa"/>
            <w:tcBorders>
              <w:top w:val="nil"/>
              <w:left w:val="nil"/>
              <w:bottom w:val="single" w:sz="8" w:space="0" w:color="auto"/>
              <w:right w:val="single" w:sz="8" w:space="0" w:color="auto"/>
            </w:tcBorders>
            <w:shd w:val="clear" w:color="auto" w:fill="auto"/>
            <w:hideMark/>
          </w:tcPr>
          <w:p w14:paraId="7CE178E5"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143,00</w:t>
            </w:r>
          </w:p>
        </w:tc>
        <w:tc>
          <w:tcPr>
            <w:tcW w:w="1025" w:type="dxa"/>
            <w:tcBorders>
              <w:top w:val="nil"/>
              <w:left w:val="nil"/>
              <w:bottom w:val="single" w:sz="8" w:space="0" w:color="auto"/>
              <w:right w:val="single" w:sz="8" w:space="0" w:color="auto"/>
            </w:tcBorders>
            <w:shd w:val="clear" w:color="auto" w:fill="auto"/>
            <w:hideMark/>
          </w:tcPr>
          <w:p w14:paraId="70E7F155"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158,77</w:t>
            </w:r>
          </w:p>
        </w:tc>
        <w:tc>
          <w:tcPr>
            <w:tcW w:w="1237" w:type="dxa"/>
            <w:tcBorders>
              <w:top w:val="nil"/>
              <w:left w:val="nil"/>
              <w:bottom w:val="single" w:sz="8" w:space="0" w:color="auto"/>
              <w:right w:val="single" w:sz="8" w:space="0" w:color="auto"/>
            </w:tcBorders>
            <w:shd w:val="clear" w:color="auto" w:fill="auto"/>
            <w:hideMark/>
          </w:tcPr>
          <w:p w14:paraId="0D224BBC"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103,89</w:t>
            </w:r>
          </w:p>
        </w:tc>
        <w:tc>
          <w:tcPr>
            <w:tcW w:w="1134" w:type="dxa"/>
            <w:tcBorders>
              <w:top w:val="nil"/>
              <w:left w:val="nil"/>
              <w:bottom w:val="single" w:sz="8" w:space="0" w:color="auto"/>
              <w:right w:val="single" w:sz="8" w:space="0" w:color="auto"/>
            </w:tcBorders>
            <w:shd w:val="clear" w:color="auto" w:fill="auto"/>
            <w:hideMark/>
          </w:tcPr>
          <w:p w14:paraId="77C01687"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94,61</w:t>
            </w:r>
          </w:p>
        </w:tc>
        <w:tc>
          <w:tcPr>
            <w:tcW w:w="992" w:type="dxa"/>
            <w:tcBorders>
              <w:top w:val="nil"/>
              <w:left w:val="nil"/>
              <w:bottom w:val="single" w:sz="8" w:space="0" w:color="auto"/>
              <w:right w:val="single" w:sz="8" w:space="0" w:color="auto"/>
            </w:tcBorders>
            <w:shd w:val="clear" w:color="auto" w:fill="auto"/>
            <w:hideMark/>
          </w:tcPr>
          <w:p w14:paraId="1F2D31D4"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15,77</w:t>
            </w:r>
          </w:p>
        </w:tc>
        <w:tc>
          <w:tcPr>
            <w:tcW w:w="1134" w:type="dxa"/>
            <w:tcBorders>
              <w:top w:val="nil"/>
              <w:left w:val="nil"/>
              <w:bottom w:val="single" w:sz="8" w:space="0" w:color="auto"/>
              <w:right w:val="single" w:sz="8" w:space="0" w:color="auto"/>
            </w:tcBorders>
            <w:shd w:val="clear" w:color="auto" w:fill="auto"/>
            <w:hideMark/>
          </w:tcPr>
          <w:p w14:paraId="23DD645D"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-54,88</w:t>
            </w:r>
          </w:p>
        </w:tc>
        <w:tc>
          <w:tcPr>
            <w:tcW w:w="992" w:type="dxa"/>
            <w:tcBorders>
              <w:top w:val="nil"/>
              <w:left w:val="nil"/>
              <w:bottom w:val="single" w:sz="8" w:space="0" w:color="auto"/>
              <w:right w:val="single" w:sz="8" w:space="0" w:color="auto"/>
            </w:tcBorders>
            <w:shd w:val="clear" w:color="auto" w:fill="auto"/>
            <w:noWrap/>
            <w:hideMark/>
          </w:tcPr>
          <w:p w14:paraId="7F600F29"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65,4%</w:t>
            </w:r>
          </w:p>
        </w:tc>
      </w:tr>
      <w:tr w:rsidR="0027547A" w:rsidRPr="00DD6A7A" w14:paraId="5944F0F8"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65751AAC" w14:textId="092A195B" w:rsidR="0027547A" w:rsidRPr="00DD6A7A" w:rsidRDefault="0027547A" w:rsidP="00021528">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Servicii neatribuite altor alin</w:t>
            </w:r>
            <w:r w:rsidR="00021528">
              <w:rPr>
                <w:rFonts w:ascii="Times New Roman" w:eastAsia="Times New Roman" w:hAnsi="Times New Roman" w:cs="Times New Roman"/>
                <w:color w:val="000000"/>
                <w:sz w:val="18"/>
                <w:szCs w:val="18"/>
                <w:lang w:val="ro-RO"/>
              </w:rPr>
              <w:t>e</w:t>
            </w:r>
            <w:r w:rsidRPr="00DD6A7A">
              <w:rPr>
                <w:rFonts w:ascii="Times New Roman" w:eastAsia="Times New Roman" w:hAnsi="Times New Roman" w:cs="Times New Roman"/>
                <w:color w:val="000000"/>
                <w:sz w:val="18"/>
                <w:szCs w:val="18"/>
                <w:lang w:val="ro-RO"/>
              </w:rPr>
              <w:t>ate</w:t>
            </w:r>
          </w:p>
        </w:tc>
        <w:tc>
          <w:tcPr>
            <w:tcW w:w="850" w:type="dxa"/>
            <w:tcBorders>
              <w:top w:val="nil"/>
              <w:left w:val="nil"/>
              <w:bottom w:val="single" w:sz="8" w:space="0" w:color="000000"/>
              <w:right w:val="nil"/>
            </w:tcBorders>
            <w:shd w:val="clear" w:color="auto" w:fill="auto"/>
            <w:hideMark/>
          </w:tcPr>
          <w:p w14:paraId="588D3876"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2.4.0</w:t>
            </w:r>
          </w:p>
        </w:tc>
        <w:tc>
          <w:tcPr>
            <w:tcW w:w="993" w:type="dxa"/>
            <w:tcBorders>
              <w:top w:val="nil"/>
              <w:left w:val="single" w:sz="8" w:space="0" w:color="auto"/>
              <w:bottom w:val="single" w:sz="8" w:space="0" w:color="auto"/>
              <w:right w:val="single" w:sz="8" w:space="0" w:color="auto"/>
            </w:tcBorders>
            <w:shd w:val="clear" w:color="auto" w:fill="auto"/>
            <w:hideMark/>
          </w:tcPr>
          <w:p w14:paraId="3CBBE9FF"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222990</w:t>
            </w:r>
          </w:p>
        </w:tc>
        <w:tc>
          <w:tcPr>
            <w:tcW w:w="1025" w:type="dxa"/>
            <w:tcBorders>
              <w:top w:val="nil"/>
              <w:left w:val="nil"/>
              <w:bottom w:val="single" w:sz="8" w:space="0" w:color="auto"/>
              <w:right w:val="single" w:sz="8" w:space="0" w:color="auto"/>
            </w:tcBorders>
            <w:shd w:val="clear" w:color="auto" w:fill="auto"/>
            <w:hideMark/>
          </w:tcPr>
          <w:p w14:paraId="100CC165"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328,90</w:t>
            </w:r>
          </w:p>
        </w:tc>
        <w:tc>
          <w:tcPr>
            <w:tcW w:w="1025" w:type="dxa"/>
            <w:tcBorders>
              <w:top w:val="nil"/>
              <w:left w:val="nil"/>
              <w:bottom w:val="single" w:sz="8" w:space="0" w:color="auto"/>
              <w:right w:val="single" w:sz="8" w:space="0" w:color="auto"/>
            </w:tcBorders>
            <w:shd w:val="clear" w:color="auto" w:fill="auto"/>
            <w:hideMark/>
          </w:tcPr>
          <w:p w14:paraId="5463E66E"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338,90</w:t>
            </w:r>
          </w:p>
        </w:tc>
        <w:tc>
          <w:tcPr>
            <w:tcW w:w="1237" w:type="dxa"/>
            <w:tcBorders>
              <w:top w:val="nil"/>
              <w:left w:val="nil"/>
              <w:bottom w:val="single" w:sz="8" w:space="0" w:color="auto"/>
              <w:right w:val="single" w:sz="8" w:space="0" w:color="auto"/>
            </w:tcBorders>
            <w:shd w:val="clear" w:color="auto" w:fill="auto"/>
            <w:hideMark/>
          </w:tcPr>
          <w:p w14:paraId="178BE048"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204,68</w:t>
            </w:r>
          </w:p>
        </w:tc>
        <w:tc>
          <w:tcPr>
            <w:tcW w:w="1134" w:type="dxa"/>
            <w:tcBorders>
              <w:top w:val="nil"/>
              <w:left w:val="nil"/>
              <w:bottom w:val="single" w:sz="8" w:space="0" w:color="auto"/>
              <w:right w:val="single" w:sz="8" w:space="0" w:color="auto"/>
            </w:tcBorders>
            <w:shd w:val="clear" w:color="auto" w:fill="auto"/>
            <w:hideMark/>
          </w:tcPr>
          <w:p w14:paraId="6C27E738"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204,83</w:t>
            </w:r>
          </w:p>
        </w:tc>
        <w:tc>
          <w:tcPr>
            <w:tcW w:w="992" w:type="dxa"/>
            <w:tcBorders>
              <w:top w:val="nil"/>
              <w:left w:val="nil"/>
              <w:bottom w:val="single" w:sz="8" w:space="0" w:color="auto"/>
              <w:right w:val="single" w:sz="8" w:space="0" w:color="auto"/>
            </w:tcBorders>
            <w:shd w:val="clear" w:color="auto" w:fill="auto"/>
            <w:hideMark/>
          </w:tcPr>
          <w:p w14:paraId="51DE50F8"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10,00</w:t>
            </w:r>
          </w:p>
        </w:tc>
        <w:tc>
          <w:tcPr>
            <w:tcW w:w="1134" w:type="dxa"/>
            <w:tcBorders>
              <w:top w:val="nil"/>
              <w:left w:val="nil"/>
              <w:bottom w:val="single" w:sz="8" w:space="0" w:color="auto"/>
              <w:right w:val="single" w:sz="8" w:space="0" w:color="auto"/>
            </w:tcBorders>
            <w:shd w:val="clear" w:color="auto" w:fill="auto"/>
            <w:hideMark/>
          </w:tcPr>
          <w:p w14:paraId="58D51D39"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-134,22</w:t>
            </w:r>
          </w:p>
        </w:tc>
        <w:tc>
          <w:tcPr>
            <w:tcW w:w="992" w:type="dxa"/>
            <w:tcBorders>
              <w:top w:val="nil"/>
              <w:left w:val="nil"/>
              <w:bottom w:val="single" w:sz="8" w:space="0" w:color="auto"/>
              <w:right w:val="single" w:sz="8" w:space="0" w:color="auto"/>
            </w:tcBorders>
            <w:shd w:val="clear" w:color="auto" w:fill="auto"/>
            <w:noWrap/>
            <w:hideMark/>
          </w:tcPr>
          <w:p w14:paraId="02CEF977"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60,4%</w:t>
            </w:r>
          </w:p>
        </w:tc>
      </w:tr>
      <w:tr w:rsidR="0027547A" w:rsidRPr="00DD6A7A" w14:paraId="626AD7D1"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44DD306A"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 xml:space="preserve">Cheltuieli privind uzura MF </w:t>
            </w:r>
          </w:p>
        </w:tc>
        <w:tc>
          <w:tcPr>
            <w:tcW w:w="850" w:type="dxa"/>
            <w:tcBorders>
              <w:top w:val="nil"/>
              <w:left w:val="nil"/>
              <w:bottom w:val="single" w:sz="8" w:space="0" w:color="000000"/>
              <w:right w:val="nil"/>
            </w:tcBorders>
            <w:shd w:val="clear" w:color="auto" w:fill="auto"/>
            <w:hideMark/>
          </w:tcPr>
          <w:p w14:paraId="74972693"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2.5</w:t>
            </w:r>
          </w:p>
        </w:tc>
        <w:tc>
          <w:tcPr>
            <w:tcW w:w="993" w:type="dxa"/>
            <w:tcBorders>
              <w:top w:val="nil"/>
              <w:left w:val="single" w:sz="8" w:space="0" w:color="auto"/>
              <w:bottom w:val="single" w:sz="8" w:space="0" w:color="auto"/>
              <w:right w:val="single" w:sz="8" w:space="0" w:color="auto"/>
            </w:tcBorders>
            <w:shd w:val="clear" w:color="auto" w:fill="auto"/>
            <w:hideMark/>
          </w:tcPr>
          <w:p w14:paraId="65AFCDF6"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231</w:t>
            </w:r>
          </w:p>
        </w:tc>
        <w:tc>
          <w:tcPr>
            <w:tcW w:w="1025" w:type="dxa"/>
            <w:tcBorders>
              <w:top w:val="nil"/>
              <w:left w:val="nil"/>
              <w:bottom w:val="single" w:sz="8" w:space="0" w:color="auto"/>
              <w:right w:val="single" w:sz="8" w:space="0" w:color="auto"/>
            </w:tcBorders>
            <w:shd w:val="clear" w:color="auto" w:fill="auto"/>
            <w:hideMark/>
          </w:tcPr>
          <w:p w14:paraId="247D3A40"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73306198"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1237" w:type="dxa"/>
            <w:tcBorders>
              <w:top w:val="nil"/>
              <w:left w:val="nil"/>
              <w:bottom w:val="single" w:sz="8" w:space="0" w:color="auto"/>
              <w:right w:val="single" w:sz="8" w:space="0" w:color="auto"/>
            </w:tcBorders>
            <w:shd w:val="clear" w:color="auto" w:fill="auto"/>
            <w:hideMark/>
          </w:tcPr>
          <w:p w14:paraId="221CF4D7"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4BE98FE1"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2.354,46</w:t>
            </w:r>
          </w:p>
        </w:tc>
        <w:tc>
          <w:tcPr>
            <w:tcW w:w="992" w:type="dxa"/>
            <w:tcBorders>
              <w:top w:val="nil"/>
              <w:left w:val="nil"/>
              <w:bottom w:val="single" w:sz="8" w:space="0" w:color="auto"/>
              <w:right w:val="single" w:sz="8" w:space="0" w:color="auto"/>
            </w:tcBorders>
            <w:shd w:val="clear" w:color="auto" w:fill="auto"/>
            <w:hideMark/>
          </w:tcPr>
          <w:p w14:paraId="5A419848"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217BF16D"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tcPr>
          <w:p w14:paraId="2AE9B253" w14:textId="77777777" w:rsidR="0027547A" w:rsidRPr="00DD6A7A" w:rsidRDefault="00281115"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x</w:t>
            </w:r>
          </w:p>
        </w:tc>
      </w:tr>
      <w:tr w:rsidR="0027547A" w:rsidRPr="00DD6A7A" w14:paraId="6A0F61EC" w14:textId="77777777" w:rsidTr="00DA758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37E65993" w14:textId="2F1B60F9" w:rsidR="0027547A" w:rsidRPr="00DD6A7A" w:rsidRDefault="00281115" w:rsidP="00021528">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Cheltuieli</w:t>
            </w:r>
            <w:r w:rsidR="0027547A" w:rsidRPr="00DD6A7A">
              <w:rPr>
                <w:rFonts w:ascii="Times New Roman" w:eastAsia="Times New Roman" w:hAnsi="Times New Roman" w:cs="Times New Roman"/>
                <w:color w:val="000000"/>
                <w:sz w:val="18"/>
                <w:szCs w:val="18"/>
                <w:lang w:val="ro-RO"/>
              </w:rPr>
              <w:t xml:space="preserve"> privind uzura </w:t>
            </w:r>
            <w:r w:rsidRPr="00DD6A7A">
              <w:rPr>
                <w:rFonts w:ascii="Times New Roman" w:eastAsia="Times New Roman" w:hAnsi="Times New Roman" w:cs="Times New Roman"/>
                <w:color w:val="000000"/>
                <w:sz w:val="18"/>
                <w:szCs w:val="18"/>
                <w:lang w:val="ro-RO"/>
              </w:rPr>
              <w:t>mașinilor</w:t>
            </w:r>
            <w:r w:rsidR="0027547A" w:rsidRPr="00DD6A7A">
              <w:rPr>
                <w:rFonts w:ascii="Times New Roman" w:eastAsia="Times New Roman" w:hAnsi="Times New Roman" w:cs="Times New Roman"/>
                <w:color w:val="000000"/>
                <w:sz w:val="18"/>
                <w:szCs w:val="18"/>
                <w:lang w:val="ro-RO"/>
              </w:rPr>
              <w:t xml:space="preserve"> </w:t>
            </w:r>
            <w:r w:rsidR="00021528">
              <w:rPr>
                <w:rFonts w:ascii="Times New Roman" w:eastAsia="Times New Roman" w:hAnsi="Times New Roman" w:cs="Times New Roman"/>
                <w:color w:val="000000"/>
                <w:sz w:val="18"/>
                <w:szCs w:val="18"/>
                <w:lang w:val="ro-RO"/>
              </w:rPr>
              <w:t>ș</w:t>
            </w:r>
            <w:r w:rsidR="0027547A" w:rsidRPr="00DD6A7A">
              <w:rPr>
                <w:rFonts w:ascii="Times New Roman" w:eastAsia="Times New Roman" w:hAnsi="Times New Roman" w:cs="Times New Roman"/>
                <w:color w:val="000000"/>
                <w:sz w:val="18"/>
                <w:szCs w:val="18"/>
                <w:lang w:val="ro-RO"/>
              </w:rPr>
              <w:t>i utilajelor</w:t>
            </w:r>
          </w:p>
        </w:tc>
        <w:tc>
          <w:tcPr>
            <w:tcW w:w="850" w:type="dxa"/>
            <w:tcBorders>
              <w:top w:val="nil"/>
              <w:left w:val="nil"/>
              <w:bottom w:val="single" w:sz="8" w:space="0" w:color="000000"/>
              <w:right w:val="nil"/>
            </w:tcBorders>
            <w:shd w:val="clear" w:color="auto" w:fill="auto"/>
            <w:hideMark/>
          </w:tcPr>
          <w:p w14:paraId="1B071E6B"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2.5.0</w:t>
            </w:r>
          </w:p>
        </w:tc>
        <w:tc>
          <w:tcPr>
            <w:tcW w:w="993" w:type="dxa"/>
            <w:tcBorders>
              <w:top w:val="nil"/>
              <w:left w:val="single" w:sz="8" w:space="0" w:color="auto"/>
              <w:bottom w:val="single" w:sz="8" w:space="0" w:color="auto"/>
              <w:right w:val="single" w:sz="8" w:space="0" w:color="auto"/>
            </w:tcBorders>
            <w:shd w:val="clear" w:color="auto" w:fill="auto"/>
            <w:hideMark/>
          </w:tcPr>
          <w:p w14:paraId="7B26A35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231400</w:t>
            </w:r>
          </w:p>
        </w:tc>
        <w:tc>
          <w:tcPr>
            <w:tcW w:w="1025" w:type="dxa"/>
            <w:tcBorders>
              <w:top w:val="nil"/>
              <w:left w:val="nil"/>
              <w:bottom w:val="single" w:sz="8" w:space="0" w:color="auto"/>
              <w:right w:val="single" w:sz="8" w:space="0" w:color="auto"/>
            </w:tcBorders>
            <w:shd w:val="clear" w:color="auto" w:fill="auto"/>
            <w:hideMark/>
          </w:tcPr>
          <w:p w14:paraId="14546053"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04001A69"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237" w:type="dxa"/>
            <w:tcBorders>
              <w:top w:val="nil"/>
              <w:left w:val="nil"/>
              <w:bottom w:val="single" w:sz="8" w:space="0" w:color="auto"/>
              <w:right w:val="single" w:sz="8" w:space="0" w:color="auto"/>
            </w:tcBorders>
            <w:shd w:val="clear" w:color="auto" w:fill="auto"/>
            <w:hideMark/>
          </w:tcPr>
          <w:p w14:paraId="1301E1D9"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4A42020C"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956,84</w:t>
            </w:r>
          </w:p>
        </w:tc>
        <w:tc>
          <w:tcPr>
            <w:tcW w:w="992" w:type="dxa"/>
            <w:tcBorders>
              <w:top w:val="nil"/>
              <w:left w:val="nil"/>
              <w:bottom w:val="single" w:sz="8" w:space="0" w:color="auto"/>
              <w:right w:val="single" w:sz="8" w:space="0" w:color="auto"/>
            </w:tcBorders>
            <w:shd w:val="clear" w:color="auto" w:fill="auto"/>
            <w:hideMark/>
          </w:tcPr>
          <w:p w14:paraId="61555362"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216CCC51"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tcPr>
          <w:p w14:paraId="65E7009D" w14:textId="77777777" w:rsidR="0027547A" w:rsidRPr="00DD6A7A" w:rsidRDefault="00281115"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x</w:t>
            </w:r>
          </w:p>
        </w:tc>
      </w:tr>
      <w:tr w:rsidR="0027547A" w:rsidRPr="00DD6A7A" w14:paraId="4D7C7B03" w14:textId="77777777" w:rsidTr="00DA758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6B2C813C"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lastRenderedPageBreak/>
              <w:t>Cheltuieli privind uzura mijloacelor de transport</w:t>
            </w:r>
          </w:p>
        </w:tc>
        <w:tc>
          <w:tcPr>
            <w:tcW w:w="850" w:type="dxa"/>
            <w:tcBorders>
              <w:top w:val="nil"/>
              <w:left w:val="nil"/>
              <w:bottom w:val="single" w:sz="8" w:space="0" w:color="000000"/>
              <w:right w:val="nil"/>
            </w:tcBorders>
            <w:shd w:val="clear" w:color="auto" w:fill="auto"/>
            <w:hideMark/>
          </w:tcPr>
          <w:p w14:paraId="2566C738"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2.5.0</w:t>
            </w:r>
          </w:p>
        </w:tc>
        <w:tc>
          <w:tcPr>
            <w:tcW w:w="993" w:type="dxa"/>
            <w:tcBorders>
              <w:top w:val="nil"/>
              <w:left w:val="single" w:sz="8" w:space="0" w:color="auto"/>
              <w:bottom w:val="single" w:sz="8" w:space="0" w:color="auto"/>
              <w:right w:val="single" w:sz="8" w:space="0" w:color="auto"/>
            </w:tcBorders>
            <w:shd w:val="clear" w:color="auto" w:fill="auto"/>
            <w:hideMark/>
          </w:tcPr>
          <w:p w14:paraId="72F582E3"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231500</w:t>
            </w:r>
          </w:p>
        </w:tc>
        <w:tc>
          <w:tcPr>
            <w:tcW w:w="1025" w:type="dxa"/>
            <w:tcBorders>
              <w:top w:val="nil"/>
              <w:left w:val="nil"/>
              <w:bottom w:val="single" w:sz="8" w:space="0" w:color="auto"/>
              <w:right w:val="single" w:sz="8" w:space="0" w:color="auto"/>
            </w:tcBorders>
            <w:shd w:val="clear" w:color="auto" w:fill="auto"/>
            <w:hideMark/>
          </w:tcPr>
          <w:p w14:paraId="4FAB2C9C"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74DB371C"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237" w:type="dxa"/>
            <w:tcBorders>
              <w:top w:val="nil"/>
              <w:left w:val="nil"/>
              <w:bottom w:val="single" w:sz="8" w:space="0" w:color="auto"/>
              <w:right w:val="single" w:sz="8" w:space="0" w:color="auto"/>
            </w:tcBorders>
            <w:shd w:val="clear" w:color="auto" w:fill="auto"/>
            <w:hideMark/>
          </w:tcPr>
          <w:p w14:paraId="18DE103B"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1A216002"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608,30</w:t>
            </w:r>
          </w:p>
        </w:tc>
        <w:tc>
          <w:tcPr>
            <w:tcW w:w="992" w:type="dxa"/>
            <w:tcBorders>
              <w:top w:val="nil"/>
              <w:left w:val="nil"/>
              <w:bottom w:val="single" w:sz="8" w:space="0" w:color="auto"/>
              <w:right w:val="single" w:sz="8" w:space="0" w:color="auto"/>
            </w:tcBorders>
            <w:shd w:val="clear" w:color="auto" w:fill="auto"/>
            <w:hideMark/>
          </w:tcPr>
          <w:p w14:paraId="0D6CE587"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25AE1362"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tcPr>
          <w:p w14:paraId="222A57F1" w14:textId="77777777" w:rsidR="0027547A" w:rsidRPr="00DD6A7A" w:rsidRDefault="00281115"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x</w:t>
            </w:r>
          </w:p>
        </w:tc>
      </w:tr>
      <w:tr w:rsidR="0027547A" w:rsidRPr="00DD6A7A" w14:paraId="16C6CCF9" w14:textId="77777777" w:rsidTr="00DA7582">
        <w:trPr>
          <w:trHeight w:val="73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3B88005A" w14:textId="6A9C30AF" w:rsidR="0027547A" w:rsidRPr="00DD6A7A" w:rsidRDefault="0027547A" w:rsidP="00021528">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 xml:space="preserve">Cheltuieli privind uzura uneltelor </w:t>
            </w:r>
            <w:r w:rsidR="00021528">
              <w:rPr>
                <w:rFonts w:ascii="Times New Roman" w:eastAsia="Times New Roman" w:hAnsi="Times New Roman" w:cs="Times New Roman"/>
                <w:color w:val="000000"/>
                <w:sz w:val="18"/>
                <w:szCs w:val="18"/>
                <w:lang w:val="ro-RO"/>
              </w:rPr>
              <w:t>ș</w:t>
            </w:r>
            <w:r w:rsidRPr="00DD6A7A">
              <w:rPr>
                <w:rFonts w:ascii="Times New Roman" w:eastAsia="Times New Roman" w:hAnsi="Times New Roman" w:cs="Times New Roman"/>
                <w:color w:val="000000"/>
                <w:sz w:val="18"/>
                <w:szCs w:val="18"/>
                <w:lang w:val="ro-RO"/>
              </w:rPr>
              <w:t xml:space="preserve">i sculelor, inventarului de producere </w:t>
            </w:r>
            <w:r w:rsidR="00021528">
              <w:rPr>
                <w:rFonts w:ascii="Times New Roman" w:eastAsia="Times New Roman" w:hAnsi="Times New Roman" w:cs="Times New Roman"/>
                <w:color w:val="000000"/>
                <w:sz w:val="18"/>
                <w:szCs w:val="18"/>
                <w:lang w:val="ro-RO"/>
              </w:rPr>
              <w:t>ș</w:t>
            </w:r>
            <w:r w:rsidRPr="00DD6A7A">
              <w:rPr>
                <w:rFonts w:ascii="Times New Roman" w:eastAsia="Times New Roman" w:hAnsi="Times New Roman" w:cs="Times New Roman"/>
                <w:color w:val="000000"/>
                <w:sz w:val="18"/>
                <w:szCs w:val="18"/>
                <w:lang w:val="ro-RO"/>
              </w:rPr>
              <w:t>i gospod</w:t>
            </w:r>
            <w:r w:rsidR="00021528">
              <w:rPr>
                <w:rFonts w:ascii="Times New Roman" w:eastAsia="Times New Roman" w:hAnsi="Times New Roman" w:cs="Times New Roman"/>
                <w:color w:val="000000"/>
                <w:sz w:val="18"/>
                <w:szCs w:val="18"/>
                <w:lang w:val="ro-RO"/>
              </w:rPr>
              <w:t>ă</w:t>
            </w:r>
            <w:r w:rsidRPr="00DD6A7A">
              <w:rPr>
                <w:rFonts w:ascii="Times New Roman" w:eastAsia="Times New Roman" w:hAnsi="Times New Roman" w:cs="Times New Roman"/>
                <w:color w:val="000000"/>
                <w:sz w:val="18"/>
                <w:szCs w:val="18"/>
                <w:lang w:val="ro-RO"/>
              </w:rPr>
              <w:t>resc</w:t>
            </w:r>
          </w:p>
        </w:tc>
        <w:tc>
          <w:tcPr>
            <w:tcW w:w="850" w:type="dxa"/>
            <w:tcBorders>
              <w:top w:val="nil"/>
              <w:left w:val="nil"/>
              <w:bottom w:val="single" w:sz="8" w:space="0" w:color="000000"/>
              <w:right w:val="nil"/>
            </w:tcBorders>
            <w:shd w:val="clear" w:color="auto" w:fill="auto"/>
            <w:hideMark/>
          </w:tcPr>
          <w:p w14:paraId="6B824380"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2.5.0</w:t>
            </w:r>
          </w:p>
        </w:tc>
        <w:tc>
          <w:tcPr>
            <w:tcW w:w="993" w:type="dxa"/>
            <w:tcBorders>
              <w:top w:val="nil"/>
              <w:left w:val="single" w:sz="8" w:space="0" w:color="auto"/>
              <w:bottom w:val="single" w:sz="8" w:space="0" w:color="auto"/>
              <w:right w:val="single" w:sz="8" w:space="0" w:color="auto"/>
            </w:tcBorders>
            <w:shd w:val="clear" w:color="auto" w:fill="auto"/>
            <w:hideMark/>
          </w:tcPr>
          <w:p w14:paraId="7F647849"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231600</w:t>
            </w:r>
          </w:p>
        </w:tc>
        <w:tc>
          <w:tcPr>
            <w:tcW w:w="1025" w:type="dxa"/>
            <w:tcBorders>
              <w:top w:val="nil"/>
              <w:left w:val="nil"/>
              <w:bottom w:val="single" w:sz="8" w:space="0" w:color="auto"/>
              <w:right w:val="single" w:sz="8" w:space="0" w:color="auto"/>
            </w:tcBorders>
            <w:shd w:val="clear" w:color="auto" w:fill="auto"/>
            <w:hideMark/>
          </w:tcPr>
          <w:p w14:paraId="4C679336"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3C8760D9"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237" w:type="dxa"/>
            <w:tcBorders>
              <w:top w:val="nil"/>
              <w:left w:val="nil"/>
              <w:bottom w:val="single" w:sz="8" w:space="0" w:color="auto"/>
              <w:right w:val="single" w:sz="8" w:space="0" w:color="auto"/>
            </w:tcBorders>
            <w:shd w:val="clear" w:color="auto" w:fill="auto"/>
            <w:hideMark/>
          </w:tcPr>
          <w:p w14:paraId="309B43B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4F80B57E"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789,31</w:t>
            </w:r>
          </w:p>
        </w:tc>
        <w:tc>
          <w:tcPr>
            <w:tcW w:w="992" w:type="dxa"/>
            <w:tcBorders>
              <w:top w:val="nil"/>
              <w:left w:val="nil"/>
              <w:bottom w:val="single" w:sz="8" w:space="0" w:color="auto"/>
              <w:right w:val="single" w:sz="8" w:space="0" w:color="auto"/>
            </w:tcBorders>
            <w:shd w:val="clear" w:color="auto" w:fill="auto"/>
            <w:hideMark/>
          </w:tcPr>
          <w:p w14:paraId="17BF7499"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26E8D28C"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tcPr>
          <w:p w14:paraId="4CE20AD8" w14:textId="77777777" w:rsidR="0027547A" w:rsidRPr="00DD6A7A" w:rsidRDefault="00281115"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x</w:t>
            </w:r>
          </w:p>
        </w:tc>
      </w:tr>
      <w:tr w:rsidR="0027547A" w:rsidRPr="00DD6A7A" w14:paraId="152151DC"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63B23164"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Cheltuieli privind amortizarea AN</w:t>
            </w:r>
          </w:p>
        </w:tc>
        <w:tc>
          <w:tcPr>
            <w:tcW w:w="850" w:type="dxa"/>
            <w:tcBorders>
              <w:top w:val="nil"/>
              <w:left w:val="nil"/>
              <w:bottom w:val="single" w:sz="8" w:space="0" w:color="000000"/>
              <w:right w:val="nil"/>
            </w:tcBorders>
            <w:shd w:val="clear" w:color="auto" w:fill="auto"/>
            <w:hideMark/>
          </w:tcPr>
          <w:p w14:paraId="461DA75D"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2.6</w:t>
            </w:r>
          </w:p>
        </w:tc>
        <w:tc>
          <w:tcPr>
            <w:tcW w:w="993" w:type="dxa"/>
            <w:tcBorders>
              <w:top w:val="nil"/>
              <w:left w:val="single" w:sz="8" w:space="0" w:color="auto"/>
              <w:bottom w:val="single" w:sz="8" w:space="0" w:color="auto"/>
              <w:right w:val="single" w:sz="8" w:space="0" w:color="auto"/>
            </w:tcBorders>
            <w:shd w:val="clear" w:color="auto" w:fill="auto"/>
            <w:hideMark/>
          </w:tcPr>
          <w:p w14:paraId="7AAA730C"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232</w:t>
            </w:r>
          </w:p>
        </w:tc>
        <w:tc>
          <w:tcPr>
            <w:tcW w:w="1025" w:type="dxa"/>
            <w:tcBorders>
              <w:top w:val="nil"/>
              <w:left w:val="nil"/>
              <w:bottom w:val="single" w:sz="8" w:space="0" w:color="auto"/>
              <w:right w:val="single" w:sz="8" w:space="0" w:color="auto"/>
            </w:tcBorders>
            <w:shd w:val="clear" w:color="auto" w:fill="auto"/>
            <w:hideMark/>
          </w:tcPr>
          <w:p w14:paraId="780C9282"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155D8EDF"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1237" w:type="dxa"/>
            <w:tcBorders>
              <w:top w:val="nil"/>
              <w:left w:val="nil"/>
              <w:bottom w:val="single" w:sz="8" w:space="0" w:color="auto"/>
              <w:right w:val="single" w:sz="8" w:space="0" w:color="auto"/>
            </w:tcBorders>
            <w:shd w:val="clear" w:color="auto" w:fill="auto"/>
            <w:hideMark/>
          </w:tcPr>
          <w:p w14:paraId="413ECE6A"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21818456"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1.339,23</w:t>
            </w:r>
          </w:p>
        </w:tc>
        <w:tc>
          <w:tcPr>
            <w:tcW w:w="992" w:type="dxa"/>
            <w:tcBorders>
              <w:top w:val="nil"/>
              <w:left w:val="nil"/>
              <w:bottom w:val="single" w:sz="8" w:space="0" w:color="auto"/>
              <w:right w:val="single" w:sz="8" w:space="0" w:color="auto"/>
            </w:tcBorders>
            <w:shd w:val="clear" w:color="auto" w:fill="auto"/>
            <w:hideMark/>
          </w:tcPr>
          <w:p w14:paraId="00BEAA31"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2D93D033"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tcPr>
          <w:p w14:paraId="1AA7096D" w14:textId="77777777" w:rsidR="0027547A" w:rsidRPr="00DD6A7A" w:rsidRDefault="00281115"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x</w:t>
            </w:r>
          </w:p>
        </w:tc>
      </w:tr>
      <w:tr w:rsidR="0027547A" w:rsidRPr="00DD6A7A" w14:paraId="403B568E" w14:textId="77777777" w:rsidTr="00DA758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3A4E2A0B"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Cheltuieli privind amortizarea activelor nemateriale</w:t>
            </w:r>
          </w:p>
        </w:tc>
        <w:tc>
          <w:tcPr>
            <w:tcW w:w="850" w:type="dxa"/>
            <w:tcBorders>
              <w:top w:val="nil"/>
              <w:left w:val="nil"/>
              <w:bottom w:val="single" w:sz="8" w:space="0" w:color="000000"/>
              <w:right w:val="nil"/>
            </w:tcBorders>
            <w:shd w:val="clear" w:color="auto" w:fill="auto"/>
            <w:hideMark/>
          </w:tcPr>
          <w:p w14:paraId="63AFC445"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2.6.0</w:t>
            </w:r>
          </w:p>
        </w:tc>
        <w:tc>
          <w:tcPr>
            <w:tcW w:w="993" w:type="dxa"/>
            <w:tcBorders>
              <w:top w:val="nil"/>
              <w:left w:val="single" w:sz="8" w:space="0" w:color="auto"/>
              <w:bottom w:val="single" w:sz="8" w:space="0" w:color="auto"/>
              <w:right w:val="single" w:sz="8" w:space="0" w:color="auto"/>
            </w:tcBorders>
            <w:shd w:val="clear" w:color="auto" w:fill="auto"/>
            <w:hideMark/>
          </w:tcPr>
          <w:p w14:paraId="69096C2C"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232000</w:t>
            </w:r>
          </w:p>
        </w:tc>
        <w:tc>
          <w:tcPr>
            <w:tcW w:w="1025" w:type="dxa"/>
            <w:tcBorders>
              <w:top w:val="nil"/>
              <w:left w:val="nil"/>
              <w:bottom w:val="single" w:sz="8" w:space="0" w:color="auto"/>
              <w:right w:val="single" w:sz="8" w:space="0" w:color="auto"/>
            </w:tcBorders>
            <w:shd w:val="clear" w:color="auto" w:fill="auto"/>
            <w:hideMark/>
          </w:tcPr>
          <w:p w14:paraId="2987BD69"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577A2E6C"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237" w:type="dxa"/>
            <w:tcBorders>
              <w:top w:val="nil"/>
              <w:left w:val="nil"/>
              <w:bottom w:val="single" w:sz="8" w:space="0" w:color="auto"/>
              <w:right w:val="single" w:sz="8" w:space="0" w:color="auto"/>
            </w:tcBorders>
            <w:shd w:val="clear" w:color="auto" w:fill="auto"/>
            <w:hideMark/>
          </w:tcPr>
          <w:p w14:paraId="0553D7CE"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7C8AA2E5"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1.339,23</w:t>
            </w:r>
          </w:p>
        </w:tc>
        <w:tc>
          <w:tcPr>
            <w:tcW w:w="992" w:type="dxa"/>
            <w:tcBorders>
              <w:top w:val="nil"/>
              <w:left w:val="nil"/>
              <w:bottom w:val="single" w:sz="8" w:space="0" w:color="auto"/>
              <w:right w:val="single" w:sz="8" w:space="0" w:color="auto"/>
            </w:tcBorders>
            <w:shd w:val="clear" w:color="auto" w:fill="auto"/>
            <w:hideMark/>
          </w:tcPr>
          <w:p w14:paraId="6D9819B5"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7F1F31F5"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tcPr>
          <w:p w14:paraId="6ACC71EC" w14:textId="77777777" w:rsidR="0027547A" w:rsidRPr="00DD6A7A" w:rsidRDefault="00281115"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x</w:t>
            </w:r>
          </w:p>
        </w:tc>
      </w:tr>
      <w:tr w:rsidR="0027547A" w:rsidRPr="00DD6A7A" w14:paraId="42A35813"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3F746E1C"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Prestații de asistență socială</w:t>
            </w:r>
          </w:p>
        </w:tc>
        <w:tc>
          <w:tcPr>
            <w:tcW w:w="850" w:type="dxa"/>
            <w:tcBorders>
              <w:top w:val="nil"/>
              <w:left w:val="nil"/>
              <w:bottom w:val="single" w:sz="8" w:space="0" w:color="000000"/>
              <w:right w:val="nil"/>
            </w:tcBorders>
            <w:shd w:val="clear" w:color="auto" w:fill="auto"/>
            <w:hideMark/>
          </w:tcPr>
          <w:p w14:paraId="70B110EB"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2.18</w:t>
            </w:r>
          </w:p>
        </w:tc>
        <w:tc>
          <w:tcPr>
            <w:tcW w:w="993" w:type="dxa"/>
            <w:tcBorders>
              <w:top w:val="nil"/>
              <w:left w:val="single" w:sz="8" w:space="0" w:color="auto"/>
              <w:bottom w:val="single" w:sz="8" w:space="0" w:color="auto"/>
              <w:right w:val="single" w:sz="8" w:space="0" w:color="auto"/>
            </w:tcBorders>
            <w:shd w:val="clear" w:color="auto" w:fill="auto"/>
            <w:hideMark/>
          </w:tcPr>
          <w:p w14:paraId="53E30506"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272</w:t>
            </w:r>
          </w:p>
        </w:tc>
        <w:tc>
          <w:tcPr>
            <w:tcW w:w="1025" w:type="dxa"/>
            <w:tcBorders>
              <w:top w:val="nil"/>
              <w:left w:val="nil"/>
              <w:bottom w:val="single" w:sz="8" w:space="0" w:color="auto"/>
              <w:right w:val="single" w:sz="8" w:space="0" w:color="auto"/>
            </w:tcBorders>
            <w:shd w:val="clear" w:color="auto" w:fill="auto"/>
            <w:hideMark/>
          </w:tcPr>
          <w:p w14:paraId="4744A88C"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3002D5E2"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224,00</w:t>
            </w:r>
          </w:p>
        </w:tc>
        <w:tc>
          <w:tcPr>
            <w:tcW w:w="1237" w:type="dxa"/>
            <w:tcBorders>
              <w:top w:val="nil"/>
              <w:left w:val="nil"/>
              <w:bottom w:val="single" w:sz="8" w:space="0" w:color="auto"/>
              <w:right w:val="single" w:sz="8" w:space="0" w:color="auto"/>
            </w:tcBorders>
            <w:shd w:val="clear" w:color="auto" w:fill="auto"/>
            <w:hideMark/>
          </w:tcPr>
          <w:p w14:paraId="77D3FC77"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224,00</w:t>
            </w:r>
          </w:p>
        </w:tc>
        <w:tc>
          <w:tcPr>
            <w:tcW w:w="1134" w:type="dxa"/>
            <w:tcBorders>
              <w:top w:val="nil"/>
              <w:left w:val="nil"/>
              <w:bottom w:val="single" w:sz="8" w:space="0" w:color="auto"/>
              <w:right w:val="single" w:sz="8" w:space="0" w:color="auto"/>
            </w:tcBorders>
            <w:shd w:val="clear" w:color="auto" w:fill="auto"/>
            <w:hideMark/>
          </w:tcPr>
          <w:p w14:paraId="1A89585E"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224,00</w:t>
            </w:r>
          </w:p>
        </w:tc>
        <w:tc>
          <w:tcPr>
            <w:tcW w:w="992" w:type="dxa"/>
            <w:tcBorders>
              <w:top w:val="nil"/>
              <w:left w:val="nil"/>
              <w:bottom w:val="single" w:sz="8" w:space="0" w:color="auto"/>
              <w:right w:val="single" w:sz="8" w:space="0" w:color="auto"/>
            </w:tcBorders>
            <w:shd w:val="clear" w:color="auto" w:fill="auto"/>
            <w:hideMark/>
          </w:tcPr>
          <w:p w14:paraId="220FE0CC"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224,00</w:t>
            </w:r>
          </w:p>
        </w:tc>
        <w:tc>
          <w:tcPr>
            <w:tcW w:w="1134" w:type="dxa"/>
            <w:tcBorders>
              <w:top w:val="nil"/>
              <w:left w:val="nil"/>
              <w:bottom w:val="single" w:sz="8" w:space="0" w:color="auto"/>
              <w:right w:val="single" w:sz="8" w:space="0" w:color="auto"/>
            </w:tcBorders>
            <w:shd w:val="clear" w:color="auto" w:fill="auto"/>
            <w:hideMark/>
          </w:tcPr>
          <w:p w14:paraId="562FB2FF"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hideMark/>
          </w:tcPr>
          <w:p w14:paraId="7EF2C603"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100,0%</w:t>
            </w:r>
          </w:p>
        </w:tc>
      </w:tr>
      <w:tr w:rsidR="0027547A" w:rsidRPr="00DD6A7A" w14:paraId="43F40C71"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0F76BBD4" w14:textId="05049985" w:rsidR="0027547A" w:rsidRPr="00DD6A7A" w:rsidRDefault="0027547A" w:rsidP="00021528">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Ajutoare b</w:t>
            </w:r>
            <w:r w:rsidR="00021528">
              <w:rPr>
                <w:rFonts w:ascii="Times New Roman" w:eastAsia="Times New Roman" w:hAnsi="Times New Roman" w:cs="Times New Roman"/>
                <w:color w:val="000000"/>
                <w:sz w:val="18"/>
                <w:szCs w:val="18"/>
                <w:lang w:val="ro-RO"/>
              </w:rPr>
              <w:t>ă</w:t>
            </w:r>
            <w:r w:rsidRPr="00DD6A7A">
              <w:rPr>
                <w:rFonts w:ascii="Times New Roman" w:eastAsia="Times New Roman" w:hAnsi="Times New Roman" w:cs="Times New Roman"/>
                <w:color w:val="000000"/>
                <w:sz w:val="18"/>
                <w:szCs w:val="18"/>
                <w:lang w:val="ro-RO"/>
              </w:rPr>
              <w:t>neşti</w:t>
            </w:r>
          </w:p>
        </w:tc>
        <w:tc>
          <w:tcPr>
            <w:tcW w:w="850" w:type="dxa"/>
            <w:tcBorders>
              <w:top w:val="nil"/>
              <w:left w:val="nil"/>
              <w:bottom w:val="single" w:sz="8" w:space="0" w:color="000000"/>
              <w:right w:val="nil"/>
            </w:tcBorders>
            <w:shd w:val="clear" w:color="auto" w:fill="auto"/>
            <w:hideMark/>
          </w:tcPr>
          <w:p w14:paraId="59106F35"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2.18.0</w:t>
            </w:r>
          </w:p>
        </w:tc>
        <w:tc>
          <w:tcPr>
            <w:tcW w:w="993" w:type="dxa"/>
            <w:tcBorders>
              <w:top w:val="nil"/>
              <w:left w:val="single" w:sz="8" w:space="0" w:color="auto"/>
              <w:bottom w:val="single" w:sz="8" w:space="0" w:color="auto"/>
              <w:right w:val="single" w:sz="8" w:space="0" w:color="auto"/>
            </w:tcBorders>
            <w:shd w:val="clear" w:color="auto" w:fill="auto"/>
            <w:hideMark/>
          </w:tcPr>
          <w:p w14:paraId="6687311F"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272600</w:t>
            </w:r>
          </w:p>
        </w:tc>
        <w:tc>
          <w:tcPr>
            <w:tcW w:w="1025" w:type="dxa"/>
            <w:tcBorders>
              <w:top w:val="nil"/>
              <w:left w:val="nil"/>
              <w:bottom w:val="single" w:sz="8" w:space="0" w:color="auto"/>
              <w:right w:val="single" w:sz="8" w:space="0" w:color="auto"/>
            </w:tcBorders>
            <w:shd w:val="clear" w:color="auto" w:fill="auto"/>
            <w:hideMark/>
          </w:tcPr>
          <w:p w14:paraId="6B746F8A"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6CE7F5F2"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224,00</w:t>
            </w:r>
          </w:p>
        </w:tc>
        <w:tc>
          <w:tcPr>
            <w:tcW w:w="1237" w:type="dxa"/>
            <w:tcBorders>
              <w:top w:val="nil"/>
              <w:left w:val="nil"/>
              <w:bottom w:val="single" w:sz="8" w:space="0" w:color="auto"/>
              <w:right w:val="single" w:sz="8" w:space="0" w:color="auto"/>
            </w:tcBorders>
            <w:shd w:val="clear" w:color="auto" w:fill="auto"/>
            <w:hideMark/>
          </w:tcPr>
          <w:p w14:paraId="19D325A6"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224,00</w:t>
            </w:r>
          </w:p>
        </w:tc>
        <w:tc>
          <w:tcPr>
            <w:tcW w:w="1134" w:type="dxa"/>
            <w:tcBorders>
              <w:top w:val="nil"/>
              <w:left w:val="nil"/>
              <w:bottom w:val="single" w:sz="8" w:space="0" w:color="auto"/>
              <w:right w:val="single" w:sz="8" w:space="0" w:color="auto"/>
            </w:tcBorders>
            <w:shd w:val="clear" w:color="auto" w:fill="auto"/>
            <w:hideMark/>
          </w:tcPr>
          <w:p w14:paraId="545817F6"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224,00</w:t>
            </w:r>
          </w:p>
        </w:tc>
        <w:tc>
          <w:tcPr>
            <w:tcW w:w="992" w:type="dxa"/>
            <w:tcBorders>
              <w:top w:val="nil"/>
              <w:left w:val="nil"/>
              <w:bottom w:val="single" w:sz="8" w:space="0" w:color="auto"/>
              <w:right w:val="single" w:sz="8" w:space="0" w:color="auto"/>
            </w:tcBorders>
            <w:shd w:val="clear" w:color="auto" w:fill="auto"/>
            <w:hideMark/>
          </w:tcPr>
          <w:p w14:paraId="529C1D38"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224,00</w:t>
            </w:r>
          </w:p>
        </w:tc>
        <w:tc>
          <w:tcPr>
            <w:tcW w:w="1134" w:type="dxa"/>
            <w:tcBorders>
              <w:top w:val="nil"/>
              <w:left w:val="nil"/>
              <w:bottom w:val="single" w:sz="8" w:space="0" w:color="auto"/>
              <w:right w:val="single" w:sz="8" w:space="0" w:color="auto"/>
            </w:tcBorders>
            <w:shd w:val="clear" w:color="auto" w:fill="auto"/>
            <w:hideMark/>
          </w:tcPr>
          <w:p w14:paraId="4A19D9EA"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hideMark/>
          </w:tcPr>
          <w:p w14:paraId="5CC9C76A"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100,0%</w:t>
            </w:r>
          </w:p>
        </w:tc>
      </w:tr>
      <w:tr w:rsidR="0027547A" w:rsidRPr="00DD6A7A" w14:paraId="7B5F0DAC"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048E2A37"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Prestații sociale ale angajatorilor</w:t>
            </w:r>
          </w:p>
        </w:tc>
        <w:tc>
          <w:tcPr>
            <w:tcW w:w="850" w:type="dxa"/>
            <w:tcBorders>
              <w:top w:val="nil"/>
              <w:left w:val="nil"/>
              <w:bottom w:val="single" w:sz="8" w:space="0" w:color="000000"/>
              <w:right w:val="nil"/>
            </w:tcBorders>
            <w:shd w:val="clear" w:color="auto" w:fill="auto"/>
            <w:hideMark/>
          </w:tcPr>
          <w:p w14:paraId="5CF62751"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2.19</w:t>
            </w:r>
          </w:p>
        </w:tc>
        <w:tc>
          <w:tcPr>
            <w:tcW w:w="993" w:type="dxa"/>
            <w:tcBorders>
              <w:top w:val="nil"/>
              <w:left w:val="single" w:sz="8" w:space="0" w:color="auto"/>
              <w:bottom w:val="single" w:sz="8" w:space="0" w:color="auto"/>
              <w:right w:val="single" w:sz="8" w:space="0" w:color="auto"/>
            </w:tcBorders>
            <w:shd w:val="clear" w:color="auto" w:fill="auto"/>
            <w:hideMark/>
          </w:tcPr>
          <w:p w14:paraId="6A4F3620"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273</w:t>
            </w:r>
          </w:p>
        </w:tc>
        <w:tc>
          <w:tcPr>
            <w:tcW w:w="1025" w:type="dxa"/>
            <w:tcBorders>
              <w:top w:val="nil"/>
              <w:left w:val="nil"/>
              <w:bottom w:val="single" w:sz="8" w:space="0" w:color="auto"/>
              <w:right w:val="single" w:sz="8" w:space="0" w:color="auto"/>
            </w:tcBorders>
            <w:shd w:val="clear" w:color="auto" w:fill="auto"/>
            <w:hideMark/>
          </w:tcPr>
          <w:p w14:paraId="7BDC5272"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391,00</w:t>
            </w:r>
          </w:p>
        </w:tc>
        <w:tc>
          <w:tcPr>
            <w:tcW w:w="1025" w:type="dxa"/>
            <w:tcBorders>
              <w:top w:val="nil"/>
              <w:left w:val="nil"/>
              <w:bottom w:val="single" w:sz="8" w:space="0" w:color="auto"/>
              <w:right w:val="single" w:sz="8" w:space="0" w:color="auto"/>
            </w:tcBorders>
            <w:shd w:val="clear" w:color="auto" w:fill="auto"/>
            <w:hideMark/>
          </w:tcPr>
          <w:p w14:paraId="4E53E409"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457,00</w:t>
            </w:r>
          </w:p>
        </w:tc>
        <w:tc>
          <w:tcPr>
            <w:tcW w:w="1237" w:type="dxa"/>
            <w:tcBorders>
              <w:top w:val="nil"/>
              <w:left w:val="nil"/>
              <w:bottom w:val="single" w:sz="8" w:space="0" w:color="auto"/>
              <w:right w:val="single" w:sz="8" w:space="0" w:color="auto"/>
            </w:tcBorders>
            <w:shd w:val="clear" w:color="auto" w:fill="auto"/>
            <w:hideMark/>
          </w:tcPr>
          <w:p w14:paraId="03601A98"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290,57</w:t>
            </w:r>
          </w:p>
        </w:tc>
        <w:tc>
          <w:tcPr>
            <w:tcW w:w="1134" w:type="dxa"/>
            <w:tcBorders>
              <w:top w:val="nil"/>
              <w:left w:val="nil"/>
              <w:bottom w:val="single" w:sz="8" w:space="0" w:color="auto"/>
              <w:right w:val="single" w:sz="8" w:space="0" w:color="auto"/>
            </w:tcBorders>
            <w:shd w:val="clear" w:color="auto" w:fill="auto"/>
            <w:hideMark/>
          </w:tcPr>
          <w:p w14:paraId="18E8ED39"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305,18</w:t>
            </w:r>
          </w:p>
        </w:tc>
        <w:tc>
          <w:tcPr>
            <w:tcW w:w="992" w:type="dxa"/>
            <w:tcBorders>
              <w:top w:val="nil"/>
              <w:left w:val="nil"/>
              <w:bottom w:val="single" w:sz="8" w:space="0" w:color="auto"/>
              <w:right w:val="single" w:sz="8" w:space="0" w:color="auto"/>
            </w:tcBorders>
            <w:shd w:val="clear" w:color="auto" w:fill="auto"/>
            <w:hideMark/>
          </w:tcPr>
          <w:p w14:paraId="3AE1596E"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66,00</w:t>
            </w:r>
          </w:p>
        </w:tc>
        <w:tc>
          <w:tcPr>
            <w:tcW w:w="1134" w:type="dxa"/>
            <w:tcBorders>
              <w:top w:val="nil"/>
              <w:left w:val="nil"/>
              <w:bottom w:val="single" w:sz="8" w:space="0" w:color="auto"/>
              <w:right w:val="single" w:sz="8" w:space="0" w:color="auto"/>
            </w:tcBorders>
            <w:shd w:val="clear" w:color="auto" w:fill="auto"/>
            <w:hideMark/>
          </w:tcPr>
          <w:p w14:paraId="7230B3DD"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-166,43</w:t>
            </w:r>
          </w:p>
        </w:tc>
        <w:tc>
          <w:tcPr>
            <w:tcW w:w="992" w:type="dxa"/>
            <w:tcBorders>
              <w:top w:val="nil"/>
              <w:left w:val="nil"/>
              <w:bottom w:val="single" w:sz="8" w:space="0" w:color="auto"/>
              <w:right w:val="single" w:sz="8" w:space="0" w:color="auto"/>
            </w:tcBorders>
            <w:shd w:val="clear" w:color="auto" w:fill="auto"/>
            <w:noWrap/>
            <w:hideMark/>
          </w:tcPr>
          <w:p w14:paraId="51711C7F"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63,6%</w:t>
            </w:r>
          </w:p>
        </w:tc>
      </w:tr>
      <w:tr w:rsidR="0027547A" w:rsidRPr="00DD6A7A" w14:paraId="2F9C33C1" w14:textId="77777777" w:rsidTr="00DA758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089C8203"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Indemnizaţii la încetarea acţiunii contractului de muncă</w:t>
            </w:r>
          </w:p>
        </w:tc>
        <w:tc>
          <w:tcPr>
            <w:tcW w:w="850" w:type="dxa"/>
            <w:tcBorders>
              <w:top w:val="nil"/>
              <w:left w:val="nil"/>
              <w:bottom w:val="single" w:sz="8" w:space="0" w:color="000000"/>
              <w:right w:val="nil"/>
            </w:tcBorders>
            <w:shd w:val="clear" w:color="auto" w:fill="auto"/>
            <w:hideMark/>
          </w:tcPr>
          <w:p w14:paraId="773470BF"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2.19.0</w:t>
            </w:r>
          </w:p>
        </w:tc>
        <w:tc>
          <w:tcPr>
            <w:tcW w:w="993" w:type="dxa"/>
            <w:tcBorders>
              <w:top w:val="nil"/>
              <w:left w:val="single" w:sz="8" w:space="0" w:color="auto"/>
              <w:bottom w:val="single" w:sz="8" w:space="0" w:color="auto"/>
              <w:right w:val="single" w:sz="8" w:space="0" w:color="auto"/>
            </w:tcBorders>
            <w:shd w:val="clear" w:color="auto" w:fill="auto"/>
            <w:hideMark/>
          </w:tcPr>
          <w:p w14:paraId="31D6506A"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273200</w:t>
            </w:r>
          </w:p>
        </w:tc>
        <w:tc>
          <w:tcPr>
            <w:tcW w:w="1025" w:type="dxa"/>
            <w:tcBorders>
              <w:top w:val="nil"/>
              <w:left w:val="nil"/>
              <w:bottom w:val="single" w:sz="8" w:space="0" w:color="auto"/>
              <w:right w:val="single" w:sz="8" w:space="0" w:color="auto"/>
            </w:tcBorders>
            <w:shd w:val="clear" w:color="auto" w:fill="auto"/>
            <w:hideMark/>
          </w:tcPr>
          <w:p w14:paraId="05D7C442"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252,00</w:t>
            </w:r>
          </w:p>
        </w:tc>
        <w:tc>
          <w:tcPr>
            <w:tcW w:w="1025" w:type="dxa"/>
            <w:tcBorders>
              <w:top w:val="nil"/>
              <w:left w:val="nil"/>
              <w:bottom w:val="single" w:sz="8" w:space="0" w:color="auto"/>
              <w:right w:val="single" w:sz="8" w:space="0" w:color="auto"/>
            </w:tcBorders>
            <w:shd w:val="clear" w:color="auto" w:fill="auto"/>
            <w:hideMark/>
          </w:tcPr>
          <w:p w14:paraId="4190D1F9"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217,00</w:t>
            </w:r>
          </w:p>
        </w:tc>
        <w:tc>
          <w:tcPr>
            <w:tcW w:w="1237" w:type="dxa"/>
            <w:tcBorders>
              <w:top w:val="nil"/>
              <w:left w:val="nil"/>
              <w:bottom w:val="single" w:sz="8" w:space="0" w:color="auto"/>
              <w:right w:val="single" w:sz="8" w:space="0" w:color="auto"/>
            </w:tcBorders>
            <w:shd w:val="clear" w:color="auto" w:fill="auto"/>
            <w:hideMark/>
          </w:tcPr>
          <w:p w14:paraId="6BD4078F"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110,32</w:t>
            </w:r>
          </w:p>
        </w:tc>
        <w:tc>
          <w:tcPr>
            <w:tcW w:w="1134" w:type="dxa"/>
            <w:tcBorders>
              <w:top w:val="nil"/>
              <w:left w:val="nil"/>
              <w:bottom w:val="single" w:sz="8" w:space="0" w:color="auto"/>
              <w:right w:val="single" w:sz="8" w:space="0" w:color="auto"/>
            </w:tcBorders>
            <w:shd w:val="clear" w:color="auto" w:fill="auto"/>
            <w:hideMark/>
          </w:tcPr>
          <w:p w14:paraId="4032EB7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124,92</w:t>
            </w:r>
          </w:p>
        </w:tc>
        <w:tc>
          <w:tcPr>
            <w:tcW w:w="992" w:type="dxa"/>
            <w:tcBorders>
              <w:top w:val="nil"/>
              <w:left w:val="nil"/>
              <w:bottom w:val="single" w:sz="8" w:space="0" w:color="auto"/>
              <w:right w:val="single" w:sz="8" w:space="0" w:color="auto"/>
            </w:tcBorders>
            <w:shd w:val="clear" w:color="auto" w:fill="auto"/>
            <w:hideMark/>
          </w:tcPr>
          <w:p w14:paraId="7C7F1681"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-35,00</w:t>
            </w:r>
          </w:p>
        </w:tc>
        <w:tc>
          <w:tcPr>
            <w:tcW w:w="1134" w:type="dxa"/>
            <w:tcBorders>
              <w:top w:val="nil"/>
              <w:left w:val="nil"/>
              <w:bottom w:val="single" w:sz="8" w:space="0" w:color="auto"/>
              <w:right w:val="single" w:sz="8" w:space="0" w:color="auto"/>
            </w:tcBorders>
            <w:shd w:val="clear" w:color="auto" w:fill="auto"/>
            <w:hideMark/>
          </w:tcPr>
          <w:p w14:paraId="328F4581"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-106,68</w:t>
            </w:r>
          </w:p>
        </w:tc>
        <w:tc>
          <w:tcPr>
            <w:tcW w:w="992" w:type="dxa"/>
            <w:tcBorders>
              <w:top w:val="nil"/>
              <w:left w:val="nil"/>
              <w:bottom w:val="single" w:sz="8" w:space="0" w:color="auto"/>
              <w:right w:val="single" w:sz="8" w:space="0" w:color="auto"/>
            </w:tcBorders>
            <w:shd w:val="clear" w:color="auto" w:fill="auto"/>
            <w:noWrap/>
            <w:hideMark/>
          </w:tcPr>
          <w:p w14:paraId="3D6A3C68"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50,8%</w:t>
            </w:r>
          </w:p>
        </w:tc>
      </w:tr>
      <w:tr w:rsidR="0027547A" w:rsidRPr="00DD6A7A" w14:paraId="26C5CAFC" w14:textId="77777777" w:rsidTr="00DA7582">
        <w:trPr>
          <w:trHeight w:val="73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167A4204"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Indemnizații pentru incapacitatea temporară de muncă achitate din mijloacele financiare ale angajatorului</w:t>
            </w:r>
          </w:p>
        </w:tc>
        <w:tc>
          <w:tcPr>
            <w:tcW w:w="850" w:type="dxa"/>
            <w:tcBorders>
              <w:top w:val="nil"/>
              <w:left w:val="nil"/>
              <w:bottom w:val="single" w:sz="8" w:space="0" w:color="000000"/>
              <w:right w:val="nil"/>
            </w:tcBorders>
            <w:shd w:val="clear" w:color="auto" w:fill="auto"/>
            <w:hideMark/>
          </w:tcPr>
          <w:p w14:paraId="6B435131"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2.19.0</w:t>
            </w:r>
          </w:p>
        </w:tc>
        <w:tc>
          <w:tcPr>
            <w:tcW w:w="993" w:type="dxa"/>
            <w:tcBorders>
              <w:top w:val="nil"/>
              <w:left w:val="single" w:sz="8" w:space="0" w:color="auto"/>
              <w:bottom w:val="single" w:sz="8" w:space="0" w:color="auto"/>
              <w:right w:val="single" w:sz="8" w:space="0" w:color="auto"/>
            </w:tcBorders>
            <w:shd w:val="clear" w:color="auto" w:fill="auto"/>
            <w:hideMark/>
          </w:tcPr>
          <w:p w14:paraId="108EB86B"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273500</w:t>
            </w:r>
          </w:p>
        </w:tc>
        <w:tc>
          <w:tcPr>
            <w:tcW w:w="1025" w:type="dxa"/>
            <w:tcBorders>
              <w:top w:val="nil"/>
              <w:left w:val="nil"/>
              <w:bottom w:val="single" w:sz="8" w:space="0" w:color="auto"/>
              <w:right w:val="single" w:sz="8" w:space="0" w:color="auto"/>
            </w:tcBorders>
            <w:shd w:val="clear" w:color="auto" w:fill="auto"/>
            <w:hideMark/>
          </w:tcPr>
          <w:p w14:paraId="4E459ED6"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139,00</w:t>
            </w:r>
          </w:p>
        </w:tc>
        <w:tc>
          <w:tcPr>
            <w:tcW w:w="1025" w:type="dxa"/>
            <w:tcBorders>
              <w:top w:val="nil"/>
              <w:left w:val="nil"/>
              <w:bottom w:val="single" w:sz="8" w:space="0" w:color="auto"/>
              <w:right w:val="single" w:sz="8" w:space="0" w:color="auto"/>
            </w:tcBorders>
            <w:shd w:val="clear" w:color="auto" w:fill="auto"/>
            <w:hideMark/>
          </w:tcPr>
          <w:p w14:paraId="5FEB59E6"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159,00</w:t>
            </w:r>
          </w:p>
        </w:tc>
        <w:tc>
          <w:tcPr>
            <w:tcW w:w="1237" w:type="dxa"/>
            <w:tcBorders>
              <w:top w:val="nil"/>
              <w:left w:val="nil"/>
              <w:bottom w:val="single" w:sz="8" w:space="0" w:color="auto"/>
              <w:right w:val="single" w:sz="8" w:space="0" w:color="auto"/>
            </w:tcBorders>
            <w:shd w:val="clear" w:color="auto" w:fill="auto"/>
            <w:hideMark/>
          </w:tcPr>
          <w:p w14:paraId="62E4A472"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99,26</w:t>
            </w:r>
          </w:p>
        </w:tc>
        <w:tc>
          <w:tcPr>
            <w:tcW w:w="1134" w:type="dxa"/>
            <w:tcBorders>
              <w:top w:val="nil"/>
              <w:left w:val="nil"/>
              <w:bottom w:val="single" w:sz="8" w:space="0" w:color="auto"/>
              <w:right w:val="single" w:sz="8" w:space="0" w:color="auto"/>
            </w:tcBorders>
            <w:shd w:val="clear" w:color="auto" w:fill="auto"/>
            <w:hideMark/>
          </w:tcPr>
          <w:p w14:paraId="788585B9"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99,26</w:t>
            </w:r>
          </w:p>
        </w:tc>
        <w:tc>
          <w:tcPr>
            <w:tcW w:w="992" w:type="dxa"/>
            <w:tcBorders>
              <w:top w:val="nil"/>
              <w:left w:val="nil"/>
              <w:bottom w:val="single" w:sz="8" w:space="0" w:color="auto"/>
              <w:right w:val="single" w:sz="8" w:space="0" w:color="auto"/>
            </w:tcBorders>
            <w:shd w:val="clear" w:color="auto" w:fill="auto"/>
            <w:hideMark/>
          </w:tcPr>
          <w:p w14:paraId="35680205"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20,00</w:t>
            </w:r>
          </w:p>
        </w:tc>
        <w:tc>
          <w:tcPr>
            <w:tcW w:w="1134" w:type="dxa"/>
            <w:tcBorders>
              <w:top w:val="nil"/>
              <w:left w:val="nil"/>
              <w:bottom w:val="single" w:sz="8" w:space="0" w:color="auto"/>
              <w:right w:val="single" w:sz="8" w:space="0" w:color="auto"/>
            </w:tcBorders>
            <w:shd w:val="clear" w:color="auto" w:fill="auto"/>
            <w:hideMark/>
          </w:tcPr>
          <w:p w14:paraId="72223E60"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-59,74</w:t>
            </w:r>
          </w:p>
        </w:tc>
        <w:tc>
          <w:tcPr>
            <w:tcW w:w="992" w:type="dxa"/>
            <w:tcBorders>
              <w:top w:val="nil"/>
              <w:left w:val="nil"/>
              <w:bottom w:val="single" w:sz="8" w:space="0" w:color="auto"/>
              <w:right w:val="single" w:sz="8" w:space="0" w:color="auto"/>
            </w:tcBorders>
            <w:shd w:val="clear" w:color="auto" w:fill="auto"/>
            <w:noWrap/>
            <w:hideMark/>
          </w:tcPr>
          <w:p w14:paraId="26BFCA6F"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62,4%</w:t>
            </w:r>
          </w:p>
        </w:tc>
      </w:tr>
      <w:tr w:rsidR="0027547A" w:rsidRPr="00DD6A7A" w14:paraId="3E65DC5B"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0D08E40A" w14:textId="1C824508" w:rsidR="0027547A" w:rsidRPr="00DD6A7A" w:rsidRDefault="0027547A" w:rsidP="00021528">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Alte presta</w:t>
            </w:r>
            <w:r w:rsidR="00021528">
              <w:rPr>
                <w:rFonts w:ascii="Times New Roman" w:eastAsia="Times New Roman" w:hAnsi="Times New Roman" w:cs="Times New Roman"/>
                <w:color w:val="000000"/>
                <w:sz w:val="18"/>
                <w:szCs w:val="18"/>
                <w:lang w:val="ro-RO"/>
              </w:rPr>
              <w:t>ț</w:t>
            </w:r>
            <w:r w:rsidRPr="00DD6A7A">
              <w:rPr>
                <w:rFonts w:ascii="Times New Roman" w:eastAsia="Times New Roman" w:hAnsi="Times New Roman" w:cs="Times New Roman"/>
                <w:color w:val="000000"/>
                <w:sz w:val="18"/>
                <w:szCs w:val="18"/>
                <w:lang w:val="ro-RO"/>
              </w:rPr>
              <w:t>ii sociale ale angajatorilor</w:t>
            </w:r>
          </w:p>
        </w:tc>
        <w:tc>
          <w:tcPr>
            <w:tcW w:w="850" w:type="dxa"/>
            <w:tcBorders>
              <w:top w:val="nil"/>
              <w:left w:val="nil"/>
              <w:bottom w:val="single" w:sz="8" w:space="0" w:color="000000"/>
              <w:right w:val="nil"/>
            </w:tcBorders>
            <w:shd w:val="clear" w:color="auto" w:fill="auto"/>
            <w:hideMark/>
          </w:tcPr>
          <w:p w14:paraId="292119D8"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2.19.0</w:t>
            </w:r>
          </w:p>
        </w:tc>
        <w:tc>
          <w:tcPr>
            <w:tcW w:w="993" w:type="dxa"/>
            <w:tcBorders>
              <w:top w:val="nil"/>
              <w:left w:val="single" w:sz="8" w:space="0" w:color="auto"/>
              <w:bottom w:val="single" w:sz="8" w:space="0" w:color="auto"/>
              <w:right w:val="single" w:sz="8" w:space="0" w:color="auto"/>
            </w:tcBorders>
            <w:shd w:val="clear" w:color="auto" w:fill="auto"/>
            <w:hideMark/>
          </w:tcPr>
          <w:p w14:paraId="75E92E82"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273900</w:t>
            </w:r>
          </w:p>
        </w:tc>
        <w:tc>
          <w:tcPr>
            <w:tcW w:w="1025" w:type="dxa"/>
            <w:tcBorders>
              <w:top w:val="nil"/>
              <w:left w:val="nil"/>
              <w:bottom w:val="single" w:sz="8" w:space="0" w:color="auto"/>
              <w:right w:val="single" w:sz="8" w:space="0" w:color="auto"/>
            </w:tcBorders>
            <w:shd w:val="clear" w:color="auto" w:fill="auto"/>
            <w:hideMark/>
          </w:tcPr>
          <w:p w14:paraId="0DAA3687"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55FA91EA"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81,00</w:t>
            </w:r>
          </w:p>
        </w:tc>
        <w:tc>
          <w:tcPr>
            <w:tcW w:w="1237" w:type="dxa"/>
            <w:tcBorders>
              <w:top w:val="nil"/>
              <w:left w:val="nil"/>
              <w:bottom w:val="single" w:sz="8" w:space="0" w:color="auto"/>
              <w:right w:val="single" w:sz="8" w:space="0" w:color="auto"/>
            </w:tcBorders>
            <w:shd w:val="clear" w:color="auto" w:fill="auto"/>
            <w:hideMark/>
          </w:tcPr>
          <w:p w14:paraId="08BC92AE"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81,00</w:t>
            </w:r>
          </w:p>
        </w:tc>
        <w:tc>
          <w:tcPr>
            <w:tcW w:w="1134" w:type="dxa"/>
            <w:tcBorders>
              <w:top w:val="nil"/>
              <w:left w:val="nil"/>
              <w:bottom w:val="single" w:sz="8" w:space="0" w:color="auto"/>
              <w:right w:val="single" w:sz="8" w:space="0" w:color="auto"/>
            </w:tcBorders>
            <w:shd w:val="clear" w:color="auto" w:fill="auto"/>
            <w:hideMark/>
          </w:tcPr>
          <w:p w14:paraId="4553DA6D"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81,00</w:t>
            </w:r>
          </w:p>
        </w:tc>
        <w:tc>
          <w:tcPr>
            <w:tcW w:w="992" w:type="dxa"/>
            <w:tcBorders>
              <w:top w:val="nil"/>
              <w:left w:val="nil"/>
              <w:bottom w:val="single" w:sz="8" w:space="0" w:color="auto"/>
              <w:right w:val="single" w:sz="8" w:space="0" w:color="auto"/>
            </w:tcBorders>
            <w:shd w:val="clear" w:color="auto" w:fill="auto"/>
            <w:hideMark/>
          </w:tcPr>
          <w:p w14:paraId="3CEF70CC"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81,00</w:t>
            </w:r>
          </w:p>
        </w:tc>
        <w:tc>
          <w:tcPr>
            <w:tcW w:w="1134" w:type="dxa"/>
            <w:tcBorders>
              <w:top w:val="nil"/>
              <w:left w:val="nil"/>
              <w:bottom w:val="single" w:sz="8" w:space="0" w:color="auto"/>
              <w:right w:val="single" w:sz="8" w:space="0" w:color="auto"/>
            </w:tcBorders>
            <w:shd w:val="clear" w:color="auto" w:fill="auto"/>
            <w:hideMark/>
          </w:tcPr>
          <w:p w14:paraId="48C71CD9"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hideMark/>
          </w:tcPr>
          <w:p w14:paraId="19AA8966"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100,0%</w:t>
            </w:r>
          </w:p>
        </w:tc>
      </w:tr>
      <w:tr w:rsidR="0027547A" w:rsidRPr="00DD6A7A" w14:paraId="5A763C11"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64C361C7"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Alte cheltuieli curente</w:t>
            </w:r>
          </w:p>
        </w:tc>
        <w:tc>
          <w:tcPr>
            <w:tcW w:w="850" w:type="dxa"/>
            <w:tcBorders>
              <w:top w:val="nil"/>
              <w:left w:val="nil"/>
              <w:bottom w:val="single" w:sz="8" w:space="0" w:color="000000"/>
              <w:right w:val="nil"/>
            </w:tcBorders>
            <w:shd w:val="clear" w:color="auto" w:fill="auto"/>
            <w:hideMark/>
          </w:tcPr>
          <w:p w14:paraId="368AFD83"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2.20</w:t>
            </w:r>
          </w:p>
        </w:tc>
        <w:tc>
          <w:tcPr>
            <w:tcW w:w="993" w:type="dxa"/>
            <w:tcBorders>
              <w:top w:val="nil"/>
              <w:left w:val="single" w:sz="8" w:space="0" w:color="auto"/>
              <w:bottom w:val="single" w:sz="8" w:space="0" w:color="auto"/>
              <w:right w:val="single" w:sz="8" w:space="0" w:color="auto"/>
            </w:tcBorders>
            <w:shd w:val="clear" w:color="auto" w:fill="auto"/>
            <w:hideMark/>
          </w:tcPr>
          <w:p w14:paraId="0D2C6BDA"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281</w:t>
            </w:r>
          </w:p>
        </w:tc>
        <w:tc>
          <w:tcPr>
            <w:tcW w:w="1025" w:type="dxa"/>
            <w:tcBorders>
              <w:top w:val="nil"/>
              <w:left w:val="nil"/>
              <w:bottom w:val="single" w:sz="8" w:space="0" w:color="auto"/>
              <w:right w:val="single" w:sz="8" w:space="0" w:color="auto"/>
            </w:tcBorders>
            <w:shd w:val="clear" w:color="auto" w:fill="auto"/>
            <w:hideMark/>
          </w:tcPr>
          <w:p w14:paraId="7C3234D3"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2D21906B"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6,10</w:t>
            </w:r>
          </w:p>
        </w:tc>
        <w:tc>
          <w:tcPr>
            <w:tcW w:w="1237" w:type="dxa"/>
            <w:tcBorders>
              <w:top w:val="nil"/>
              <w:left w:val="nil"/>
              <w:bottom w:val="single" w:sz="8" w:space="0" w:color="auto"/>
              <w:right w:val="single" w:sz="8" w:space="0" w:color="auto"/>
            </w:tcBorders>
            <w:shd w:val="clear" w:color="auto" w:fill="auto"/>
            <w:hideMark/>
          </w:tcPr>
          <w:p w14:paraId="7BAE25D2"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6,10</w:t>
            </w:r>
          </w:p>
        </w:tc>
        <w:tc>
          <w:tcPr>
            <w:tcW w:w="1134" w:type="dxa"/>
            <w:tcBorders>
              <w:top w:val="nil"/>
              <w:left w:val="nil"/>
              <w:bottom w:val="single" w:sz="8" w:space="0" w:color="auto"/>
              <w:right w:val="single" w:sz="8" w:space="0" w:color="auto"/>
            </w:tcBorders>
            <w:shd w:val="clear" w:color="auto" w:fill="auto"/>
            <w:hideMark/>
          </w:tcPr>
          <w:p w14:paraId="62EDD808"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6,10</w:t>
            </w:r>
          </w:p>
        </w:tc>
        <w:tc>
          <w:tcPr>
            <w:tcW w:w="992" w:type="dxa"/>
            <w:tcBorders>
              <w:top w:val="nil"/>
              <w:left w:val="nil"/>
              <w:bottom w:val="single" w:sz="8" w:space="0" w:color="auto"/>
              <w:right w:val="single" w:sz="8" w:space="0" w:color="auto"/>
            </w:tcBorders>
            <w:shd w:val="clear" w:color="auto" w:fill="auto"/>
            <w:hideMark/>
          </w:tcPr>
          <w:p w14:paraId="598596BA"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6,10</w:t>
            </w:r>
          </w:p>
        </w:tc>
        <w:tc>
          <w:tcPr>
            <w:tcW w:w="1134" w:type="dxa"/>
            <w:tcBorders>
              <w:top w:val="nil"/>
              <w:left w:val="nil"/>
              <w:bottom w:val="single" w:sz="8" w:space="0" w:color="auto"/>
              <w:right w:val="single" w:sz="8" w:space="0" w:color="auto"/>
            </w:tcBorders>
            <w:shd w:val="clear" w:color="auto" w:fill="auto"/>
            <w:hideMark/>
          </w:tcPr>
          <w:p w14:paraId="74F44604"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hideMark/>
          </w:tcPr>
          <w:p w14:paraId="5A2F0F99"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100,0%</w:t>
            </w:r>
          </w:p>
        </w:tc>
      </w:tr>
      <w:tr w:rsidR="0027547A" w:rsidRPr="00DD6A7A" w14:paraId="1277C619" w14:textId="77777777" w:rsidTr="00DA758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04EB5011"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Plați aferente documentelor executorii cu executare benevola</w:t>
            </w:r>
          </w:p>
        </w:tc>
        <w:tc>
          <w:tcPr>
            <w:tcW w:w="850" w:type="dxa"/>
            <w:tcBorders>
              <w:top w:val="nil"/>
              <w:left w:val="nil"/>
              <w:bottom w:val="single" w:sz="8" w:space="0" w:color="000000"/>
              <w:right w:val="nil"/>
            </w:tcBorders>
            <w:shd w:val="clear" w:color="auto" w:fill="auto"/>
            <w:hideMark/>
          </w:tcPr>
          <w:p w14:paraId="526B4144"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2.20.0</w:t>
            </w:r>
          </w:p>
        </w:tc>
        <w:tc>
          <w:tcPr>
            <w:tcW w:w="993" w:type="dxa"/>
            <w:tcBorders>
              <w:top w:val="nil"/>
              <w:left w:val="single" w:sz="8" w:space="0" w:color="auto"/>
              <w:bottom w:val="single" w:sz="8" w:space="0" w:color="auto"/>
              <w:right w:val="single" w:sz="8" w:space="0" w:color="auto"/>
            </w:tcBorders>
            <w:shd w:val="clear" w:color="auto" w:fill="auto"/>
            <w:hideMark/>
          </w:tcPr>
          <w:p w14:paraId="77B3A42B"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281361</w:t>
            </w:r>
          </w:p>
        </w:tc>
        <w:tc>
          <w:tcPr>
            <w:tcW w:w="1025" w:type="dxa"/>
            <w:tcBorders>
              <w:top w:val="nil"/>
              <w:left w:val="nil"/>
              <w:bottom w:val="single" w:sz="8" w:space="0" w:color="auto"/>
              <w:right w:val="single" w:sz="8" w:space="0" w:color="auto"/>
            </w:tcBorders>
            <w:shd w:val="clear" w:color="auto" w:fill="auto"/>
            <w:hideMark/>
          </w:tcPr>
          <w:p w14:paraId="41ADF6FD"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49E91B0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6,10</w:t>
            </w:r>
          </w:p>
        </w:tc>
        <w:tc>
          <w:tcPr>
            <w:tcW w:w="1237" w:type="dxa"/>
            <w:tcBorders>
              <w:top w:val="nil"/>
              <w:left w:val="nil"/>
              <w:bottom w:val="single" w:sz="8" w:space="0" w:color="auto"/>
              <w:right w:val="single" w:sz="8" w:space="0" w:color="auto"/>
            </w:tcBorders>
            <w:shd w:val="clear" w:color="auto" w:fill="auto"/>
            <w:hideMark/>
          </w:tcPr>
          <w:p w14:paraId="0EBDE01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6,10</w:t>
            </w:r>
          </w:p>
        </w:tc>
        <w:tc>
          <w:tcPr>
            <w:tcW w:w="1134" w:type="dxa"/>
            <w:tcBorders>
              <w:top w:val="nil"/>
              <w:left w:val="nil"/>
              <w:bottom w:val="single" w:sz="8" w:space="0" w:color="auto"/>
              <w:right w:val="single" w:sz="8" w:space="0" w:color="auto"/>
            </w:tcBorders>
            <w:shd w:val="clear" w:color="auto" w:fill="auto"/>
            <w:hideMark/>
          </w:tcPr>
          <w:p w14:paraId="25499277"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6,10</w:t>
            </w:r>
          </w:p>
        </w:tc>
        <w:tc>
          <w:tcPr>
            <w:tcW w:w="992" w:type="dxa"/>
            <w:tcBorders>
              <w:top w:val="nil"/>
              <w:left w:val="nil"/>
              <w:bottom w:val="single" w:sz="8" w:space="0" w:color="auto"/>
              <w:right w:val="single" w:sz="8" w:space="0" w:color="auto"/>
            </w:tcBorders>
            <w:shd w:val="clear" w:color="auto" w:fill="auto"/>
            <w:hideMark/>
          </w:tcPr>
          <w:p w14:paraId="1284B21B"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6,10</w:t>
            </w:r>
          </w:p>
        </w:tc>
        <w:tc>
          <w:tcPr>
            <w:tcW w:w="1134" w:type="dxa"/>
            <w:tcBorders>
              <w:top w:val="nil"/>
              <w:left w:val="nil"/>
              <w:bottom w:val="single" w:sz="8" w:space="0" w:color="auto"/>
              <w:right w:val="single" w:sz="8" w:space="0" w:color="auto"/>
            </w:tcBorders>
            <w:shd w:val="clear" w:color="auto" w:fill="auto"/>
            <w:hideMark/>
          </w:tcPr>
          <w:p w14:paraId="07B1653E"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hideMark/>
          </w:tcPr>
          <w:p w14:paraId="3B85AE2D"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100,0%</w:t>
            </w:r>
          </w:p>
        </w:tc>
      </w:tr>
      <w:tr w:rsidR="0027547A" w:rsidRPr="00DD6A7A" w14:paraId="612FD1BA"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17F76714"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 </w:t>
            </w:r>
          </w:p>
        </w:tc>
        <w:tc>
          <w:tcPr>
            <w:tcW w:w="850" w:type="dxa"/>
            <w:tcBorders>
              <w:top w:val="nil"/>
              <w:left w:val="nil"/>
              <w:bottom w:val="single" w:sz="8" w:space="0" w:color="000000"/>
              <w:right w:val="nil"/>
            </w:tcBorders>
            <w:shd w:val="clear" w:color="auto" w:fill="auto"/>
            <w:hideMark/>
          </w:tcPr>
          <w:p w14:paraId="093A3460"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 </w:t>
            </w:r>
          </w:p>
        </w:tc>
        <w:tc>
          <w:tcPr>
            <w:tcW w:w="993" w:type="dxa"/>
            <w:tcBorders>
              <w:top w:val="nil"/>
              <w:left w:val="single" w:sz="8" w:space="0" w:color="auto"/>
              <w:bottom w:val="single" w:sz="8" w:space="0" w:color="auto"/>
              <w:right w:val="single" w:sz="8" w:space="0" w:color="auto"/>
            </w:tcBorders>
            <w:shd w:val="clear" w:color="auto" w:fill="auto"/>
            <w:hideMark/>
          </w:tcPr>
          <w:p w14:paraId="18F7ECA4"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 </w:t>
            </w:r>
          </w:p>
        </w:tc>
        <w:tc>
          <w:tcPr>
            <w:tcW w:w="1025" w:type="dxa"/>
            <w:tcBorders>
              <w:top w:val="nil"/>
              <w:left w:val="nil"/>
              <w:bottom w:val="single" w:sz="8" w:space="0" w:color="auto"/>
              <w:right w:val="single" w:sz="8" w:space="0" w:color="auto"/>
            </w:tcBorders>
            <w:shd w:val="clear" w:color="auto" w:fill="auto"/>
            <w:hideMark/>
          </w:tcPr>
          <w:p w14:paraId="7A3E1808"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3B2CDD8C"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237" w:type="dxa"/>
            <w:tcBorders>
              <w:top w:val="nil"/>
              <w:left w:val="nil"/>
              <w:bottom w:val="single" w:sz="8" w:space="0" w:color="auto"/>
              <w:right w:val="single" w:sz="8" w:space="0" w:color="auto"/>
            </w:tcBorders>
            <w:shd w:val="clear" w:color="auto" w:fill="auto"/>
            <w:hideMark/>
          </w:tcPr>
          <w:p w14:paraId="433C1A67"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73CDB363"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3567D23B"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6AF8DF3F"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tcPr>
          <w:p w14:paraId="68996E78" w14:textId="77777777" w:rsidR="0027547A" w:rsidRPr="00DD6A7A" w:rsidRDefault="00281115"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x</w:t>
            </w:r>
          </w:p>
        </w:tc>
      </w:tr>
      <w:tr w:rsidR="0027547A" w:rsidRPr="00DD6A7A" w14:paraId="0CDF9817"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028DA823"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 </w:t>
            </w:r>
          </w:p>
        </w:tc>
        <w:tc>
          <w:tcPr>
            <w:tcW w:w="850" w:type="dxa"/>
            <w:tcBorders>
              <w:top w:val="nil"/>
              <w:left w:val="nil"/>
              <w:bottom w:val="single" w:sz="8" w:space="0" w:color="000000"/>
              <w:right w:val="nil"/>
            </w:tcBorders>
            <w:shd w:val="clear" w:color="auto" w:fill="auto"/>
            <w:hideMark/>
          </w:tcPr>
          <w:p w14:paraId="0F77F8D8"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 </w:t>
            </w:r>
          </w:p>
        </w:tc>
        <w:tc>
          <w:tcPr>
            <w:tcW w:w="993" w:type="dxa"/>
            <w:tcBorders>
              <w:top w:val="nil"/>
              <w:left w:val="single" w:sz="8" w:space="0" w:color="auto"/>
              <w:bottom w:val="single" w:sz="8" w:space="0" w:color="auto"/>
              <w:right w:val="single" w:sz="8" w:space="0" w:color="auto"/>
            </w:tcBorders>
            <w:shd w:val="clear" w:color="auto" w:fill="auto"/>
            <w:hideMark/>
          </w:tcPr>
          <w:p w14:paraId="08923DCE"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 </w:t>
            </w:r>
          </w:p>
        </w:tc>
        <w:tc>
          <w:tcPr>
            <w:tcW w:w="1025" w:type="dxa"/>
            <w:tcBorders>
              <w:top w:val="nil"/>
              <w:left w:val="nil"/>
              <w:bottom w:val="single" w:sz="8" w:space="0" w:color="auto"/>
              <w:right w:val="single" w:sz="8" w:space="0" w:color="auto"/>
            </w:tcBorders>
            <w:shd w:val="clear" w:color="auto" w:fill="auto"/>
            <w:hideMark/>
          </w:tcPr>
          <w:p w14:paraId="6D59CF5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29733B35"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237" w:type="dxa"/>
            <w:tcBorders>
              <w:top w:val="nil"/>
              <w:left w:val="nil"/>
              <w:bottom w:val="single" w:sz="8" w:space="0" w:color="auto"/>
              <w:right w:val="single" w:sz="8" w:space="0" w:color="auto"/>
            </w:tcBorders>
            <w:shd w:val="clear" w:color="auto" w:fill="auto"/>
            <w:hideMark/>
          </w:tcPr>
          <w:p w14:paraId="44B31F9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26CEEA2C"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6AFA746C"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2551364B"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tcPr>
          <w:p w14:paraId="379C93D1" w14:textId="77777777" w:rsidR="0027547A" w:rsidRPr="00DD6A7A" w:rsidRDefault="00281115"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x</w:t>
            </w:r>
          </w:p>
        </w:tc>
      </w:tr>
      <w:tr w:rsidR="0027547A" w:rsidRPr="00DD6A7A" w14:paraId="3CCB76FD"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78DA51B1"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Alte cheltuieli</w:t>
            </w:r>
          </w:p>
        </w:tc>
        <w:tc>
          <w:tcPr>
            <w:tcW w:w="850" w:type="dxa"/>
            <w:tcBorders>
              <w:top w:val="nil"/>
              <w:left w:val="nil"/>
              <w:bottom w:val="single" w:sz="8" w:space="0" w:color="000000"/>
              <w:right w:val="nil"/>
            </w:tcBorders>
            <w:shd w:val="clear" w:color="auto" w:fill="auto"/>
            <w:hideMark/>
          </w:tcPr>
          <w:p w14:paraId="6A7CDB00"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2.22</w:t>
            </w:r>
          </w:p>
        </w:tc>
        <w:tc>
          <w:tcPr>
            <w:tcW w:w="993" w:type="dxa"/>
            <w:tcBorders>
              <w:top w:val="nil"/>
              <w:left w:val="single" w:sz="8" w:space="0" w:color="auto"/>
              <w:bottom w:val="single" w:sz="8" w:space="0" w:color="auto"/>
              <w:right w:val="single" w:sz="8" w:space="0" w:color="auto"/>
            </w:tcBorders>
            <w:shd w:val="clear" w:color="auto" w:fill="auto"/>
            <w:hideMark/>
          </w:tcPr>
          <w:p w14:paraId="52EA77D3"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289</w:t>
            </w:r>
          </w:p>
        </w:tc>
        <w:tc>
          <w:tcPr>
            <w:tcW w:w="1025" w:type="dxa"/>
            <w:tcBorders>
              <w:top w:val="nil"/>
              <w:left w:val="nil"/>
              <w:bottom w:val="single" w:sz="8" w:space="0" w:color="auto"/>
              <w:right w:val="single" w:sz="8" w:space="0" w:color="auto"/>
            </w:tcBorders>
            <w:shd w:val="clear" w:color="auto" w:fill="auto"/>
            <w:hideMark/>
          </w:tcPr>
          <w:p w14:paraId="0803B7EA"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11B352D1"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1237" w:type="dxa"/>
            <w:tcBorders>
              <w:top w:val="nil"/>
              <w:left w:val="nil"/>
              <w:bottom w:val="single" w:sz="8" w:space="0" w:color="auto"/>
              <w:right w:val="single" w:sz="8" w:space="0" w:color="auto"/>
            </w:tcBorders>
            <w:shd w:val="clear" w:color="auto" w:fill="auto"/>
            <w:hideMark/>
          </w:tcPr>
          <w:p w14:paraId="277CE85B"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7DEAA905"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12,02</w:t>
            </w:r>
          </w:p>
        </w:tc>
        <w:tc>
          <w:tcPr>
            <w:tcW w:w="992" w:type="dxa"/>
            <w:tcBorders>
              <w:top w:val="nil"/>
              <w:left w:val="nil"/>
              <w:bottom w:val="single" w:sz="8" w:space="0" w:color="auto"/>
              <w:right w:val="single" w:sz="8" w:space="0" w:color="auto"/>
            </w:tcBorders>
            <w:shd w:val="clear" w:color="auto" w:fill="auto"/>
            <w:hideMark/>
          </w:tcPr>
          <w:p w14:paraId="2E632D56"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2DCF1449"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tcPr>
          <w:p w14:paraId="7C49F867" w14:textId="77777777" w:rsidR="0027547A" w:rsidRPr="00DD6A7A" w:rsidRDefault="00281115"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x</w:t>
            </w:r>
          </w:p>
        </w:tc>
      </w:tr>
      <w:tr w:rsidR="0027547A" w:rsidRPr="00DD6A7A" w14:paraId="3C2F0BA5"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64A08D38" w14:textId="77777777" w:rsidR="0027547A" w:rsidRPr="00DD6A7A" w:rsidRDefault="0027547A" w:rsidP="00C43819">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Cheltuieli privind ieşirea activelor</w:t>
            </w:r>
          </w:p>
        </w:tc>
        <w:tc>
          <w:tcPr>
            <w:tcW w:w="850" w:type="dxa"/>
            <w:tcBorders>
              <w:top w:val="nil"/>
              <w:left w:val="nil"/>
              <w:bottom w:val="single" w:sz="8" w:space="0" w:color="000000"/>
              <w:right w:val="nil"/>
            </w:tcBorders>
            <w:shd w:val="clear" w:color="auto" w:fill="auto"/>
            <w:hideMark/>
          </w:tcPr>
          <w:p w14:paraId="7E5677DB" w14:textId="77777777" w:rsidR="0027547A" w:rsidRPr="00DD6A7A" w:rsidRDefault="0027547A" w:rsidP="00C43819">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2.22.0</w:t>
            </w:r>
          </w:p>
        </w:tc>
        <w:tc>
          <w:tcPr>
            <w:tcW w:w="993" w:type="dxa"/>
            <w:tcBorders>
              <w:top w:val="nil"/>
              <w:left w:val="single" w:sz="8" w:space="0" w:color="auto"/>
              <w:bottom w:val="single" w:sz="8" w:space="0" w:color="auto"/>
              <w:right w:val="single" w:sz="8" w:space="0" w:color="auto"/>
            </w:tcBorders>
            <w:shd w:val="clear" w:color="auto" w:fill="auto"/>
            <w:hideMark/>
          </w:tcPr>
          <w:p w14:paraId="5640F695" w14:textId="77777777" w:rsidR="0027547A" w:rsidRPr="00DD6A7A" w:rsidRDefault="0027547A" w:rsidP="00C43819">
            <w:pPr>
              <w:spacing w:after="0" w:line="240" w:lineRule="auto"/>
              <w:jc w:val="center"/>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289100</w:t>
            </w:r>
          </w:p>
        </w:tc>
        <w:tc>
          <w:tcPr>
            <w:tcW w:w="1025" w:type="dxa"/>
            <w:tcBorders>
              <w:top w:val="nil"/>
              <w:left w:val="nil"/>
              <w:bottom w:val="single" w:sz="8" w:space="0" w:color="auto"/>
              <w:right w:val="single" w:sz="8" w:space="0" w:color="auto"/>
            </w:tcBorders>
            <w:shd w:val="clear" w:color="auto" w:fill="auto"/>
            <w:hideMark/>
          </w:tcPr>
          <w:p w14:paraId="15408CDF" w14:textId="77777777" w:rsidR="0027547A" w:rsidRPr="00DD6A7A" w:rsidRDefault="0027547A" w:rsidP="00C43819">
            <w:pPr>
              <w:spacing w:after="0" w:line="240" w:lineRule="auto"/>
              <w:jc w:val="center"/>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6868F936" w14:textId="77777777" w:rsidR="0027547A" w:rsidRPr="00DD6A7A" w:rsidRDefault="0027547A" w:rsidP="00C43819">
            <w:pPr>
              <w:spacing w:after="0" w:line="240" w:lineRule="auto"/>
              <w:jc w:val="center"/>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0,00</w:t>
            </w:r>
          </w:p>
        </w:tc>
        <w:tc>
          <w:tcPr>
            <w:tcW w:w="1237" w:type="dxa"/>
            <w:tcBorders>
              <w:top w:val="nil"/>
              <w:left w:val="nil"/>
              <w:bottom w:val="single" w:sz="8" w:space="0" w:color="auto"/>
              <w:right w:val="single" w:sz="8" w:space="0" w:color="auto"/>
            </w:tcBorders>
            <w:shd w:val="clear" w:color="auto" w:fill="auto"/>
            <w:hideMark/>
          </w:tcPr>
          <w:p w14:paraId="1E2D8148" w14:textId="77777777" w:rsidR="0027547A" w:rsidRPr="00DD6A7A" w:rsidRDefault="0027547A" w:rsidP="00C43819">
            <w:pPr>
              <w:spacing w:after="0" w:line="240" w:lineRule="auto"/>
              <w:jc w:val="center"/>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52C579E0" w14:textId="77777777" w:rsidR="0027547A" w:rsidRPr="00DD6A7A" w:rsidRDefault="0027547A" w:rsidP="00C43819">
            <w:pPr>
              <w:spacing w:after="0" w:line="240" w:lineRule="auto"/>
              <w:jc w:val="center"/>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4,65</w:t>
            </w:r>
          </w:p>
        </w:tc>
        <w:tc>
          <w:tcPr>
            <w:tcW w:w="992" w:type="dxa"/>
            <w:tcBorders>
              <w:top w:val="nil"/>
              <w:left w:val="nil"/>
              <w:bottom w:val="single" w:sz="8" w:space="0" w:color="auto"/>
              <w:right w:val="single" w:sz="8" w:space="0" w:color="auto"/>
            </w:tcBorders>
            <w:shd w:val="clear" w:color="auto" w:fill="auto"/>
            <w:hideMark/>
          </w:tcPr>
          <w:p w14:paraId="7CE17497"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7042CC79"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tcPr>
          <w:p w14:paraId="4DAB3578" w14:textId="77777777" w:rsidR="0027547A" w:rsidRPr="00DD6A7A" w:rsidRDefault="00281115"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x</w:t>
            </w:r>
          </w:p>
        </w:tc>
      </w:tr>
      <w:tr w:rsidR="0027547A" w:rsidRPr="00DD6A7A" w14:paraId="6E758681"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73DE849E" w14:textId="4C9F02D8" w:rsidR="0027547A" w:rsidRPr="00DD6A7A" w:rsidRDefault="0027547A" w:rsidP="00021528">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Alte cheltuieli ale institu</w:t>
            </w:r>
            <w:r w:rsidR="00021528">
              <w:rPr>
                <w:rFonts w:ascii="Times New Roman" w:eastAsia="Times New Roman" w:hAnsi="Times New Roman" w:cs="Times New Roman"/>
                <w:color w:val="000000"/>
                <w:sz w:val="18"/>
                <w:szCs w:val="18"/>
                <w:lang w:val="ro-RO"/>
              </w:rPr>
              <w:t>ț</w:t>
            </w:r>
            <w:r w:rsidRPr="00DD6A7A">
              <w:rPr>
                <w:rFonts w:ascii="Times New Roman" w:eastAsia="Times New Roman" w:hAnsi="Times New Roman" w:cs="Times New Roman"/>
                <w:color w:val="000000"/>
                <w:sz w:val="18"/>
                <w:szCs w:val="18"/>
                <w:lang w:val="ro-RO"/>
              </w:rPr>
              <w:t>iilor bugetare</w:t>
            </w:r>
          </w:p>
        </w:tc>
        <w:tc>
          <w:tcPr>
            <w:tcW w:w="850" w:type="dxa"/>
            <w:tcBorders>
              <w:top w:val="nil"/>
              <w:left w:val="nil"/>
              <w:bottom w:val="single" w:sz="8" w:space="0" w:color="000000"/>
              <w:right w:val="nil"/>
            </w:tcBorders>
            <w:shd w:val="clear" w:color="auto" w:fill="auto"/>
            <w:hideMark/>
          </w:tcPr>
          <w:p w14:paraId="3A928CC5"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2.22.0</w:t>
            </w:r>
          </w:p>
        </w:tc>
        <w:tc>
          <w:tcPr>
            <w:tcW w:w="993" w:type="dxa"/>
            <w:tcBorders>
              <w:top w:val="nil"/>
              <w:left w:val="single" w:sz="8" w:space="0" w:color="auto"/>
              <w:bottom w:val="single" w:sz="8" w:space="0" w:color="auto"/>
              <w:right w:val="single" w:sz="8" w:space="0" w:color="auto"/>
            </w:tcBorders>
            <w:shd w:val="clear" w:color="auto" w:fill="auto"/>
            <w:hideMark/>
          </w:tcPr>
          <w:p w14:paraId="232F46A6"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289900</w:t>
            </w:r>
          </w:p>
        </w:tc>
        <w:tc>
          <w:tcPr>
            <w:tcW w:w="1025" w:type="dxa"/>
            <w:tcBorders>
              <w:top w:val="nil"/>
              <w:left w:val="nil"/>
              <w:bottom w:val="single" w:sz="8" w:space="0" w:color="auto"/>
              <w:right w:val="single" w:sz="8" w:space="0" w:color="auto"/>
            </w:tcBorders>
            <w:shd w:val="clear" w:color="auto" w:fill="auto"/>
            <w:hideMark/>
          </w:tcPr>
          <w:p w14:paraId="67B6030D"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4CA0052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237" w:type="dxa"/>
            <w:tcBorders>
              <w:top w:val="nil"/>
              <w:left w:val="nil"/>
              <w:bottom w:val="single" w:sz="8" w:space="0" w:color="auto"/>
              <w:right w:val="single" w:sz="8" w:space="0" w:color="auto"/>
            </w:tcBorders>
            <w:shd w:val="clear" w:color="auto" w:fill="auto"/>
            <w:hideMark/>
          </w:tcPr>
          <w:p w14:paraId="31F1A30C"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1E08D7F5"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7,37</w:t>
            </w:r>
          </w:p>
        </w:tc>
        <w:tc>
          <w:tcPr>
            <w:tcW w:w="992" w:type="dxa"/>
            <w:tcBorders>
              <w:top w:val="nil"/>
              <w:left w:val="nil"/>
              <w:bottom w:val="single" w:sz="8" w:space="0" w:color="auto"/>
              <w:right w:val="single" w:sz="8" w:space="0" w:color="auto"/>
            </w:tcBorders>
            <w:shd w:val="clear" w:color="auto" w:fill="auto"/>
            <w:hideMark/>
          </w:tcPr>
          <w:p w14:paraId="54518840"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56E4EC92"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tcPr>
          <w:p w14:paraId="27547768" w14:textId="77777777" w:rsidR="0027547A" w:rsidRPr="00DD6A7A" w:rsidRDefault="00281115"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x</w:t>
            </w:r>
          </w:p>
        </w:tc>
      </w:tr>
      <w:tr w:rsidR="0027547A" w:rsidRPr="00DD6A7A" w14:paraId="7ADEBE68"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2DB5E5C5"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Sold operațional (3=1-2)</w:t>
            </w:r>
          </w:p>
        </w:tc>
        <w:tc>
          <w:tcPr>
            <w:tcW w:w="850" w:type="dxa"/>
            <w:tcBorders>
              <w:top w:val="nil"/>
              <w:left w:val="nil"/>
              <w:bottom w:val="single" w:sz="8" w:space="0" w:color="000000"/>
              <w:right w:val="nil"/>
            </w:tcBorders>
            <w:shd w:val="clear" w:color="auto" w:fill="auto"/>
            <w:hideMark/>
          </w:tcPr>
          <w:p w14:paraId="363C876A"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w:t>
            </w:r>
          </w:p>
        </w:tc>
        <w:tc>
          <w:tcPr>
            <w:tcW w:w="993" w:type="dxa"/>
            <w:tcBorders>
              <w:top w:val="nil"/>
              <w:left w:val="single" w:sz="8" w:space="0" w:color="auto"/>
              <w:bottom w:val="single" w:sz="8" w:space="0" w:color="auto"/>
              <w:right w:val="single" w:sz="8" w:space="0" w:color="auto"/>
            </w:tcBorders>
            <w:shd w:val="clear" w:color="auto" w:fill="auto"/>
            <w:hideMark/>
          </w:tcPr>
          <w:p w14:paraId="4B23C6F9"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 </w:t>
            </w:r>
          </w:p>
        </w:tc>
        <w:tc>
          <w:tcPr>
            <w:tcW w:w="1025" w:type="dxa"/>
            <w:tcBorders>
              <w:top w:val="nil"/>
              <w:left w:val="nil"/>
              <w:bottom w:val="single" w:sz="8" w:space="0" w:color="auto"/>
              <w:right w:val="single" w:sz="8" w:space="0" w:color="auto"/>
            </w:tcBorders>
            <w:shd w:val="clear" w:color="auto" w:fill="auto"/>
            <w:hideMark/>
          </w:tcPr>
          <w:p w14:paraId="369513A7"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2.278,30</w:t>
            </w:r>
          </w:p>
        </w:tc>
        <w:tc>
          <w:tcPr>
            <w:tcW w:w="1025" w:type="dxa"/>
            <w:tcBorders>
              <w:top w:val="nil"/>
              <w:left w:val="nil"/>
              <w:bottom w:val="single" w:sz="8" w:space="0" w:color="auto"/>
              <w:right w:val="single" w:sz="8" w:space="0" w:color="auto"/>
            </w:tcBorders>
            <w:shd w:val="clear" w:color="auto" w:fill="auto"/>
            <w:hideMark/>
          </w:tcPr>
          <w:p w14:paraId="101FB54D"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3.990,30</w:t>
            </w:r>
          </w:p>
        </w:tc>
        <w:tc>
          <w:tcPr>
            <w:tcW w:w="1237" w:type="dxa"/>
            <w:tcBorders>
              <w:top w:val="nil"/>
              <w:left w:val="nil"/>
              <w:bottom w:val="single" w:sz="8" w:space="0" w:color="auto"/>
              <w:right w:val="single" w:sz="8" w:space="0" w:color="auto"/>
            </w:tcBorders>
            <w:shd w:val="clear" w:color="auto" w:fill="auto"/>
            <w:hideMark/>
          </w:tcPr>
          <w:p w14:paraId="2B7B1753"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2.813,57</w:t>
            </w:r>
          </w:p>
        </w:tc>
        <w:tc>
          <w:tcPr>
            <w:tcW w:w="1134" w:type="dxa"/>
            <w:tcBorders>
              <w:top w:val="nil"/>
              <w:left w:val="nil"/>
              <w:bottom w:val="single" w:sz="8" w:space="0" w:color="auto"/>
              <w:right w:val="single" w:sz="8" w:space="0" w:color="auto"/>
            </w:tcBorders>
            <w:shd w:val="clear" w:color="auto" w:fill="auto"/>
            <w:hideMark/>
          </w:tcPr>
          <w:p w14:paraId="2C3AA884"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-1.986,65</w:t>
            </w:r>
          </w:p>
        </w:tc>
        <w:tc>
          <w:tcPr>
            <w:tcW w:w="992" w:type="dxa"/>
            <w:tcBorders>
              <w:top w:val="nil"/>
              <w:left w:val="nil"/>
              <w:bottom w:val="single" w:sz="8" w:space="0" w:color="auto"/>
              <w:right w:val="single" w:sz="8" w:space="0" w:color="auto"/>
            </w:tcBorders>
            <w:shd w:val="clear" w:color="auto" w:fill="auto"/>
            <w:hideMark/>
          </w:tcPr>
          <w:p w14:paraId="615F8FDE"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1.712,00</w:t>
            </w:r>
          </w:p>
        </w:tc>
        <w:tc>
          <w:tcPr>
            <w:tcW w:w="1134" w:type="dxa"/>
            <w:tcBorders>
              <w:top w:val="nil"/>
              <w:left w:val="nil"/>
              <w:bottom w:val="single" w:sz="8" w:space="0" w:color="auto"/>
              <w:right w:val="single" w:sz="8" w:space="0" w:color="auto"/>
            </w:tcBorders>
            <w:shd w:val="clear" w:color="auto" w:fill="auto"/>
            <w:hideMark/>
          </w:tcPr>
          <w:p w14:paraId="2A1F0F2B"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-1.176,73</w:t>
            </w:r>
          </w:p>
        </w:tc>
        <w:tc>
          <w:tcPr>
            <w:tcW w:w="992" w:type="dxa"/>
            <w:tcBorders>
              <w:top w:val="nil"/>
              <w:left w:val="nil"/>
              <w:bottom w:val="single" w:sz="8" w:space="0" w:color="auto"/>
              <w:right w:val="single" w:sz="8" w:space="0" w:color="auto"/>
            </w:tcBorders>
            <w:shd w:val="clear" w:color="auto" w:fill="auto"/>
            <w:noWrap/>
            <w:hideMark/>
          </w:tcPr>
          <w:p w14:paraId="04959E18"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70,5%</w:t>
            </w:r>
          </w:p>
        </w:tc>
      </w:tr>
      <w:tr w:rsidR="0027547A" w:rsidRPr="00DD6A7A" w14:paraId="75747DD7"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4E3B84C1"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III. ACTIVE NEFINANCIARE</w:t>
            </w:r>
          </w:p>
        </w:tc>
        <w:tc>
          <w:tcPr>
            <w:tcW w:w="850" w:type="dxa"/>
            <w:tcBorders>
              <w:top w:val="nil"/>
              <w:left w:val="nil"/>
              <w:bottom w:val="single" w:sz="8" w:space="0" w:color="000000"/>
              <w:right w:val="nil"/>
            </w:tcBorders>
            <w:shd w:val="clear" w:color="auto" w:fill="auto"/>
            <w:hideMark/>
          </w:tcPr>
          <w:p w14:paraId="5C60CC62"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w:t>
            </w:r>
          </w:p>
        </w:tc>
        <w:tc>
          <w:tcPr>
            <w:tcW w:w="993" w:type="dxa"/>
            <w:tcBorders>
              <w:top w:val="nil"/>
              <w:left w:val="single" w:sz="8" w:space="0" w:color="auto"/>
              <w:bottom w:val="single" w:sz="8" w:space="0" w:color="auto"/>
              <w:right w:val="single" w:sz="8" w:space="0" w:color="auto"/>
            </w:tcBorders>
            <w:shd w:val="clear" w:color="auto" w:fill="auto"/>
            <w:hideMark/>
          </w:tcPr>
          <w:p w14:paraId="088DB781"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 </w:t>
            </w:r>
          </w:p>
        </w:tc>
        <w:tc>
          <w:tcPr>
            <w:tcW w:w="1025" w:type="dxa"/>
            <w:tcBorders>
              <w:top w:val="nil"/>
              <w:left w:val="nil"/>
              <w:bottom w:val="single" w:sz="8" w:space="0" w:color="auto"/>
              <w:right w:val="single" w:sz="8" w:space="0" w:color="auto"/>
            </w:tcBorders>
            <w:shd w:val="clear" w:color="auto" w:fill="auto"/>
            <w:hideMark/>
          </w:tcPr>
          <w:p w14:paraId="3FC5728E"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2.278,30</w:t>
            </w:r>
          </w:p>
        </w:tc>
        <w:tc>
          <w:tcPr>
            <w:tcW w:w="1025" w:type="dxa"/>
            <w:tcBorders>
              <w:top w:val="nil"/>
              <w:left w:val="nil"/>
              <w:bottom w:val="single" w:sz="8" w:space="0" w:color="auto"/>
              <w:right w:val="single" w:sz="8" w:space="0" w:color="auto"/>
            </w:tcBorders>
            <w:shd w:val="clear" w:color="auto" w:fill="auto"/>
            <w:hideMark/>
          </w:tcPr>
          <w:p w14:paraId="14C88F40"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3.990,30</w:t>
            </w:r>
          </w:p>
        </w:tc>
        <w:tc>
          <w:tcPr>
            <w:tcW w:w="1237" w:type="dxa"/>
            <w:tcBorders>
              <w:top w:val="nil"/>
              <w:left w:val="nil"/>
              <w:bottom w:val="single" w:sz="8" w:space="0" w:color="auto"/>
              <w:right w:val="single" w:sz="8" w:space="0" w:color="auto"/>
            </w:tcBorders>
            <w:shd w:val="clear" w:color="auto" w:fill="auto"/>
            <w:hideMark/>
          </w:tcPr>
          <w:p w14:paraId="6D2C3FAC"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2.813,57</w:t>
            </w:r>
          </w:p>
        </w:tc>
        <w:tc>
          <w:tcPr>
            <w:tcW w:w="1134" w:type="dxa"/>
            <w:tcBorders>
              <w:top w:val="nil"/>
              <w:left w:val="nil"/>
              <w:bottom w:val="single" w:sz="8" w:space="0" w:color="auto"/>
              <w:right w:val="single" w:sz="8" w:space="0" w:color="auto"/>
            </w:tcBorders>
            <w:shd w:val="clear" w:color="auto" w:fill="auto"/>
            <w:hideMark/>
          </w:tcPr>
          <w:p w14:paraId="559396E1"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1A101713"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1.712,00</w:t>
            </w:r>
          </w:p>
        </w:tc>
        <w:tc>
          <w:tcPr>
            <w:tcW w:w="1134" w:type="dxa"/>
            <w:tcBorders>
              <w:top w:val="nil"/>
              <w:left w:val="nil"/>
              <w:bottom w:val="single" w:sz="8" w:space="0" w:color="auto"/>
              <w:right w:val="single" w:sz="8" w:space="0" w:color="auto"/>
            </w:tcBorders>
            <w:shd w:val="clear" w:color="auto" w:fill="auto"/>
            <w:hideMark/>
          </w:tcPr>
          <w:p w14:paraId="7651E580"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-1.176,73</w:t>
            </w:r>
          </w:p>
        </w:tc>
        <w:tc>
          <w:tcPr>
            <w:tcW w:w="992" w:type="dxa"/>
            <w:tcBorders>
              <w:top w:val="nil"/>
              <w:left w:val="nil"/>
              <w:bottom w:val="single" w:sz="8" w:space="0" w:color="auto"/>
              <w:right w:val="single" w:sz="8" w:space="0" w:color="auto"/>
            </w:tcBorders>
            <w:shd w:val="clear" w:color="auto" w:fill="auto"/>
            <w:noWrap/>
            <w:hideMark/>
          </w:tcPr>
          <w:p w14:paraId="3EDE6925"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70,5%</w:t>
            </w:r>
          </w:p>
        </w:tc>
      </w:tr>
      <w:tr w:rsidR="0027547A" w:rsidRPr="00DD6A7A" w14:paraId="69D99B56"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110C934D"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Mașini și utilaje</w:t>
            </w:r>
          </w:p>
        </w:tc>
        <w:tc>
          <w:tcPr>
            <w:tcW w:w="850" w:type="dxa"/>
            <w:tcBorders>
              <w:top w:val="nil"/>
              <w:left w:val="nil"/>
              <w:bottom w:val="single" w:sz="8" w:space="0" w:color="000000"/>
              <w:right w:val="nil"/>
            </w:tcBorders>
            <w:shd w:val="clear" w:color="auto" w:fill="auto"/>
            <w:hideMark/>
          </w:tcPr>
          <w:p w14:paraId="2A7B9D8E"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4.4</w:t>
            </w:r>
          </w:p>
        </w:tc>
        <w:tc>
          <w:tcPr>
            <w:tcW w:w="993" w:type="dxa"/>
            <w:tcBorders>
              <w:top w:val="nil"/>
              <w:left w:val="single" w:sz="8" w:space="0" w:color="auto"/>
              <w:bottom w:val="single" w:sz="8" w:space="0" w:color="auto"/>
              <w:right w:val="single" w:sz="8" w:space="0" w:color="auto"/>
            </w:tcBorders>
            <w:shd w:val="clear" w:color="auto" w:fill="auto"/>
            <w:hideMark/>
          </w:tcPr>
          <w:p w14:paraId="63582D58"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314</w:t>
            </w:r>
          </w:p>
        </w:tc>
        <w:tc>
          <w:tcPr>
            <w:tcW w:w="1025" w:type="dxa"/>
            <w:tcBorders>
              <w:top w:val="nil"/>
              <w:left w:val="nil"/>
              <w:bottom w:val="single" w:sz="8" w:space="0" w:color="auto"/>
              <w:right w:val="single" w:sz="8" w:space="0" w:color="auto"/>
            </w:tcBorders>
            <w:shd w:val="clear" w:color="auto" w:fill="auto"/>
            <w:hideMark/>
          </w:tcPr>
          <w:p w14:paraId="48D0843A"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562,60</w:t>
            </w:r>
          </w:p>
        </w:tc>
        <w:tc>
          <w:tcPr>
            <w:tcW w:w="1025" w:type="dxa"/>
            <w:tcBorders>
              <w:top w:val="nil"/>
              <w:left w:val="nil"/>
              <w:bottom w:val="single" w:sz="8" w:space="0" w:color="auto"/>
              <w:right w:val="single" w:sz="8" w:space="0" w:color="auto"/>
            </w:tcBorders>
            <w:shd w:val="clear" w:color="auto" w:fill="auto"/>
            <w:hideMark/>
          </w:tcPr>
          <w:p w14:paraId="026D7732"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1.305,74</w:t>
            </w:r>
          </w:p>
        </w:tc>
        <w:tc>
          <w:tcPr>
            <w:tcW w:w="1237" w:type="dxa"/>
            <w:tcBorders>
              <w:top w:val="nil"/>
              <w:left w:val="nil"/>
              <w:bottom w:val="single" w:sz="8" w:space="0" w:color="auto"/>
              <w:right w:val="single" w:sz="8" w:space="0" w:color="auto"/>
            </w:tcBorders>
            <w:shd w:val="clear" w:color="auto" w:fill="auto"/>
            <w:hideMark/>
          </w:tcPr>
          <w:p w14:paraId="3C826FA3"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976,31</w:t>
            </w:r>
          </w:p>
        </w:tc>
        <w:tc>
          <w:tcPr>
            <w:tcW w:w="1134" w:type="dxa"/>
            <w:tcBorders>
              <w:top w:val="nil"/>
              <w:left w:val="nil"/>
              <w:bottom w:val="single" w:sz="8" w:space="0" w:color="auto"/>
              <w:right w:val="single" w:sz="8" w:space="0" w:color="auto"/>
            </w:tcBorders>
            <w:shd w:val="clear" w:color="auto" w:fill="auto"/>
            <w:hideMark/>
          </w:tcPr>
          <w:p w14:paraId="73019C14"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1FCD9045"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743,14</w:t>
            </w:r>
          </w:p>
        </w:tc>
        <w:tc>
          <w:tcPr>
            <w:tcW w:w="1134" w:type="dxa"/>
            <w:tcBorders>
              <w:top w:val="nil"/>
              <w:left w:val="nil"/>
              <w:bottom w:val="single" w:sz="8" w:space="0" w:color="auto"/>
              <w:right w:val="single" w:sz="8" w:space="0" w:color="auto"/>
            </w:tcBorders>
            <w:shd w:val="clear" w:color="auto" w:fill="auto"/>
            <w:hideMark/>
          </w:tcPr>
          <w:p w14:paraId="2C247B36"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-329,43</w:t>
            </w:r>
          </w:p>
        </w:tc>
        <w:tc>
          <w:tcPr>
            <w:tcW w:w="992" w:type="dxa"/>
            <w:tcBorders>
              <w:top w:val="nil"/>
              <w:left w:val="nil"/>
              <w:bottom w:val="single" w:sz="8" w:space="0" w:color="auto"/>
              <w:right w:val="single" w:sz="8" w:space="0" w:color="auto"/>
            </w:tcBorders>
            <w:shd w:val="clear" w:color="auto" w:fill="auto"/>
            <w:noWrap/>
            <w:hideMark/>
          </w:tcPr>
          <w:p w14:paraId="0E979FC9"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74,8%</w:t>
            </w:r>
          </w:p>
        </w:tc>
      </w:tr>
      <w:tr w:rsidR="0027547A" w:rsidRPr="00DD6A7A" w14:paraId="307E3274"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5C2930B8"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Procurarea maşinilor şi utilajelor</w:t>
            </w:r>
          </w:p>
        </w:tc>
        <w:tc>
          <w:tcPr>
            <w:tcW w:w="850" w:type="dxa"/>
            <w:tcBorders>
              <w:top w:val="nil"/>
              <w:left w:val="nil"/>
              <w:bottom w:val="single" w:sz="8" w:space="0" w:color="000000"/>
              <w:right w:val="nil"/>
            </w:tcBorders>
            <w:shd w:val="clear" w:color="auto" w:fill="auto"/>
            <w:hideMark/>
          </w:tcPr>
          <w:p w14:paraId="333EF410"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4.4.0</w:t>
            </w:r>
          </w:p>
        </w:tc>
        <w:tc>
          <w:tcPr>
            <w:tcW w:w="993" w:type="dxa"/>
            <w:tcBorders>
              <w:top w:val="nil"/>
              <w:left w:val="single" w:sz="8" w:space="0" w:color="auto"/>
              <w:bottom w:val="single" w:sz="8" w:space="0" w:color="auto"/>
              <w:right w:val="single" w:sz="8" w:space="0" w:color="auto"/>
            </w:tcBorders>
            <w:shd w:val="clear" w:color="auto" w:fill="auto"/>
            <w:hideMark/>
          </w:tcPr>
          <w:p w14:paraId="1125CEE6"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314110</w:t>
            </w:r>
          </w:p>
        </w:tc>
        <w:tc>
          <w:tcPr>
            <w:tcW w:w="1025" w:type="dxa"/>
            <w:tcBorders>
              <w:top w:val="nil"/>
              <w:left w:val="nil"/>
              <w:bottom w:val="single" w:sz="8" w:space="0" w:color="auto"/>
              <w:right w:val="single" w:sz="8" w:space="0" w:color="auto"/>
            </w:tcBorders>
            <w:shd w:val="clear" w:color="auto" w:fill="auto"/>
            <w:hideMark/>
          </w:tcPr>
          <w:p w14:paraId="727F1329"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562,60</w:t>
            </w:r>
          </w:p>
        </w:tc>
        <w:tc>
          <w:tcPr>
            <w:tcW w:w="1025" w:type="dxa"/>
            <w:tcBorders>
              <w:top w:val="nil"/>
              <w:left w:val="nil"/>
              <w:bottom w:val="single" w:sz="8" w:space="0" w:color="auto"/>
              <w:right w:val="single" w:sz="8" w:space="0" w:color="auto"/>
            </w:tcBorders>
            <w:shd w:val="clear" w:color="auto" w:fill="auto"/>
            <w:hideMark/>
          </w:tcPr>
          <w:p w14:paraId="100F0249"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1.305,74</w:t>
            </w:r>
          </w:p>
        </w:tc>
        <w:tc>
          <w:tcPr>
            <w:tcW w:w="1237" w:type="dxa"/>
            <w:tcBorders>
              <w:top w:val="nil"/>
              <w:left w:val="nil"/>
              <w:bottom w:val="single" w:sz="8" w:space="0" w:color="auto"/>
              <w:right w:val="single" w:sz="8" w:space="0" w:color="auto"/>
            </w:tcBorders>
            <w:shd w:val="clear" w:color="auto" w:fill="auto"/>
            <w:hideMark/>
          </w:tcPr>
          <w:p w14:paraId="2AD75DB2"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976,31</w:t>
            </w:r>
          </w:p>
        </w:tc>
        <w:tc>
          <w:tcPr>
            <w:tcW w:w="1134" w:type="dxa"/>
            <w:tcBorders>
              <w:top w:val="nil"/>
              <w:left w:val="nil"/>
              <w:bottom w:val="single" w:sz="8" w:space="0" w:color="auto"/>
              <w:right w:val="single" w:sz="8" w:space="0" w:color="auto"/>
            </w:tcBorders>
            <w:shd w:val="clear" w:color="auto" w:fill="auto"/>
            <w:hideMark/>
          </w:tcPr>
          <w:p w14:paraId="233251D4"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5C79F586"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743,14</w:t>
            </w:r>
          </w:p>
        </w:tc>
        <w:tc>
          <w:tcPr>
            <w:tcW w:w="1134" w:type="dxa"/>
            <w:tcBorders>
              <w:top w:val="nil"/>
              <w:left w:val="nil"/>
              <w:bottom w:val="single" w:sz="8" w:space="0" w:color="auto"/>
              <w:right w:val="single" w:sz="8" w:space="0" w:color="auto"/>
            </w:tcBorders>
            <w:shd w:val="clear" w:color="auto" w:fill="auto"/>
            <w:hideMark/>
          </w:tcPr>
          <w:p w14:paraId="4DCD08C5"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-329,43</w:t>
            </w:r>
          </w:p>
        </w:tc>
        <w:tc>
          <w:tcPr>
            <w:tcW w:w="992" w:type="dxa"/>
            <w:tcBorders>
              <w:top w:val="nil"/>
              <w:left w:val="nil"/>
              <w:bottom w:val="single" w:sz="8" w:space="0" w:color="auto"/>
              <w:right w:val="single" w:sz="8" w:space="0" w:color="auto"/>
            </w:tcBorders>
            <w:shd w:val="clear" w:color="auto" w:fill="auto"/>
            <w:noWrap/>
            <w:hideMark/>
          </w:tcPr>
          <w:p w14:paraId="4DD64768"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74,8%</w:t>
            </w:r>
          </w:p>
        </w:tc>
      </w:tr>
      <w:tr w:rsidR="0027547A" w:rsidRPr="00DD6A7A" w14:paraId="59AFF6AC" w14:textId="77777777" w:rsidTr="00DA758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74626587" w14:textId="0B3D087D" w:rsidR="0027547A" w:rsidRPr="00DD6A7A" w:rsidRDefault="0027547A" w:rsidP="00021528">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Unelte și scule, inventar gospod</w:t>
            </w:r>
            <w:r w:rsidR="00021528">
              <w:rPr>
                <w:rFonts w:ascii="Times New Roman" w:eastAsia="Times New Roman" w:hAnsi="Times New Roman" w:cs="Times New Roman"/>
                <w:b/>
                <w:bCs/>
                <w:color w:val="000000"/>
                <w:sz w:val="18"/>
                <w:szCs w:val="18"/>
                <w:lang w:val="ro-RO"/>
              </w:rPr>
              <w:t>ă</w:t>
            </w:r>
            <w:r w:rsidRPr="00DD6A7A">
              <w:rPr>
                <w:rFonts w:ascii="Times New Roman" w:eastAsia="Times New Roman" w:hAnsi="Times New Roman" w:cs="Times New Roman"/>
                <w:b/>
                <w:bCs/>
                <w:color w:val="000000"/>
                <w:sz w:val="18"/>
                <w:szCs w:val="18"/>
                <w:lang w:val="ro-RO"/>
              </w:rPr>
              <w:t>resc</w:t>
            </w:r>
          </w:p>
        </w:tc>
        <w:tc>
          <w:tcPr>
            <w:tcW w:w="850" w:type="dxa"/>
            <w:tcBorders>
              <w:top w:val="nil"/>
              <w:left w:val="nil"/>
              <w:bottom w:val="single" w:sz="8" w:space="0" w:color="000000"/>
              <w:right w:val="nil"/>
            </w:tcBorders>
            <w:shd w:val="clear" w:color="auto" w:fill="auto"/>
            <w:hideMark/>
          </w:tcPr>
          <w:p w14:paraId="7DDDE0A1"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4.6</w:t>
            </w:r>
          </w:p>
        </w:tc>
        <w:tc>
          <w:tcPr>
            <w:tcW w:w="993" w:type="dxa"/>
            <w:tcBorders>
              <w:top w:val="nil"/>
              <w:left w:val="single" w:sz="8" w:space="0" w:color="auto"/>
              <w:bottom w:val="single" w:sz="8" w:space="0" w:color="auto"/>
              <w:right w:val="single" w:sz="8" w:space="0" w:color="auto"/>
            </w:tcBorders>
            <w:shd w:val="clear" w:color="auto" w:fill="auto"/>
            <w:hideMark/>
          </w:tcPr>
          <w:p w14:paraId="43FF729B"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316</w:t>
            </w:r>
          </w:p>
        </w:tc>
        <w:tc>
          <w:tcPr>
            <w:tcW w:w="1025" w:type="dxa"/>
            <w:tcBorders>
              <w:top w:val="nil"/>
              <w:left w:val="nil"/>
              <w:bottom w:val="single" w:sz="8" w:space="0" w:color="auto"/>
              <w:right w:val="single" w:sz="8" w:space="0" w:color="auto"/>
            </w:tcBorders>
            <w:shd w:val="clear" w:color="auto" w:fill="auto"/>
            <w:hideMark/>
          </w:tcPr>
          <w:p w14:paraId="39DC705D"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206,40</w:t>
            </w:r>
          </w:p>
        </w:tc>
        <w:tc>
          <w:tcPr>
            <w:tcW w:w="1025" w:type="dxa"/>
            <w:tcBorders>
              <w:top w:val="nil"/>
              <w:left w:val="nil"/>
              <w:bottom w:val="single" w:sz="8" w:space="0" w:color="auto"/>
              <w:right w:val="single" w:sz="8" w:space="0" w:color="auto"/>
            </w:tcBorders>
            <w:shd w:val="clear" w:color="auto" w:fill="auto"/>
            <w:hideMark/>
          </w:tcPr>
          <w:p w14:paraId="58CF6145"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601,25</w:t>
            </w:r>
          </w:p>
        </w:tc>
        <w:tc>
          <w:tcPr>
            <w:tcW w:w="1237" w:type="dxa"/>
            <w:tcBorders>
              <w:top w:val="nil"/>
              <w:left w:val="nil"/>
              <w:bottom w:val="single" w:sz="8" w:space="0" w:color="auto"/>
              <w:right w:val="single" w:sz="8" w:space="0" w:color="auto"/>
            </w:tcBorders>
            <w:shd w:val="clear" w:color="auto" w:fill="auto"/>
            <w:hideMark/>
          </w:tcPr>
          <w:p w14:paraId="26D38AD4"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508,08</w:t>
            </w:r>
          </w:p>
        </w:tc>
        <w:tc>
          <w:tcPr>
            <w:tcW w:w="1134" w:type="dxa"/>
            <w:tcBorders>
              <w:top w:val="nil"/>
              <w:left w:val="nil"/>
              <w:bottom w:val="single" w:sz="8" w:space="0" w:color="auto"/>
              <w:right w:val="single" w:sz="8" w:space="0" w:color="auto"/>
            </w:tcBorders>
            <w:shd w:val="clear" w:color="auto" w:fill="auto"/>
            <w:hideMark/>
          </w:tcPr>
          <w:p w14:paraId="1C81BD09"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383DC9D4"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394,85</w:t>
            </w:r>
          </w:p>
        </w:tc>
        <w:tc>
          <w:tcPr>
            <w:tcW w:w="1134" w:type="dxa"/>
            <w:tcBorders>
              <w:top w:val="nil"/>
              <w:left w:val="nil"/>
              <w:bottom w:val="single" w:sz="8" w:space="0" w:color="auto"/>
              <w:right w:val="single" w:sz="8" w:space="0" w:color="auto"/>
            </w:tcBorders>
            <w:shd w:val="clear" w:color="auto" w:fill="auto"/>
            <w:hideMark/>
          </w:tcPr>
          <w:p w14:paraId="35748F66"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-93,17</w:t>
            </w:r>
          </w:p>
        </w:tc>
        <w:tc>
          <w:tcPr>
            <w:tcW w:w="992" w:type="dxa"/>
            <w:tcBorders>
              <w:top w:val="nil"/>
              <w:left w:val="nil"/>
              <w:bottom w:val="single" w:sz="8" w:space="0" w:color="auto"/>
              <w:right w:val="single" w:sz="8" w:space="0" w:color="auto"/>
            </w:tcBorders>
            <w:shd w:val="clear" w:color="auto" w:fill="auto"/>
            <w:noWrap/>
            <w:hideMark/>
          </w:tcPr>
          <w:p w14:paraId="53AE1D89"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84,5%</w:t>
            </w:r>
          </w:p>
        </w:tc>
      </w:tr>
      <w:tr w:rsidR="0027547A" w:rsidRPr="00DD6A7A" w14:paraId="270AAE13" w14:textId="77777777" w:rsidTr="00DA7582">
        <w:trPr>
          <w:trHeight w:val="73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4E96FF86" w14:textId="3F7B6C17" w:rsidR="0027547A" w:rsidRPr="00DD6A7A" w:rsidRDefault="0027547A" w:rsidP="00021528">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Procurarea uneltelor şi sculelor</w:t>
            </w:r>
            <w:r w:rsidR="00021528">
              <w:rPr>
                <w:rFonts w:ascii="Times New Roman" w:eastAsia="Times New Roman" w:hAnsi="Times New Roman" w:cs="Times New Roman"/>
                <w:color w:val="000000"/>
                <w:sz w:val="18"/>
                <w:szCs w:val="18"/>
                <w:lang w:val="ro-RO"/>
              </w:rPr>
              <w:t>,</w:t>
            </w:r>
            <w:r w:rsidRPr="00DD6A7A">
              <w:rPr>
                <w:rFonts w:ascii="Times New Roman" w:eastAsia="Times New Roman" w:hAnsi="Times New Roman" w:cs="Times New Roman"/>
                <w:color w:val="000000"/>
                <w:sz w:val="18"/>
                <w:szCs w:val="18"/>
                <w:lang w:val="ro-RO"/>
              </w:rPr>
              <w:t xml:space="preserve"> inventarului de producere şi gospodăresc</w:t>
            </w:r>
          </w:p>
        </w:tc>
        <w:tc>
          <w:tcPr>
            <w:tcW w:w="850" w:type="dxa"/>
            <w:tcBorders>
              <w:top w:val="nil"/>
              <w:left w:val="nil"/>
              <w:bottom w:val="single" w:sz="8" w:space="0" w:color="000000"/>
              <w:right w:val="nil"/>
            </w:tcBorders>
            <w:shd w:val="clear" w:color="auto" w:fill="auto"/>
            <w:hideMark/>
          </w:tcPr>
          <w:p w14:paraId="11D585C2"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4.6.0</w:t>
            </w:r>
          </w:p>
        </w:tc>
        <w:tc>
          <w:tcPr>
            <w:tcW w:w="993" w:type="dxa"/>
            <w:tcBorders>
              <w:top w:val="nil"/>
              <w:left w:val="single" w:sz="8" w:space="0" w:color="auto"/>
              <w:bottom w:val="single" w:sz="8" w:space="0" w:color="auto"/>
              <w:right w:val="single" w:sz="8" w:space="0" w:color="auto"/>
            </w:tcBorders>
            <w:shd w:val="clear" w:color="auto" w:fill="auto"/>
            <w:hideMark/>
          </w:tcPr>
          <w:p w14:paraId="4779214B"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316110</w:t>
            </w:r>
          </w:p>
        </w:tc>
        <w:tc>
          <w:tcPr>
            <w:tcW w:w="1025" w:type="dxa"/>
            <w:tcBorders>
              <w:top w:val="nil"/>
              <w:left w:val="nil"/>
              <w:bottom w:val="single" w:sz="8" w:space="0" w:color="auto"/>
              <w:right w:val="single" w:sz="8" w:space="0" w:color="auto"/>
            </w:tcBorders>
            <w:shd w:val="clear" w:color="auto" w:fill="auto"/>
            <w:hideMark/>
          </w:tcPr>
          <w:p w14:paraId="0CFF0E78"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206,40</w:t>
            </w:r>
          </w:p>
        </w:tc>
        <w:tc>
          <w:tcPr>
            <w:tcW w:w="1025" w:type="dxa"/>
            <w:tcBorders>
              <w:top w:val="nil"/>
              <w:left w:val="nil"/>
              <w:bottom w:val="single" w:sz="8" w:space="0" w:color="auto"/>
              <w:right w:val="single" w:sz="8" w:space="0" w:color="auto"/>
            </w:tcBorders>
            <w:shd w:val="clear" w:color="auto" w:fill="auto"/>
            <w:hideMark/>
          </w:tcPr>
          <w:p w14:paraId="2FDACB5D"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601,25</w:t>
            </w:r>
          </w:p>
        </w:tc>
        <w:tc>
          <w:tcPr>
            <w:tcW w:w="1237" w:type="dxa"/>
            <w:tcBorders>
              <w:top w:val="nil"/>
              <w:left w:val="nil"/>
              <w:bottom w:val="single" w:sz="8" w:space="0" w:color="auto"/>
              <w:right w:val="single" w:sz="8" w:space="0" w:color="auto"/>
            </w:tcBorders>
            <w:shd w:val="clear" w:color="auto" w:fill="auto"/>
            <w:hideMark/>
          </w:tcPr>
          <w:p w14:paraId="77B88A58"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508,08</w:t>
            </w:r>
          </w:p>
        </w:tc>
        <w:tc>
          <w:tcPr>
            <w:tcW w:w="1134" w:type="dxa"/>
            <w:tcBorders>
              <w:top w:val="nil"/>
              <w:left w:val="nil"/>
              <w:bottom w:val="single" w:sz="8" w:space="0" w:color="auto"/>
              <w:right w:val="single" w:sz="8" w:space="0" w:color="auto"/>
            </w:tcBorders>
            <w:shd w:val="clear" w:color="auto" w:fill="auto"/>
            <w:hideMark/>
          </w:tcPr>
          <w:p w14:paraId="7DA050D2"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0A497610"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394,85</w:t>
            </w:r>
          </w:p>
        </w:tc>
        <w:tc>
          <w:tcPr>
            <w:tcW w:w="1134" w:type="dxa"/>
            <w:tcBorders>
              <w:top w:val="nil"/>
              <w:left w:val="nil"/>
              <w:bottom w:val="single" w:sz="8" w:space="0" w:color="auto"/>
              <w:right w:val="single" w:sz="8" w:space="0" w:color="auto"/>
            </w:tcBorders>
            <w:shd w:val="clear" w:color="auto" w:fill="auto"/>
            <w:hideMark/>
          </w:tcPr>
          <w:p w14:paraId="3F42FB56"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-93,17</w:t>
            </w:r>
          </w:p>
        </w:tc>
        <w:tc>
          <w:tcPr>
            <w:tcW w:w="992" w:type="dxa"/>
            <w:tcBorders>
              <w:top w:val="nil"/>
              <w:left w:val="nil"/>
              <w:bottom w:val="single" w:sz="8" w:space="0" w:color="auto"/>
              <w:right w:val="single" w:sz="8" w:space="0" w:color="auto"/>
            </w:tcBorders>
            <w:shd w:val="clear" w:color="auto" w:fill="auto"/>
            <w:noWrap/>
            <w:hideMark/>
          </w:tcPr>
          <w:p w14:paraId="07B0DC93"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84,5%</w:t>
            </w:r>
          </w:p>
        </w:tc>
      </w:tr>
      <w:tr w:rsidR="0027547A" w:rsidRPr="00DD6A7A" w14:paraId="33C87D5F"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5FC4CAFE"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Active nemateriale</w:t>
            </w:r>
          </w:p>
        </w:tc>
        <w:tc>
          <w:tcPr>
            <w:tcW w:w="850" w:type="dxa"/>
            <w:tcBorders>
              <w:top w:val="nil"/>
              <w:left w:val="nil"/>
              <w:bottom w:val="single" w:sz="8" w:space="0" w:color="000000"/>
              <w:right w:val="nil"/>
            </w:tcBorders>
            <w:shd w:val="clear" w:color="auto" w:fill="auto"/>
            <w:hideMark/>
          </w:tcPr>
          <w:p w14:paraId="1BAC660A"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4.7</w:t>
            </w:r>
          </w:p>
        </w:tc>
        <w:tc>
          <w:tcPr>
            <w:tcW w:w="993" w:type="dxa"/>
            <w:tcBorders>
              <w:top w:val="nil"/>
              <w:left w:val="single" w:sz="8" w:space="0" w:color="auto"/>
              <w:bottom w:val="single" w:sz="8" w:space="0" w:color="auto"/>
              <w:right w:val="single" w:sz="8" w:space="0" w:color="auto"/>
            </w:tcBorders>
            <w:shd w:val="clear" w:color="auto" w:fill="auto"/>
            <w:hideMark/>
          </w:tcPr>
          <w:p w14:paraId="3FD35976"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317</w:t>
            </w:r>
          </w:p>
        </w:tc>
        <w:tc>
          <w:tcPr>
            <w:tcW w:w="1025" w:type="dxa"/>
            <w:tcBorders>
              <w:top w:val="nil"/>
              <w:left w:val="nil"/>
              <w:bottom w:val="single" w:sz="8" w:space="0" w:color="auto"/>
              <w:right w:val="single" w:sz="8" w:space="0" w:color="auto"/>
            </w:tcBorders>
            <w:shd w:val="clear" w:color="auto" w:fill="auto"/>
            <w:hideMark/>
          </w:tcPr>
          <w:p w14:paraId="2A1BD6D1"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170,00</w:t>
            </w:r>
          </w:p>
        </w:tc>
        <w:tc>
          <w:tcPr>
            <w:tcW w:w="1025" w:type="dxa"/>
            <w:tcBorders>
              <w:top w:val="nil"/>
              <w:left w:val="nil"/>
              <w:bottom w:val="single" w:sz="8" w:space="0" w:color="auto"/>
              <w:right w:val="single" w:sz="8" w:space="0" w:color="auto"/>
            </w:tcBorders>
            <w:shd w:val="clear" w:color="auto" w:fill="auto"/>
            <w:hideMark/>
          </w:tcPr>
          <w:p w14:paraId="090CC654"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733,51</w:t>
            </w:r>
          </w:p>
        </w:tc>
        <w:tc>
          <w:tcPr>
            <w:tcW w:w="1237" w:type="dxa"/>
            <w:tcBorders>
              <w:top w:val="nil"/>
              <w:left w:val="nil"/>
              <w:bottom w:val="single" w:sz="8" w:space="0" w:color="auto"/>
              <w:right w:val="single" w:sz="8" w:space="0" w:color="auto"/>
            </w:tcBorders>
            <w:shd w:val="clear" w:color="auto" w:fill="auto"/>
            <w:hideMark/>
          </w:tcPr>
          <w:p w14:paraId="4A21330C"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201,97</w:t>
            </w:r>
          </w:p>
        </w:tc>
        <w:tc>
          <w:tcPr>
            <w:tcW w:w="1134" w:type="dxa"/>
            <w:tcBorders>
              <w:top w:val="nil"/>
              <w:left w:val="nil"/>
              <w:bottom w:val="single" w:sz="8" w:space="0" w:color="auto"/>
              <w:right w:val="single" w:sz="8" w:space="0" w:color="auto"/>
            </w:tcBorders>
            <w:shd w:val="clear" w:color="auto" w:fill="auto"/>
            <w:hideMark/>
          </w:tcPr>
          <w:p w14:paraId="76B0257A"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5E9ABC85"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563,51</w:t>
            </w:r>
          </w:p>
        </w:tc>
        <w:tc>
          <w:tcPr>
            <w:tcW w:w="1134" w:type="dxa"/>
            <w:tcBorders>
              <w:top w:val="nil"/>
              <w:left w:val="nil"/>
              <w:bottom w:val="single" w:sz="8" w:space="0" w:color="auto"/>
              <w:right w:val="single" w:sz="8" w:space="0" w:color="auto"/>
            </w:tcBorders>
            <w:shd w:val="clear" w:color="auto" w:fill="auto"/>
            <w:hideMark/>
          </w:tcPr>
          <w:p w14:paraId="713F1640"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-531,54</w:t>
            </w:r>
          </w:p>
        </w:tc>
        <w:tc>
          <w:tcPr>
            <w:tcW w:w="992" w:type="dxa"/>
            <w:tcBorders>
              <w:top w:val="nil"/>
              <w:left w:val="nil"/>
              <w:bottom w:val="single" w:sz="8" w:space="0" w:color="auto"/>
              <w:right w:val="single" w:sz="8" w:space="0" w:color="auto"/>
            </w:tcBorders>
            <w:shd w:val="clear" w:color="auto" w:fill="auto"/>
            <w:noWrap/>
            <w:hideMark/>
          </w:tcPr>
          <w:p w14:paraId="1C459096"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27,5%</w:t>
            </w:r>
          </w:p>
        </w:tc>
      </w:tr>
      <w:tr w:rsidR="0027547A" w:rsidRPr="00DD6A7A" w14:paraId="547265BB"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2D7E65CD"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Procurarea activelor nemateriale</w:t>
            </w:r>
          </w:p>
        </w:tc>
        <w:tc>
          <w:tcPr>
            <w:tcW w:w="850" w:type="dxa"/>
            <w:tcBorders>
              <w:top w:val="nil"/>
              <w:left w:val="nil"/>
              <w:bottom w:val="single" w:sz="8" w:space="0" w:color="000000"/>
              <w:right w:val="nil"/>
            </w:tcBorders>
            <w:shd w:val="clear" w:color="auto" w:fill="auto"/>
            <w:hideMark/>
          </w:tcPr>
          <w:p w14:paraId="65143D77"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4.7.0</w:t>
            </w:r>
          </w:p>
        </w:tc>
        <w:tc>
          <w:tcPr>
            <w:tcW w:w="993" w:type="dxa"/>
            <w:tcBorders>
              <w:top w:val="nil"/>
              <w:left w:val="single" w:sz="8" w:space="0" w:color="auto"/>
              <w:bottom w:val="single" w:sz="8" w:space="0" w:color="auto"/>
              <w:right w:val="single" w:sz="8" w:space="0" w:color="auto"/>
            </w:tcBorders>
            <w:shd w:val="clear" w:color="auto" w:fill="auto"/>
            <w:hideMark/>
          </w:tcPr>
          <w:p w14:paraId="5486EFD2"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317110</w:t>
            </w:r>
          </w:p>
        </w:tc>
        <w:tc>
          <w:tcPr>
            <w:tcW w:w="1025" w:type="dxa"/>
            <w:tcBorders>
              <w:top w:val="nil"/>
              <w:left w:val="nil"/>
              <w:bottom w:val="single" w:sz="8" w:space="0" w:color="auto"/>
              <w:right w:val="single" w:sz="8" w:space="0" w:color="auto"/>
            </w:tcBorders>
            <w:shd w:val="clear" w:color="auto" w:fill="auto"/>
            <w:hideMark/>
          </w:tcPr>
          <w:p w14:paraId="57AB3337"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170,00</w:t>
            </w:r>
          </w:p>
        </w:tc>
        <w:tc>
          <w:tcPr>
            <w:tcW w:w="1025" w:type="dxa"/>
            <w:tcBorders>
              <w:top w:val="nil"/>
              <w:left w:val="nil"/>
              <w:bottom w:val="single" w:sz="8" w:space="0" w:color="auto"/>
              <w:right w:val="single" w:sz="8" w:space="0" w:color="auto"/>
            </w:tcBorders>
            <w:shd w:val="clear" w:color="auto" w:fill="auto"/>
            <w:hideMark/>
          </w:tcPr>
          <w:p w14:paraId="5DD89C58"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733,51</w:t>
            </w:r>
          </w:p>
        </w:tc>
        <w:tc>
          <w:tcPr>
            <w:tcW w:w="1237" w:type="dxa"/>
            <w:tcBorders>
              <w:top w:val="nil"/>
              <w:left w:val="nil"/>
              <w:bottom w:val="single" w:sz="8" w:space="0" w:color="auto"/>
              <w:right w:val="single" w:sz="8" w:space="0" w:color="auto"/>
            </w:tcBorders>
            <w:shd w:val="clear" w:color="auto" w:fill="auto"/>
            <w:hideMark/>
          </w:tcPr>
          <w:p w14:paraId="59F2D43A"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201,97</w:t>
            </w:r>
          </w:p>
        </w:tc>
        <w:tc>
          <w:tcPr>
            <w:tcW w:w="1134" w:type="dxa"/>
            <w:tcBorders>
              <w:top w:val="nil"/>
              <w:left w:val="nil"/>
              <w:bottom w:val="single" w:sz="8" w:space="0" w:color="auto"/>
              <w:right w:val="single" w:sz="8" w:space="0" w:color="auto"/>
            </w:tcBorders>
            <w:shd w:val="clear" w:color="auto" w:fill="auto"/>
            <w:hideMark/>
          </w:tcPr>
          <w:p w14:paraId="53C4A35D"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39BC0F03"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563,51</w:t>
            </w:r>
          </w:p>
        </w:tc>
        <w:tc>
          <w:tcPr>
            <w:tcW w:w="1134" w:type="dxa"/>
            <w:tcBorders>
              <w:top w:val="nil"/>
              <w:left w:val="nil"/>
              <w:bottom w:val="single" w:sz="8" w:space="0" w:color="auto"/>
              <w:right w:val="single" w:sz="8" w:space="0" w:color="auto"/>
            </w:tcBorders>
            <w:shd w:val="clear" w:color="auto" w:fill="auto"/>
            <w:hideMark/>
          </w:tcPr>
          <w:p w14:paraId="7E98B2F6"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-531,54</w:t>
            </w:r>
          </w:p>
        </w:tc>
        <w:tc>
          <w:tcPr>
            <w:tcW w:w="992" w:type="dxa"/>
            <w:tcBorders>
              <w:top w:val="nil"/>
              <w:left w:val="nil"/>
              <w:bottom w:val="single" w:sz="8" w:space="0" w:color="auto"/>
              <w:right w:val="single" w:sz="8" w:space="0" w:color="auto"/>
            </w:tcBorders>
            <w:shd w:val="clear" w:color="auto" w:fill="auto"/>
            <w:noWrap/>
            <w:hideMark/>
          </w:tcPr>
          <w:p w14:paraId="43169582"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27,5%</w:t>
            </w:r>
          </w:p>
        </w:tc>
      </w:tr>
      <w:tr w:rsidR="0027547A" w:rsidRPr="00DD6A7A" w14:paraId="496E41CF"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43B5980A"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Alte mijloace fixe</w:t>
            </w:r>
          </w:p>
        </w:tc>
        <w:tc>
          <w:tcPr>
            <w:tcW w:w="850" w:type="dxa"/>
            <w:tcBorders>
              <w:top w:val="nil"/>
              <w:left w:val="nil"/>
              <w:bottom w:val="single" w:sz="8" w:space="0" w:color="000000"/>
              <w:right w:val="nil"/>
            </w:tcBorders>
            <w:shd w:val="clear" w:color="auto" w:fill="auto"/>
            <w:hideMark/>
          </w:tcPr>
          <w:p w14:paraId="2896A10F"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4.8</w:t>
            </w:r>
          </w:p>
        </w:tc>
        <w:tc>
          <w:tcPr>
            <w:tcW w:w="993" w:type="dxa"/>
            <w:tcBorders>
              <w:top w:val="nil"/>
              <w:left w:val="single" w:sz="8" w:space="0" w:color="auto"/>
              <w:bottom w:val="single" w:sz="8" w:space="0" w:color="auto"/>
              <w:right w:val="single" w:sz="8" w:space="0" w:color="auto"/>
            </w:tcBorders>
            <w:shd w:val="clear" w:color="auto" w:fill="auto"/>
            <w:hideMark/>
          </w:tcPr>
          <w:p w14:paraId="35AD85BB"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318</w:t>
            </w:r>
          </w:p>
        </w:tc>
        <w:tc>
          <w:tcPr>
            <w:tcW w:w="1025" w:type="dxa"/>
            <w:tcBorders>
              <w:top w:val="nil"/>
              <w:left w:val="nil"/>
              <w:bottom w:val="single" w:sz="8" w:space="0" w:color="auto"/>
              <w:right w:val="single" w:sz="8" w:space="0" w:color="auto"/>
            </w:tcBorders>
            <w:shd w:val="clear" w:color="auto" w:fill="auto"/>
            <w:hideMark/>
          </w:tcPr>
          <w:p w14:paraId="5CF02322"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0380C525"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0,50</w:t>
            </w:r>
          </w:p>
        </w:tc>
        <w:tc>
          <w:tcPr>
            <w:tcW w:w="1237" w:type="dxa"/>
            <w:tcBorders>
              <w:top w:val="nil"/>
              <w:left w:val="nil"/>
              <w:bottom w:val="single" w:sz="8" w:space="0" w:color="auto"/>
              <w:right w:val="single" w:sz="8" w:space="0" w:color="auto"/>
            </w:tcBorders>
            <w:shd w:val="clear" w:color="auto" w:fill="auto"/>
            <w:hideMark/>
          </w:tcPr>
          <w:p w14:paraId="7E17BE3B"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0,36</w:t>
            </w:r>
          </w:p>
        </w:tc>
        <w:tc>
          <w:tcPr>
            <w:tcW w:w="1134" w:type="dxa"/>
            <w:tcBorders>
              <w:top w:val="nil"/>
              <w:left w:val="nil"/>
              <w:bottom w:val="single" w:sz="8" w:space="0" w:color="auto"/>
              <w:right w:val="single" w:sz="8" w:space="0" w:color="auto"/>
            </w:tcBorders>
            <w:shd w:val="clear" w:color="auto" w:fill="auto"/>
            <w:hideMark/>
          </w:tcPr>
          <w:p w14:paraId="6FE9DA90"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7972AD56"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0,50</w:t>
            </w:r>
          </w:p>
        </w:tc>
        <w:tc>
          <w:tcPr>
            <w:tcW w:w="1134" w:type="dxa"/>
            <w:tcBorders>
              <w:top w:val="nil"/>
              <w:left w:val="nil"/>
              <w:bottom w:val="single" w:sz="8" w:space="0" w:color="auto"/>
              <w:right w:val="single" w:sz="8" w:space="0" w:color="auto"/>
            </w:tcBorders>
            <w:shd w:val="clear" w:color="auto" w:fill="auto"/>
            <w:hideMark/>
          </w:tcPr>
          <w:p w14:paraId="3F70B327"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-0,14</w:t>
            </w:r>
          </w:p>
        </w:tc>
        <w:tc>
          <w:tcPr>
            <w:tcW w:w="992" w:type="dxa"/>
            <w:tcBorders>
              <w:top w:val="nil"/>
              <w:left w:val="nil"/>
              <w:bottom w:val="single" w:sz="8" w:space="0" w:color="auto"/>
              <w:right w:val="single" w:sz="8" w:space="0" w:color="auto"/>
            </w:tcBorders>
            <w:shd w:val="clear" w:color="auto" w:fill="auto"/>
            <w:noWrap/>
            <w:hideMark/>
          </w:tcPr>
          <w:p w14:paraId="6195C332"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72,0%</w:t>
            </w:r>
          </w:p>
        </w:tc>
      </w:tr>
      <w:tr w:rsidR="0027547A" w:rsidRPr="00DD6A7A" w14:paraId="08E6FC01"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25DF8A94"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Procurarea altor mijloace fixe</w:t>
            </w:r>
          </w:p>
        </w:tc>
        <w:tc>
          <w:tcPr>
            <w:tcW w:w="850" w:type="dxa"/>
            <w:tcBorders>
              <w:top w:val="nil"/>
              <w:left w:val="nil"/>
              <w:bottom w:val="single" w:sz="8" w:space="0" w:color="000000"/>
              <w:right w:val="nil"/>
            </w:tcBorders>
            <w:shd w:val="clear" w:color="auto" w:fill="auto"/>
            <w:hideMark/>
          </w:tcPr>
          <w:p w14:paraId="0BD40438"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4.8.0</w:t>
            </w:r>
          </w:p>
        </w:tc>
        <w:tc>
          <w:tcPr>
            <w:tcW w:w="993" w:type="dxa"/>
            <w:tcBorders>
              <w:top w:val="nil"/>
              <w:left w:val="single" w:sz="8" w:space="0" w:color="auto"/>
              <w:bottom w:val="single" w:sz="8" w:space="0" w:color="auto"/>
              <w:right w:val="single" w:sz="8" w:space="0" w:color="auto"/>
            </w:tcBorders>
            <w:shd w:val="clear" w:color="auto" w:fill="auto"/>
            <w:hideMark/>
          </w:tcPr>
          <w:p w14:paraId="5FB29183"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318110</w:t>
            </w:r>
          </w:p>
        </w:tc>
        <w:tc>
          <w:tcPr>
            <w:tcW w:w="1025" w:type="dxa"/>
            <w:tcBorders>
              <w:top w:val="nil"/>
              <w:left w:val="nil"/>
              <w:bottom w:val="single" w:sz="8" w:space="0" w:color="auto"/>
              <w:right w:val="single" w:sz="8" w:space="0" w:color="auto"/>
            </w:tcBorders>
            <w:shd w:val="clear" w:color="auto" w:fill="auto"/>
            <w:hideMark/>
          </w:tcPr>
          <w:p w14:paraId="60853F2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72D3CE72"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0,50</w:t>
            </w:r>
          </w:p>
        </w:tc>
        <w:tc>
          <w:tcPr>
            <w:tcW w:w="1237" w:type="dxa"/>
            <w:tcBorders>
              <w:top w:val="nil"/>
              <w:left w:val="nil"/>
              <w:bottom w:val="single" w:sz="8" w:space="0" w:color="auto"/>
              <w:right w:val="single" w:sz="8" w:space="0" w:color="auto"/>
            </w:tcBorders>
            <w:shd w:val="clear" w:color="auto" w:fill="auto"/>
            <w:hideMark/>
          </w:tcPr>
          <w:p w14:paraId="42A3D61D"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0,36</w:t>
            </w:r>
          </w:p>
        </w:tc>
        <w:tc>
          <w:tcPr>
            <w:tcW w:w="1134" w:type="dxa"/>
            <w:tcBorders>
              <w:top w:val="nil"/>
              <w:left w:val="nil"/>
              <w:bottom w:val="single" w:sz="8" w:space="0" w:color="auto"/>
              <w:right w:val="single" w:sz="8" w:space="0" w:color="auto"/>
            </w:tcBorders>
            <w:shd w:val="clear" w:color="auto" w:fill="auto"/>
            <w:hideMark/>
          </w:tcPr>
          <w:p w14:paraId="2259E330"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6D6D7B4E"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0,50</w:t>
            </w:r>
          </w:p>
        </w:tc>
        <w:tc>
          <w:tcPr>
            <w:tcW w:w="1134" w:type="dxa"/>
            <w:tcBorders>
              <w:top w:val="nil"/>
              <w:left w:val="nil"/>
              <w:bottom w:val="single" w:sz="8" w:space="0" w:color="auto"/>
              <w:right w:val="single" w:sz="8" w:space="0" w:color="auto"/>
            </w:tcBorders>
            <w:shd w:val="clear" w:color="auto" w:fill="auto"/>
            <w:hideMark/>
          </w:tcPr>
          <w:p w14:paraId="1C205B7F"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-0,14</w:t>
            </w:r>
          </w:p>
        </w:tc>
        <w:tc>
          <w:tcPr>
            <w:tcW w:w="992" w:type="dxa"/>
            <w:tcBorders>
              <w:top w:val="nil"/>
              <w:left w:val="nil"/>
              <w:bottom w:val="single" w:sz="8" w:space="0" w:color="auto"/>
              <w:right w:val="single" w:sz="8" w:space="0" w:color="auto"/>
            </w:tcBorders>
            <w:shd w:val="clear" w:color="auto" w:fill="auto"/>
            <w:noWrap/>
            <w:hideMark/>
          </w:tcPr>
          <w:p w14:paraId="2062C9DE"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72,0%</w:t>
            </w:r>
          </w:p>
        </w:tc>
      </w:tr>
      <w:tr w:rsidR="0027547A" w:rsidRPr="00DD6A7A" w14:paraId="4D19455E" w14:textId="77777777" w:rsidTr="00DA758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205E683D" w14:textId="39166455" w:rsidR="0027547A" w:rsidRPr="00DD6A7A" w:rsidRDefault="00F81701" w:rsidP="00C43819">
            <w:pPr>
              <w:spacing w:after="0" w:line="240" w:lineRule="auto"/>
              <w:rPr>
                <w:rFonts w:ascii="Times New Roman" w:eastAsia="Times New Roman" w:hAnsi="Times New Roman" w:cs="Times New Roman"/>
                <w:b/>
                <w:bCs/>
                <w:color w:val="000000"/>
                <w:sz w:val="18"/>
                <w:szCs w:val="18"/>
                <w:lang w:val="ro-RO"/>
              </w:rPr>
            </w:pPr>
            <w:r>
              <w:rPr>
                <w:rFonts w:ascii="Times New Roman" w:eastAsia="Times New Roman" w:hAnsi="Times New Roman" w:cs="Times New Roman"/>
                <w:b/>
                <w:bCs/>
                <w:color w:val="000000"/>
                <w:sz w:val="18"/>
                <w:szCs w:val="18"/>
                <w:lang w:val="ro-RO"/>
              </w:rPr>
              <w:lastRenderedPageBreak/>
              <w:t>Carburanți</w:t>
            </w:r>
            <w:r w:rsidR="0027547A" w:rsidRPr="00DD6A7A">
              <w:rPr>
                <w:rFonts w:ascii="Times New Roman" w:eastAsia="Times New Roman" w:hAnsi="Times New Roman" w:cs="Times New Roman"/>
                <w:b/>
                <w:bCs/>
                <w:color w:val="000000"/>
                <w:sz w:val="18"/>
                <w:szCs w:val="18"/>
                <w:lang w:val="ro-RO"/>
              </w:rPr>
              <w:t>, carburanți și lubrifianți</w:t>
            </w:r>
          </w:p>
        </w:tc>
        <w:tc>
          <w:tcPr>
            <w:tcW w:w="850" w:type="dxa"/>
            <w:tcBorders>
              <w:top w:val="nil"/>
              <w:left w:val="nil"/>
              <w:bottom w:val="single" w:sz="8" w:space="0" w:color="000000"/>
              <w:right w:val="nil"/>
            </w:tcBorders>
            <w:shd w:val="clear" w:color="auto" w:fill="auto"/>
            <w:hideMark/>
          </w:tcPr>
          <w:p w14:paraId="60D1B6A3"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4.13</w:t>
            </w:r>
          </w:p>
        </w:tc>
        <w:tc>
          <w:tcPr>
            <w:tcW w:w="993" w:type="dxa"/>
            <w:tcBorders>
              <w:top w:val="nil"/>
              <w:left w:val="single" w:sz="8" w:space="0" w:color="auto"/>
              <w:bottom w:val="single" w:sz="8" w:space="0" w:color="auto"/>
              <w:right w:val="single" w:sz="8" w:space="0" w:color="auto"/>
            </w:tcBorders>
            <w:shd w:val="clear" w:color="auto" w:fill="auto"/>
            <w:hideMark/>
          </w:tcPr>
          <w:p w14:paraId="68587A2E"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331</w:t>
            </w:r>
          </w:p>
        </w:tc>
        <w:tc>
          <w:tcPr>
            <w:tcW w:w="1025" w:type="dxa"/>
            <w:tcBorders>
              <w:top w:val="nil"/>
              <w:left w:val="nil"/>
              <w:bottom w:val="single" w:sz="8" w:space="0" w:color="auto"/>
              <w:right w:val="single" w:sz="8" w:space="0" w:color="auto"/>
            </w:tcBorders>
            <w:shd w:val="clear" w:color="auto" w:fill="auto"/>
            <w:hideMark/>
          </w:tcPr>
          <w:p w14:paraId="2554374A"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643,70</w:t>
            </w:r>
          </w:p>
        </w:tc>
        <w:tc>
          <w:tcPr>
            <w:tcW w:w="1025" w:type="dxa"/>
            <w:tcBorders>
              <w:top w:val="nil"/>
              <w:left w:val="nil"/>
              <w:bottom w:val="single" w:sz="8" w:space="0" w:color="auto"/>
              <w:right w:val="single" w:sz="8" w:space="0" w:color="auto"/>
            </w:tcBorders>
            <w:shd w:val="clear" w:color="auto" w:fill="auto"/>
            <w:hideMark/>
          </w:tcPr>
          <w:p w14:paraId="2AD9E009"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348,46</w:t>
            </w:r>
          </w:p>
        </w:tc>
        <w:tc>
          <w:tcPr>
            <w:tcW w:w="1237" w:type="dxa"/>
            <w:tcBorders>
              <w:top w:val="nil"/>
              <w:left w:val="nil"/>
              <w:bottom w:val="single" w:sz="8" w:space="0" w:color="auto"/>
              <w:right w:val="single" w:sz="8" w:space="0" w:color="auto"/>
            </w:tcBorders>
            <w:shd w:val="clear" w:color="auto" w:fill="auto"/>
            <w:hideMark/>
          </w:tcPr>
          <w:p w14:paraId="03747E0F"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242,12</w:t>
            </w:r>
          </w:p>
        </w:tc>
        <w:tc>
          <w:tcPr>
            <w:tcW w:w="1134" w:type="dxa"/>
            <w:tcBorders>
              <w:top w:val="nil"/>
              <w:left w:val="nil"/>
              <w:bottom w:val="single" w:sz="8" w:space="0" w:color="auto"/>
              <w:right w:val="single" w:sz="8" w:space="0" w:color="auto"/>
            </w:tcBorders>
            <w:shd w:val="clear" w:color="auto" w:fill="auto"/>
            <w:hideMark/>
          </w:tcPr>
          <w:p w14:paraId="2714AF30"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5F917E95"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-295,24</w:t>
            </w:r>
          </w:p>
        </w:tc>
        <w:tc>
          <w:tcPr>
            <w:tcW w:w="1134" w:type="dxa"/>
            <w:tcBorders>
              <w:top w:val="nil"/>
              <w:left w:val="nil"/>
              <w:bottom w:val="single" w:sz="8" w:space="0" w:color="auto"/>
              <w:right w:val="single" w:sz="8" w:space="0" w:color="auto"/>
            </w:tcBorders>
            <w:shd w:val="clear" w:color="auto" w:fill="auto"/>
            <w:hideMark/>
          </w:tcPr>
          <w:p w14:paraId="6BB1F22B"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-106,34</w:t>
            </w:r>
          </w:p>
        </w:tc>
        <w:tc>
          <w:tcPr>
            <w:tcW w:w="992" w:type="dxa"/>
            <w:tcBorders>
              <w:top w:val="nil"/>
              <w:left w:val="nil"/>
              <w:bottom w:val="single" w:sz="8" w:space="0" w:color="auto"/>
              <w:right w:val="single" w:sz="8" w:space="0" w:color="auto"/>
            </w:tcBorders>
            <w:shd w:val="clear" w:color="auto" w:fill="auto"/>
            <w:noWrap/>
            <w:hideMark/>
          </w:tcPr>
          <w:p w14:paraId="24A445DF"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69,5%</w:t>
            </w:r>
          </w:p>
        </w:tc>
      </w:tr>
      <w:tr w:rsidR="0027547A" w:rsidRPr="00DD6A7A" w14:paraId="2F50E810" w14:textId="77777777" w:rsidTr="00DA758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5D86FA51" w14:textId="364E6473" w:rsidR="0027547A" w:rsidRPr="00DD6A7A" w:rsidRDefault="0027547A" w:rsidP="00021528">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 xml:space="preserve">Procurarea </w:t>
            </w:r>
            <w:r w:rsidR="00F81701">
              <w:rPr>
                <w:rFonts w:ascii="Times New Roman" w:eastAsia="Times New Roman" w:hAnsi="Times New Roman" w:cs="Times New Roman"/>
                <w:color w:val="000000"/>
                <w:sz w:val="18"/>
                <w:szCs w:val="18"/>
                <w:lang w:val="ro-RO"/>
              </w:rPr>
              <w:t>carburanți</w:t>
            </w:r>
            <w:r w:rsidRPr="00DD6A7A">
              <w:rPr>
                <w:rFonts w:ascii="Times New Roman" w:eastAsia="Times New Roman" w:hAnsi="Times New Roman" w:cs="Times New Roman"/>
                <w:color w:val="000000"/>
                <w:sz w:val="18"/>
                <w:szCs w:val="18"/>
                <w:lang w:val="ro-RO"/>
              </w:rPr>
              <w:t>ului</w:t>
            </w:r>
            <w:r w:rsidR="00021528">
              <w:rPr>
                <w:rFonts w:ascii="Times New Roman" w:eastAsia="Times New Roman" w:hAnsi="Times New Roman" w:cs="Times New Roman"/>
                <w:color w:val="000000"/>
                <w:sz w:val="18"/>
                <w:szCs w:val="18"/>
                <w:lang w:val="ro-RO"/>
              </w:rPr>
              <w:t>,</w:t>
            </w:r>
            <w:r w:rsidRPr="00DD6A7A">
              <w:rPr>
                <w:rFonts w:ascii="Times New Roman" w:eastAsia="Times New Roman" w:hAnsi="Times New Roman" w:cs="Times New Roman"/>
                <w:color w:val="000000"/>
                <w:sz w:val="18"/>
                <w:szCs w:val="18"/>
                <w:lang w:val="ro-RO"/>
              </w:rPr>
              <w:t xml:space="preserve"> carburanţilor şi lubrifianţilor</w:t>
            </w:r>
          </w:p>
        </w:tc>
        <w:tc>
          <w:tcPr>
            <w:tcW w:w="850" w:type="dxa"/>
            <w:tcBorders>
              <w:top w:val="nil"/>
              <w:left w:val="nil"/>
              <w:bottom w:val="single" w:sz="8" w:space="0" w:color="000000"/>
              <w:right w:val="nil"/>
            </w:tcBorders>
            <w:shd w:val="clear" w:color="auto" w:fill="auto"/>
            <w:hideMark/>
          </w:tcPr>
          <w:p w14:paraId="1E3DE718"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4.13.0</w:t>
            </w:r>
          </w:p>
        </w:tc>
        <w:tc>
          <w:tcPr>
            <w:tcW w:w="993" w:type="dxa"/>
            <w:tcBorders>
              <w:top w:val="nil"/>
              <w:left w:val="single" w:sz="8" w:space="0" w:color="auto"/>
              <w:bottom w:val="single" w:sz="8" w:space="0" w:color="auto"/>
              <w:right w:val="single" w:sz="8" w:space="0" w:color="auto"/>
            </w:tcBorders>
            <w:shd w:val="clear" w:color="auto" w:fill="auto"/>
            <w:hideMark/>
          </w:tcPr>
          <w:p w14:paraId="47D74C40"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331110</w:t>
            </w:r>
          </w:p>
        </w:tc>
        <w:tc>
          <w:tcPr>
            <w:tcW w:w="1025" w:type="dxa"/>
            <w:tcBorders>
              <w:top w:val="nil"/>
              <w:left w:val="nil"/>
              <w:bottom w:val="single" w:sz="8" w:space="0" w:color="auto"/>
              <w:right w:val="single" w:sz="8" w:space="0" w:color="auto"/>
            </w:tcBorders>
            <w:shd w:val="clear" w:color="auto" w:fill="auto"/>
            <w:hideMark/>
          </w:tcPr>
          <w:p w14:paraId="2995067F"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643,70</w:t>
            </w:r>
          </w:p>
        </w:tc>
        <w:tc>
          <w:tcPr>
            <w:tcW w:w="1025" w:type="dxa"/>
            <w:tcBorders>
              <w:top w:val="nil"/>
              <w:left w:val="nil"/>
              <w:bottom w:val="single" w:sz="8" w:space="0" w:color="auto"/>
              <w:right w:val="single" w:sz="8" w:space="0" w:color="auto"/>
            </w:tcBorders>
            <w:shd w:val="clear" w:color="auto" w:fill="auto"/>
            <w:hideMark/>
          </w:tcPr>
          <w:p w14:paraId="55270868"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348,46</w:t>
            </w:r>
          </w:p>
        </w:tc>
        <w:tc>
          <w:tcPr>
            <w:tcW w:w="1237" w:type="dxa"/>
            <w:tcBorders>
              <w:top w:val="nil"/>
              <w:left w:val="nil"/>
              <w:bottom w:val="single" w:sz="8" w:space="0" w:color="auto"/>
              <w:right w:val="single" w:sz="8" w:space="0" w:color="auto"/>
            </w:tcBorders>
            <w:shd w:val="clear" w:color="auto" w:fill="auto"/>
            <w:hideMark/>
          </w:tcPr>
          <w:p w14:paraId="557A688E"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242,12</w:t>
            </w:r>
          </w:p>
        </w:tc>
        <w:tc>
          <w:tcPr>
            <w:tcW w:w="1134" w:type="dxa"/>
            <w:tcBorders>
              <w:top w:val="nil"/>
              <w:left w:val="nil"/>
              <w:bottom w:val="single" w:sz="8" w:space="0" w:color="auto"/>
              <w:right w:val="single" w:sz="8" w:space="0" w:color="auto"/>
            </w:tcBorders>
            <w:shd w:val="clear" w:color="auto" w:fill="auto"/>
            <w:hideMark/>
          </w:tcPr>
          <w:p w14:paraId="5409E334"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1A5E3702"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-295,24</w:t>
            </w:r>
          </w:p>
        </w:tc>
        <w:tc>
          <w:tcPr>
            <w:tcW w:w="1134" w:type="dxa"/>
            <w:tcBorders>
              <w:top w:val="nil"/>
              <w:left w:val="nil"/>
              <w:bottom w:val="single" w:sz="8" w:space="0" w:color="auto"/>
              <w:right w:val="single" w:sz="8" w:space="0" w:color="auto"/>
            </w:tcBorders>
            <w:shd w:val="clear" w:color="auto" w:fill="auto"/>
            <w:hideMark/>
          </w:tcPr>
          <w:p w14:paraId="2B70F788"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-106,34</w:t>
            </w:r>
          </w:p>
        </w:tc>
        <w:tc>
          <w:tcPr>
            <w:tcW w:w="992" w:type="dxa"/>
            <w:tcBorders>
              <w:top w:val="nil"/>
              <w:left w:val="nil"/>
              <w:bottom w:val="single" w:sz="8" w:space="0" w:color="auto"/>
              <w:right w:val="single" w:sz="8" w:space="0" w:color="auto"/>
            </w:tcBorders>
            <w:shd w:val="clear" w:color="auto" w:fill="auto"/>
            <w:noWrap/>
            <w:hideMark/>
          </w:tcPr>
          <w:p w14:paraId="27D4F1E7"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69,5%</w:t>
            </w:r>
          </w:p>
        </w:tc>
      </w:tr>
      <w:tr w:rsidR="0027547A" w:rsidRPr="00DD6A7A" w14:paraId="74A660E0"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4DE369AE"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Piese de schimb</w:t>
            </w:r>
          </w:p>
        </w:tc>
        <w:tc>
          <w:tcPr>
            <w:tcW w:w="850" w:type="dxa"/>
            <w:tcBorders>
              <w:top w:val="nil"/>
              <w:left w:val="nil"/>
              <w:bottom w:val="single" w:sz="8" w:space="0" w:color="000000"/>
              <w:right w:val="nil"/>
            </w:tcBorders>
            <w:shd w:val="clear" w:color="auto" w:fill="auto"/>
            <w:hideMark/>
          </w:tcPr>
          <w:p w14:paraId="285A1712"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4.14</w:t>
            </w:r>
          </w:p>
        </w:tc>
        <w:tc>
          <w:tcPr>
            <w:tcW w:w="993" w:type="dxa"/>
            <w:tcBorders>
              <w:top w:val="nil"/>
              <w:left w:val="single" w:sz="8" w:space="0" w:color="auto"/>
              <w:bottom w:val="single" w:sz="8" w:space="0" w:color="auto"/>
              <w:right w:val="single" w:sz="8" w:space="0" w:color="auto"/>
            </w:tcBorders>
            <w:shd w:val="clear" w:color="auto" w:fill="auto"/>
            <w:hideMark/>
          </w:tcPr>
          <w:p w14:paraId="2333E5BB"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332</w:t>
            </w:r>
          </w:p>
        </w:tc>
        <w:tc>
          <w:tcPr>
            <w:tcW w:w="1025" w:type="dxa"/>
            <w:tcBorders>
              <w:top w:val="nil"/>
              <w:left w:val="nil"/>
              <w:bottom w:val="single" w:sz="8" w:space="0" w:color="auto"/>
              <w:right w:val="single" w:sz="8" w:space="0" w:color="auto"/>
            </w:tcBorders>
            <w:shd w:val="clear" w:color="auto" w:fill="auto"/>
            <w:hideMark/>
          </w:tcPr>
          <w:p w14:paraId="190108C2"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152,10</w:t>
            </w:r>
          </w:p>
        </w:tc>
        <w:tc>
          <w:tcPr>
            <w:tcW w:w="1025" w:type="dxa"/>
            <w:tcBorders>
              <w:top w:val="nil"/>
              <w:left w:val="nil"/>
              <w:bottom w:val="single" w:sz="8" w:space="0" w:color="auto"/>
              <w:right w:val="single" w:sz="8" w:space="0" w:color="auto"/>
            </w:tcBorders>
            <w:shd w:val="clear" w:color="auto" w:fill="auto"/>
            <w:hideMark/>
          </w:tcPr>
          <w:p w14:paraId="57B9BB70"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136,73</w:t>
            </w:r>
          </w:p>
        </w:tc>
        <w:tc>
          <w:tcPr>
            <w:tcW w:w="1237" w:type="dxa"/>
            <w:tcBorders>
              <w:top w:val="nil"/>
              <w:left w:val="nil"/>
              <w:bottom w:val="single" w:sz="8" w:space="0" w:color="auto"/>
              <w:right w:val="single" w:sz="8" w:space="0" w:color="auto"/>
            </w:tcBorders>
            <w:shd w:val="clear" w:color="auto" w:fill="auto"/>
            <w:hideMark/>
          </w:tcPr>
          <w:p w14:paraId="0B58A40A"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94,63</w:t>
            </w:r>
          </w:p>
        </w:tc>
        <w:tc>
          <w:tcPr>
            <w:tcW w:w="1134" w:type="dxa"/>
            <w:tcBorders>
              <w:top w:val="nil"/>
              <w:left w:val="nil"/>
              <w:bottom w:val="single" w:sz="8" w:space="0" w:color="auto"/>
              <w:right w:val="single" w:sz="8" w:space="0" w:color="auto"/>
            </w:tcBorders>
            <w:shd w:val="clear" w:color="auto" w:fill="auto"/>
            <w:hideMark/>
          </w:tcPr>
          <w:p w14:paraId="6299B9C5"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3E78A5DD"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-15,37</w:t>
            </w:r>
          </w:p>
        </w:tc>
        <w:tc>
          <w:tcPr>
            <w:tcW w:w="1134" w:type="dxa"/>
            <w:tcBorders>
              <w:top w:val="nil"/>
              <w:left w:val="nil"/>
              <w:bottom w:val="single" w:sz="8" w:space="0" w:color="auto"/>
              <w:right w:val="single" w:sz="8" w:space="0" w:color="auto"/>
            </w:tcBorders>
            <w:shd w:val="clear" w:color="auto" w:fill="auto"/>
            <w:hideMark/>
          </w:tcPr>
          <w:p w14:paraId="357FED52"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-42,10</w:t>
            </w:r>
          </w:p>
        </w:tc>
        <w:tc>
          <w:tcPr>
            <w:tcW w:w="992" w:type="dxa"/>
            <w:tcBorders>
              <w:top w:val="nil"/>
              <w:left w:val="nil"/>
              <w:bottom w:val="single" w:sz="8" w:space="0" w:color="auto"/>
              <w:right w:val="single" w:sz="8" w:space="0" w:color="auto"/>
            </w:tcBorders>
            <w:shd w:val="clear" w:color="auto" w:fill="auto"/>
            <w:noWrap/>
            <w:hideMark/>
          </w:tcPr>
          <w:p w14:paraId="07C03B0F"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69,2%</w:t>
            </w:r>
          </w:p>
        </w:tc>
      </w:tr>
      <w:tr w:rsidR="0027547A" w:rsidRPr="00DD6A7A" w14:paraId="55782915"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2DDF5495"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Procurarea pieselor de schimb</w:t>
            </w:r>
          </w:p>
        </w:tc>
        <w:tc>
          <w:tcPr>
            <w:tcW w:w="850" w:type="dxa"/>
            <w:tcBorders>
              <w:top w:val="nil"/>
              <w:left w:val="nil"/>
              <w:bottom w:val="single" w:sz="8" w:space="0" w:color="000000"/>
              <w:right w:val="nil"/>
            </w:tcBorders>
            <w:shd w:val="clear" w:color="auto" w:fill="auto"/>
            <w:hideMark/>
          </w:tcPr>
          <w:p w14:paraId="6BBC9E7C"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4.14.0</w:t>
            </w:r>
          </w:p>
        </w:tc>
        <w:tc>
          <w:tcPr>
            <w:tcW w:w="993" w:type="dxa"/>
            <w:tcBorders>
              <w:top w:val="nil"/>
              <w:left w:val="single" w:sz="8" w:space="0" w:color="auto"/>
              <w:bottom w:val="single" w:sz="8" w:space="0" w:color="auto"/>
              <w:right w:val="single" w:sz="8" w:space="0" w:color="auto"/>
            </w:tcBorders>
            <w:shd w:val="clear" w:color="auto" w:fill="auto"/>
            <w:hideMark/>
          </w:tcPr>
          <w:p w14:paraId="3E18EA64"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332110</w:t>
            </w:r>
          </w:p>
        </w:tc>
        <w:tc>
          <w:tcPr>
            <w:tcW w:w="1025" w:type="dxa"/>
            <w:tcBorders>
              <w:top w:val="nil"/>
              <w:left w:val="nil"/>
              <w:bottom w:val="single" w:sz="8" w:space="0" w:color="auto"/>
              <w:right w:val="single" w:sz="8" w:space="0" w:color="auto"/>
            </w:tcBorders>
            <w:shd w:val="clear" w:color="auto" w:fill="auto"/>
            <w:hideMark/>
          </w:tcPr>
          <w:p w14:paraId="5CE4D52B"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152,10</w:t>
            </w:r>
          </w:p>
        </w:tc>
        <w:tc>
          <w:tcPr>
            <w:tcW w:w="1025" w:type="dxa"/>
            <w:tcBorders>
              <w:top w:val="nil"/>
              <w:left w:val="nil"/>
              <w:bottom w:val="single" w:sz="8" w:space="0" w:color="auto"/>
              <w:right w:val="single" w:sz="8" w:space="0" w:color="auto"/>
            </w:tcBorders>
            <w:shd w:val="clear" w:color="auto" w:fill="auto"/>
            <w:hideMark/>
          </w:tcPr>
          <w:p w14:paraId="51D2C077"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136,73</w:t>
            </w:r>
          </w:p>
        </w:tc>
        <w:tc>
          <w:tcPr>
            <w:tcW w:w="1237" w:type="dxa"/>
            <w:tcBorders>
              <w:top w:val="nil"/>
              <w:left w:val="nil"/>
              <w:bottom w:val="single" w:sz="8" w:space="0" w:color="auto"/>
              <w:right w:val="single" w:sz="8" w:space="0" w:color="auto"/>
            </w:tcBorders>
            <w:shd w:val="clear" w:color="auto" w:fill="auto"/>
            <w:hideMark/>
          </w:tcPr>
          <w:p w14:paraId="1D2E7A03"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94,63</w:t>
            </w:r>
          </w:p>
        </w:tc>
        <w:tc>
          <w:tcPr>
            <w:tcW w:w="1134" w:type="dxa"/>
            <w:tcBorders>
              <w:top w:val="nil"/>
              <w:left w:val="nil"/>
              <w:bottom w:val="single" w:sz="8" w:space="0" w:color="auto"/>
              <w:right w:val="single" w:sz="8" w:space="0" w:color="auto"/>
            </w:tcBorders>
            <w:shd w:val="clear" w:color="auto" w:fill="auto"/>
            <w:hideMark/>
          </w:tcPr>
          <w:p w14:paraId="1B0B8455"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23E0700C"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-15,37</w:t>
            </w:r>
          </w:p>
        </w:tc>
        <w:tc>
          <w:tcPr>
            <w:tcW w:w="1134" w:type="dxa"/>
            <w:tcBorders>
              <w:top w:val="nil"/>
              <w:left w:val="nil"/>
              <w:bottom w:val="single" w:sz="8" w:space="0" w:color="auto"/>
              <w:right w:val="single" w:sz="8" w:space="0" w:color="auto"/>
            </w:tcBorders>
            <w:shd w:val="clear" w:color="auto" w:fill="auto"/>
            <w:hideMark/>
          </w:tcPr>
          <w:p w14:paraId="7437348E"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-42,10</w:t>
            </w:r>
          </w:p>
        </w:tc>
        <w:tc>
          <w:tcPr>
            <w:tcW w:w="992" w:type="dxa"/>
            <w:tcBorders>
              <w:top w:val="nil"/>
              <w:left w:val="nil"/>
              <w:bottom w:val="single" w:sz="8" w:space="0" w:color="auto"/>
              <w:right w:val="single" w:sz="8" w:space="0" w:color="auto"/>
            </w:tcBorders>
            <w:shd w:val="clear" w:color="auto" w:fill="auto"/>
            <w:noWrap/>
            <w:hideMark/>
          </w:tcPr>
          <w:p w14:paraId="04E80E45"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69,2%</w:t>
            </w:r>
          </w:p>
        </w:tc>
      </w:tr>
      <w:tr w:rsidR="0027547A" w:rsidRPr="00DD6A7A" w14:paraId="14739857" w14:textId="77777777" w:rsidTr="00DA758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7DCCF76C" w14:textId="5C79EEE3"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Materiale de uz gospodăresc și rechizit</w:t>
            </w:r>
            <w:r w:rsidR="00021528">
              <w:rPr>
                <w:rFonts w:ascii="Times New Roman" w:eastAsia="Times New Roman" w:hAnsi="Times New Roman" w:cs="Times New Roman"/>
                <w:b/>
                <w:bCs/>
                <w:color w:val="000000"/>
                <w:sz w:val="18"/>
                <w:szCs w:val="18"/>
                <w:lang w:val="ro-RO"/>
              </w:rPr>
              <w:t>e</w:t>
            </w:r>
            <w:r w:rsidRPr="00DD6A7A">
              <w:rPr>
                <w:rFonts w:ascii="Times New Roman" w:eastAsia="Times New Roman" w:hAnsi="Times New Roman" w:cs="Times New Roman"/>
                <w:b/>
                <w:bCs/>
                <w:color w:val="000000"/>
                <w:sz w:val="18"/>
                <w:szCs w:val="18"/>
                <w:lang w:val="ro-RO"/>
              </w:rPr>
              <w:t xml:space="preserve"> de birou</w:t>
            </w:r>
          </w:p>
        </w:tc>
        <w:tc>
          <w:tcPr>
            <w:tcW w:w="850" w:type="dxa"/>
            <w:tcBorders>
              <w:top w:val="nil"/>
              <w:left w:val="nil"/>
              <w:bottom w:val="single" w:sz="8" w:space="0" w:color="000000"/>
              <w:right w:val="nil"/>
            </w:tcBorders>
            <w:shd w:val="clear" w:color="auto" w:fill="auto"/>
            <w:hideMark/>
          </w:tcPr>
          <w:p w14:paraId="3B3CE08C"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4.18</w:t>
            </w:r>
          </w:p>
        </w:tc>
        <w:tc>
          <w:tcPr>
            <w:tcW w:w="993" w:type="dxa"/>
            <w:tcBorders>
              <w:top w:val="nil"/>
              <w:left w:val="single" w:sz="8" w:space="0" w:color="auto"/>
              <w:bottom w:val="single" w:sz="8" w:space="0" w:color="auto"/>
              <w:right w:val="single" w:sz="8" w:space="0" w:color="auto"/>
            </w:tcBorders>
            <w:shd w:val="clear" w:color="auto" w:fill="auto"/>
            <w:hideMark/>
          </w:tcPr>
          <w:p w14:paraId="297F2D82"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336</w:t>
            </w:r>
          </w:p>
        </w:tc>
        <w:tc>
          <w:tcPr>
            <w:tcW w:w="1025" w:type="dxa"/>
            <w:tcBorders>
              <w:top w:val="nil"/>
              <w:left w:val="nil"/>
              <w:bottom w:val="single" w:sz="8" w:space="0" w:color="auto"/>
              <w:right w:val="single" w:sz="8" w:space="0" w:color="auto"/>
            </w:tcBorders>
            <w:shd w:val="clear" w:color="auto" w:fill="auto"/>
            <w:hideMark/>
          </w:tcPr>
          <w:p w14:paraId="0F01951E"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508,50</w:t>
            </w:r>
          </w:p>
        </w:tc>
        <w:tc>
          <w:tcPr>
            <w:tcW w:w="1025" w:type="dxa"/>
            <w:tcBorders>
              <w:top w:val="nil"/>
              <w:left w:val="nil"/>
              <w:bottom w:val="single" w:sz="8" w:space="0" w:color="auto"/>
              <w:right w:val="single" w:sz="8" w:space="0" w:color="auto"/>
            </w:tcBorders>
            <w:shd w:val="clear" w:color="auto" w:fill="auto"/>
            <w:hideMark/>
          </w:tcPr>
          <w:p w14:paraId="4AC25EEA"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746,46</w:t>
            </w:r>
          </w:p>
        </w:tc>
        <w:tc>
          <w:tcPr>
            <w:tcW w:w="1237" w:type="dxa"/>
            <w:tcBorders>
              <w:top w:val="nil"/>
              <w:left w:val="nil"/>
              <w:bottom w:val="single" w:sz="8" w:space="0" w:color="auto"/>
              <w:right w:val="single" w:sz="8" w:space="0" w:color="auto"/>
            </w:tcBorders>
            <w:shd w:val="clear" w:color="auto" w:fill="auto"/>
            <w:hideMark/>
          </w:tcPr>
          <w:p w14:paraId="1DC007A2"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685,77</w:t>
            </w:r>
          </w:p>
        </w:tc>
        <w:tc>
          <w:tcPr>
            <w:tcW w:w="1134" w:type="dxa"/>
            <w:tcBorders>
              <w:top w:val="nil"/>
              <w:left w:val="nil"/>
              <w:bottom w:val="single" w:sz="8" w:space="0" w:color="auto"/>
              <w:right w:val="single" w:sz="8" w:space="0" w:color="auto"/>
            </w:tcBorders>
            <w:shd w:val="clear" w:color="auto" w:fill="auto"/>
            <w:hideMark/>
          </w:tcPr>
          <w:p w14:paraId="6AF19669"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51241BB3"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237,96</w:t>
            </w:r>
          </w:p>
        </w:tc>
        <w:tc>
          <w:tcPr>
            <w:tcW w:w="1134" w:type="dxa"/>
            <w:tcBorders>
              <w:top w:val="nil"/>
              <w:left w:val="nil"/>
              <w:bottom w:val="single" w:sz="8" w:space="0" w:color="auto"/>
              <w:right w:val="single" w:sz="8" w:space="0" w:color="auto"/>
            </w:tcBorders>
            <w:shd w:val="clear" w:color="auto" w:fill="auto"/>
            <w:hideMark/>
          </w:tcPr>
          <w:p w14:paraId="71478F0C"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-60,70</w:t>
            </w:r>
          </w:p>
        </w:tc>
        <w:tc>
          <w:tcPr>
            <w:tcW w:w="992" w:type="dxa"/>
            <w:tcBorders>
              <w:top w:val="nil"/>
              <w:left w:val="nil"/>
              <w:bottom w:val="single" w:sz="8" w:space="0" w:color="auto"/>
              <w:right w:val="single" w:sz="8" w:space="0" w:color="auto"/>
            </w:tcBorders>
            <w:shd w:val="clear" w:color="auto" w:fill="auto"/>
            <w:noWrap/>
            <w:hideMark/>
          </w:tcPr>
          <w:p w14:paraId="6147A436"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91,9%</w:t>
            </w:r>
          </w:p>
        </w:tc>
      </w:tr>
      <w:tr w:rsidR="0027547A" w:rsidRPr="00DD6A7A" w14:paraId="2232884A" w14:textId="77777777" w:rsidTr="00DA758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31A80A96" w14:textId="67056B29" w:rsidR="0027547A" w:rsidRPr="00DD6A7A" w:rsidRDefault="0027547A" w:rsidP="00021528">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Procurarea materialelor de uz gospod</w:t>
            </w:r>
            <w:r w:rsidR="00021528">
              <w:rPr>
                <w:rFonts w:ascii="Times New Roman" w:eastAsia="Times New Roman" w:hAnsi="Times New Roman" w:cs="Times New Roman"/>
                <w:color w:val="000000"/>
                <w:sz w:val="18"/>
                <w:szCs w:val="18"/>
                <w:lang w:val="ro-RO"/>
              </w:rPr>
              <w:t>ă</w:t>
            </w:r>
            <w:r w:rsidRPr="00DD6A7A">
              <w:rPr>
                <w:rFonts w:ascii="Times New Roman" w:eastAsia="Times New Roman" w:hAnsi="Times New Roman" w:cs="Times New Roman"/>
                <w:color w:val="000000"/>
                <w:sz w:val="18"/>
                <w:szCs w:val="18"/>
                <w:lang w:val="ro-RO"/>
              </w:rPr>
              <w:t>resc şi rechizitelor de birou</w:t>
            </w:r>
          </w:p>
        </w:tc>
        <w:tc>
          <w:tcPr>
            <w:tcW w:w="850" w:type="dxa"/>
            <w:tcBorders>
              <w:top w:val="nil"/>
              <w:left w:val="nil"/>
              <w:bottom w:val="single" w:sz="8" w:space="0" w:color="000000"/>
              <w:right w:val="nil"/>
            </w:tcBorders>
            <w:shd w:val="clear" w:color="auto" w:fill="auto"/>
            <w:hideMark/>
          </w:tcPr>
          <w:p w14:paraId="16AAF330"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4.18.0</w:t>
            </w:r>
          </w:p>
        </w:tc>
        <w:tc>
          <w:tcPr>
            <w:tcW w:w="993" w:type="dxa"/>
            <w:tcBorders>
              <w:top w:val="nil"/>
              <w:left w:val="single" w:sz="8" w:space="0" w:color="auto"/>
              <w:bottom w:val="single" w:sz="8" w:space="0" w:color="auto"/>
              <w:right w:val="single" w:sz="8" w:space="0" w:color="auto"/>
            </w:tcBorders>
            <w:shd w:val="clear" w:color="auto" w:fill="auto"/>
            <w:hideMark/>
          </w:tcPr>
          <w:p w14:paraId="374031FC"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336110</w:t>
            </w:r>
          </w:p>
        </w:tc>
        <w:tc>
          <w:tcPr>
            <w:tcW w:w="1025" w:type="dxa"/>
            <w:tcBorders>
              <w:top w:val="nil"/>
              <w:left w:val="nil"/>
              <w:bottom w:val="single" w:sz="8" w:space="0" w:color="auto"/>
              <w:right w:val="single" w:sz="8" w:space="0" w:color="auto"/>
            </w:tcBorders>
            <w:shd w:val="clear" w:color="auto" w:fill="auto"/>
            <w:hideMark/>
          </w:tcPr>
          <w:p w14:paraId="34CA5735"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508,50</w:t>
            </w:r>
          </w:p>
        </w:tc>
        <w:tc>
          <w:tcPr>
            <w:tcW w:w="1025" w:type="dxa"/>
            <w:tcBorders>
              <w:top w:val="nil"/>
              <w:left w:val="nil"/>
              <w:bottom w:val="single" w:sz="8" w:space="0" w:color="auto"/>
              <w:right w:val="single" w:sz="8" w:space="0" w:color="auto"/>
            </w:tcBorders>
            <w:shd w:val="clear" w:color="auto" w:fill="auto"/>
            <w:hideMark/>
          </w:tcPr>
          <w:p w14:paraId="51804ABE"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746,46</w:t>
            </w:r>
          </w:p>
        </w:tc>
        <w:tc>
          <w:tcPr>
            <w:tcW w:w="1237" w:type="dxa"/>
            <w:tcBorders>
              <w:top w:val="nil"/>
              <w:left w:val="nil"/>
              <w:bottom w:val="single" w:sz="8" w:space="0" w:color="auto"/>
              <w:right w:val="single" w:sz="8" w:space="0" w:color="auto"/>
            </w:tcBorders>
            <w:shd w:val="clear" w:color="auto" w:fill="auto"/>
            <w:hideMark/>
          </w:tcPr>
          <w:p w14:paraId="41C04798"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685,77</w:t>
            </w:r>
          </w:p>
        </w:tc>
        <w:tc>
          <w:tcPr>
            <w:tcW w:w="1134" w:type="dxa"/>
            <w:tcBorders>
              <w:top w:val="nil"/>
              <w:left w:val="nil"/>
              <w:bottom w:val="single" w:sz="8" w:space="0" w:color="auto"/>
              <w:right w:val="single" w:sz="8" w:space="0" w:color="auto"/>
            </w:tcBorders>
            <w:shd w:val="clear" w:color="auto" w:fill="auto"/>
            <w:hideMark/>
          </w:tcPr>
          <w:p w14:paraId="088773A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4F6BA00F"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237,96</w:t>
            </w:r>
          </w:p>
        </w:tc>
        <w:tc>
          <w:tcPr>
            <w:tcW w:w="1134" w:type="dxa"/>
            <w:tcBorders>
              <w:top w:val="nil"/>
              <w:left w:val="nil"/>
              <w:bottom w:val="single" w:sz="8" w:space="0" w:color="auto"/>
              <w:right w:val="single" w:sz="8" w:space="0" w:color="auto"/>
            </w:tcBorders>
            <w:shd w:val="clear" w:color="auto" w:fill="auto"/>
            <w:hideMark/>
          </w:tcPr>
          <w:p w14:paraId="6EE83E9B"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-60,70</w:t>
            </w:r>
          </w:p>
        </w:tc>
        <w:tc>
          <w:tcPr>
            <w:tcW w:w="992" w:type="dxa"/>
            <w:tcBorders>
              <w:top w:val="nil"/>
              <w:left w:val="nil"/>
              <w:bottom w:val="single" w:sz="8" w:space="0" w:color="auto"/>
              <w:right w:val="single" w:sz="8" w:space="0" w:color="auto"/>
            </w:tcBorders>
            <w:shd w:val="clear" w:color="auto" w:fill="auto"/>
            <w:noWrap/>
            <w:hideMark/>
          </w:tcPr>
          <w:p w14:paraId="5EB6B45F"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91,9%</w:t>
            </w:r>
          </w:p>
        </w:tc>
      </w:tr>
      <w:tr w:rsidR="0027547A" w:rsidRPr="00DD6A7A" w14:paraId="6FC52571"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07A34851"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Materiale de construcție</w:t>
            </w:r>
          </w:p>
        </w:tc>
        <w:tc>
          <w:tcPr>
            <w:tcW w:w="850" w:type="dxa"/>
            <w:tcBorders>
              <w:top w:val="nil"/>
              <w:left w:val="nil"/>
              <w:bottom w:val="single" w:sz="8" w:space="0" w:color="000000"/>
              <w:right w:val="nil"/>
            </w:tcBorders>
            <w:shd w:val="clear" w:color="auto" w:fill="auto"/>
            <w:hideMark/>
          </w:tcPr>
          <w:p w14:paraId="1E19FF34"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4.19</w:t>
            </w:r>
          </w:p>
        </w:tc>
        <w:tc>
          <w:tcPr>
            <w:tcW w:w="993" w:type="dxa"/>
            <w:tcBorders>
              <w:top w:val="nil"/>
              <w:left w:val="single" w:sz="8" w:space="0" w:color="auto"/>
              <w:bottom w:val="single" w:sz="8" w:space="0" w:color="auto"/>
              <w:right w:val="single" w:sz="8" w:space="0" w:color="auto"/>
            </w:tcBorders>
            <w:shd w:val="clear" w:color="auto" w:fill="auto"/>
            <w:hideMark/>
          </w:tcPr>
          <w:p w14:paraId="66603512"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337</w:t>
            </w:r>
          </w:p>
        </w:tc>
        <w:tc>
          <w:tcPr>
            <w:tcW w:w="1025" w:type="dxa"/>
            <w:tcBorders>
              <w:top w:val="nil"/>
              <w:left w:val="nil"/>
              <w:bottom w:val="single" w:sz="8" w:space="0" w:color="auto"/>
              <w:right w:val="single" w:sz="8" w:space="0" w:color="auto"/>
            </w:tcBorders>
            <w:shd w:val="clear" w:color="auto" w:fill="auto"/>
            <w:hideMark/>
          </w:tcPr>
          <w:p w14:paraId="13E0E2D0"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3569EEED"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25,92</w:t>
            </w:r>
          </w:p>
        </w:tc>
        <w:tc>
          <w:tcPr>
            <w:tcW w:w="1237" w:type="dxa"/>
            <w:tcBorders>
              <w:top w:val="nil"/>
              <w:left w:val="nil"/>
              <w:bottom w:val="single" w:sz="8" w:space="0" w:color="auto"/>
              <w:right w:val="single" w:sz="8" w:space="0" w:color="auto"/>
            </w:tcBorders>
            <w:shd w:val="clear" w:color="auto" w:fill="auto"/>
            <w:hideMark/>
          </w:tcPr>
          <w:p w14:paraId="3BFFB7C4"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21,91</w:t>
            </w:r>
          </w:p>
        </w:tc>
        <w:tc>
          <w:tcPr>
            <w:tcW w:w="1134" w:type="dxa"/>
            <w:tcBorders>
              <w:top w:val="nil"/>
              <w:left w:val="nil"/>
              <w:bottom w:val="single" w:sz="8" w:space="0" w:color="auto"/>
              <w:right w:val="single" w:sz="8" w:space="0" w:color="auto"/>
            </w:tcBorders>
            <w:shd w:val="clear" w:color="auto" w:fill="auto"/>
            <w:hideMark/>
          </w:tcPr>
          <w:p w14:paraId="5C39A07C"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29CE9D6C"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25,92</w:t>
            </w:r>
          </w:p>
        </w:tc>
        <w:tc>
          <w:tcPr>
            <w:tcW w:w="1134" w:type="dxa"/>
            <w:tcBorders>
              <w:top w:val="nil"/>
              <w:left w:val="nil"/>
              <w:bottom w:val="single" w:sz="8" w:space="0" w:color="auto"/>
              <w:right w:val="single" w:sz="8" w:space="0" w:color="auto"/>
            </w:tcBorders>
            <w:shd w:val="clear" w:color="auto" w:fill="auto"/>
            <w:hideMark/>
          </w:tcPr>
          <w:p w14:paraId="767A130B"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-4,01</w:t>
            </w:r>
          </w:p>
        </w:tc>
        <w:tc>
          <w:tcPr>
            <w:tcW w:w="992" w:type="dxa"/>
            <w:tcBorders>
              <w:top w:val="nil"/>
              <w:left w:val="nil"/>
              <w:bottom w:val="single" w:sz="8" w:space="0" w:color="auto"/>
              <w:right w:val="single" w:sz="8" w:space="0" w:color="auto"/>
            </w:tcBorders>
            <w:shd w:val="clear" w:color="auto" w:fill="auto"/>
            <w:noWrap/>
            <w:hideMark/>
          </w:tcPr>
          <w:p w14:paraId="443992E5"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84,5%</w:t>
            </w:r>
          </w:p>
        </w:tc>
      </w:tr>
      <w:tr w:rsidR="0027547A" w:rsidRPr="00DD6A7A" w14:paraId="68656271" w14:textId="77777777" w:rsidTr="00DA758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793A607A"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Procurarea materialelor de construcţie</w:t>
            </w:r>
          </w:p>
        </w:tc>
        <w:tc>
          <w:tcPr>
            <w:tcW w:w="850" w:type="dxa"/>
            <w:tcBorders>
              <w:top w:val="nil"/>
              <w:left w:val="nil"/>
              <w:bottom w:val="single" w:sz="8" w:space="0" w:color="000000"/>
              <w:right w:val="nil"/>
            </w:tcBorders>
            <w:shd w:val="clear" w:color="auto" w:fill="auto"/>
            <w:hideMark/>
          </w:tcPr>
          <w:p w14:paraId="4F940F0C"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4.19.0</w:t>
            </w:r>
          </w:p>
        </w:tc>
        <w:tc>
          <w:tcPr>
            <w:tcW w:w="993" w:type="dxa"/>
            <w:tcBorders>
              <w:top w:val="nil"/>
              <w:left w:val="single" w:sz="8" w:space="0" w:color="auto"/>
              <w:bottom w:val="single" w:sz="8" w:space="0" w:color="auto"/>
              <w:right w:val="single" w:sz="8" w:space="0" w:color="auto"/>
            </w:tcBorders>
            <w:shd w:val="clear" w:color="auto" w:fill="auto"/>
            <w:hideMark/>
          </w:tcPr>
          <w:p w14:paraId="7E121A65"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337110</w:t>
            </w:r>
          </w:p>
        </w:tc>
        <w:tc>
          <w:tcPr>
            <w:tcW w:w="1025" w:type="dxa"/>
            <w:tcBorders>
              <w:top w:val="nil"/>
              <w:left w:val="nil"/>
              <w:bottom w:val="single" w:sz="8" w:space="0" w:color="auto"/>
              <w:right w:val="single" w:sz="8" w:space="0" w:color="auto"/>
            </w:tcBorders>
            <w:shd w:val="clear" w:color="auto" w:fill="auto"/>
            <w:hideMark/>
          </w:tcPr>
          <w:p w14:paraId="178B8922"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5F189B5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25,92</w:t>
            </w:r>
          </w:p>
        </w:tc>
        <w:tc>
          <w:tcPr>
            <w:tcW w:w="1237" w:type="dxa"/>
            <w:tcBorders>
              <w:top w:val="nil"/>
              <w:left w:val="nil"/>
              <w:bottom w:val="single" w:sz="8" w:space="0" w:color="auto"/>
              <w:right w:val="single" w:sz="8" w:space="0" w:color="auto"/>
            </w:tcBorders>
            <w:shd w:val="clear" w:color="auto" w:fill="auto"/>
            <w:hideMark/>
          </w:tcPr>
          <w:p w14:paraId="4E0B5495"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21,91</w:t>
            </w:r>
          </w:p>
        </w:tc>
        <w:tc>
          <w:tcPr>
            <w:tcW w:w="1134" w:type="dxa"/>
            <w:tcBorders>
              <w:top w:val="nil"/>
              <w:left w:val="nil"/>
              <w:bottom w:val="single" w:sz="8" w:space="0" w:color="auto"/>
              <w:right w:val="single" w:sz="8" w:space="0" w:color="auto"/>
            </w:tcBorders>
            <w:shd w:val="clear" w:color="auto" w:fill="auto"/>
            <w:hideMark/>
          </w:tcPr>
          <w:p w14:paraId="23B8B006"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7F458C20"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25,92</w:t>
            </w:r>
          </w:p>
        </w:tc>
        <w:tc>
          <w:tcPr>
            <w:tcW w:w="1134" w:type="dxa"/>
            <w:tcBorders>
              <w:top w:val="nil"/>
              <w:left w:val="nil"/>
              <w:bottom w:val="single" w:sz="8" w:space="0" w:color="auto"/>
              <w:right w:val="single" w:sz="8" w:space="0" w:color="auto"/>
            </w:tcBorders>
            <w:shd w:val="clear" w:color="auto" w:fill="auto"/>
            <w:hideMark/>
          </w:tcPr>
          <w:p w14:paraId="2A1D9F70"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-4,01</w:t>
            </w:r>
          </w:p>
        </w:tc>
        <w:tc>
          <w:tcPr>
            <w:tcW w:w="992" w:type="dxa"/>
            <w:tcBorders>
              <w:top w:val="nil"/>
              <w:left w:val="nil"/>
              <w:bottom w:val="single" w:sz="8" w:space="0" w:color="auto"/>
              <w:right w:val="single" w:sz="8" w:space="0" w:color="auto"/>
            </w:tcBorders>
            <w:shd w:val="clear" w:color="auto" w:fill="auto"/>
            <w:noWrap/>
            <w:hideMark/>
          </w:tcPr>
          <w:p w14:paraId="4D7A503F"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84,5%</w:t>
            </w:r>
          </w:p>
        </w:tc>
      </w:tr>
      <w:tr w:rsidR="0027547A" w:rsidRPr="00DD6A7A" w14:paraId="23B1B031" w14:textId="77777777" w:rsidTr="00DA758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147E75ED"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Accesorii de pat, îmbrăcăminte, încălțăminte</w:t>
            </w:r>
          </w:p>
        </w:tc>
        <w:tc>
          <w:tcPr>
            <w:tcW w:w="850" w:type="dxa"/>
            <w:tcBorders>
              <w:top w:val="nil"/>
              <w:left w:val="nil"/>
              <w:bottom w:val="single" w:sz="8" w:space="0" w:color="000000"/>
              <w:right w:val="nil"/>
            </w:tcBorders>
            <w:shd w:val="clear" w:color="auto" w:fill="auto"/>
            <w:hideMark/>
          </w:tcPr>
          <w:p w14:paraId="527EB5A7"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4.20</w:t>
            </w:r>
          </w:p>
        </w:tc>
        <w:tc>
          <w:tcPr>
            <w:tcW w:w="993" w:type="dxa"/>
            <w:tcBorders>
              <w:top w:val="nil"/>
              <w:left w:val="single" w:sz="8" w:space="0" w:color="auto"/>
              <w:bottom w:val="single" w:sz="8" w:space="0" w:color="auto"/>
              <w:right w:val="single" w:sz="8" w:space="0" w:color="auto"/>
            </w:tcBorders>
            <w:shd w:val="clear" w:color="auto" w:fill="auto"/>
            <w:hideMark/>
          </w:tcPr>
          <w:p w14:paraId="620B961E"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338</w:t>
            </w:r>
          </w:p>
        </w:tc>
        <w:tc>
          <w:tcPr>
            <w:tcW w:w="1025" w:type="dxa"/>
            <w:tcBorders>
              <w:top w:val="nil"/>
              <w:left w:val="nil"/>
              <w:bottom w:val="single" w:sz="8" w:space="0" w:color="auto"/>
              <w:right w:val="single" w:sz="8" w:space="0" w:color="auto"/>
            </w:tcBorders>
            <w:shd w:val="clear" w:color="auto" w:fill="auto"/>
            <w:hideMark/>
          </w:tcPr>
          <w:p w14:paraId="718ADD8E"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7762768F"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5,74</w:t>
            </w:r>
          </w:p>
        </w:tc>
        <w:tc>
          <w:tcPr>
            <w:tcW w:w="1237" w:type="dxa"/>
            <w:tcBorders>
              <w:top w:val="nil"/>
              <w:left w:val="nil"/>
              <w:bottom w:val="single" w:sz="8" w:space="0" w:color="auto"/>
              <w:right w:val="single" w:sz="8" w:space="0" w:color="auto"/>
            </w:tcBorders>
            <w:shd w:val="clear" w:color="auto" w:fill="auto"/>
            <w:hideMark/>
          </w:tcPr>
          <w:p w14:paraId="176B5465"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5,71</w:t>
            </w:r>
          </w:p>
        </w:tc>
        <w:tc>
          <w:tcPr>
            <w:tcW w:w="1134" w:type="dxa"/>
            <w:tcBorders>
              <w:top w:val="nil"/>
              <w:left w:val="nil"/>
              <w:bottom w:val="single" w:sz="8" w:space="0" w:color="auto"/>
              <w:right w:val="single" w:sz="8" w:space="0" w:color="auto"/>
            </w:tcBorders>
            <w:shd w:val="clear" w:color="auto" w:fill="auto"/>
            <w:hideMark/>
          </w:tcPr>
          <w:p w14:paraId="0B9177B1"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66A98256"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5,74</w:t>
            </w:r>
          </w:p>
        </w:tc>
        <w:tc>
          <w:tcPr>
            <w:tcW w:w="1134" w:type="dxa"/>
            <w:tcBorders>
              <w:top w:val="nil"/>
              <w:left w:val="nil"/>
              <w:bottom w:val="single" w:sz="8" w:space="0" w:color="auto"/>
              <w:right w:val="single" w:sz="8" w:space="0" w:color="auto"/>
            </w:tcBorders>
            <w:shd w:val="clear" w:color="auto" w:fill="auto"/>
            <w:hideMark/>
          </w:tcPr>
          <w:p w14:paraId="0FFA108F"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-0,03</w:t>
            </w:r>
          </w:p>
        </w:tc>
        <w:tc>
          <w:tcPr>
            <w:tcW w:w="992" w:type="dxa"/>
            <w:tcBorders>
              <w:top w:val="nil"/>
              <w:left w:val="nil"/>
              <w:bottom w:val="single" w:sz="8" w:space="0" w:color="auto"/>
              <w:right w:val="single" w:sz="8" w:space="0" w:color="auto"/>
            </w:tcBorders>
            <w:shd w:val="clear" w:color="auto" w:fill="auto"/>
            <w:noWrap/>
            <w:hideMark/>
          </w:tcPr>
          <w:p w14:paraId="075A0655"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99,5%</w:t>
            </w:r>
          </w:p>
        </w:tc>
      </w:tr>
      <w:tr w:rsidR="0027547A" w:rsidRPr="00DD6A7A" w14:paraId="53B173BC" w14:textId="77777777" w:rsidTr="00DA758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14:paraId="72C0FBF3" w14:textId="7DA9A872" w:rsidR="0027547A" w:rsidRPr="00DD6A7A" w:rsidRDefault="0027547A" w:rsidP="00021528">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Procurarea accesorilor de pat</w:t>
            </w:r>
            <w:r w:rsidR="00021528">
              <w:rPr>
                <w:rFonts w:ascii="Times New Roman" w:eastAsia="Times New Roman" w:hAnsi="Times New Roman" w:cs="Times New Roman"/>
                <w:color w:val="000000"/>
                <w:sz w:val="18"/>
                <w:szCs w:val="18"/>
                <w:lang w:val="ro-RO"/>
              </w:rPr>
              <w:t>,</w:t>
            </w:r>
            <w:r w:rsidRPr="00DD6A7A">
              <w:rPr>
                <w:rFonts w:ascii="Times New Roman" w:eastAsia="Times New Roman" w:hAnsi="Times New Roman" w:cs="Times New Roman"/>
                <w:color w:val="000000"/>
                <w:sz w:val="18"/>
                <w:szCs w:val="18"/>
                <w:lang w:val="ro-RO"/>
              </w:rPr>
              <w:t xml:space="preserve"> îmbrăcămintei</w:t>
            </w:r>
            <w:r w:rsidR="00021528">
              <w:rPr>
                <w:rFonts w:ascii="Times New Roman" w:eastAsia="Times New Roman" w:hAnsi="Times New Roman" w:cs="Times New Roman"/>
                <w:color w:val="000000"/>
                <w:sz w:val="18"/>
                <w:szCs w:val="18"/>
                <w:lang w:val="ro-RO"/>
              </w:rPr>
              <w:t>,</w:t>
            </w:r>
            <w:r w:rsidRPr="00DD6A7A">
              <w:rPr>
                <w:rFonts w:ascii="Times New Roman" w:eastAsia="Times New Roman" w:hAnsi="Times New Roman" w:cs="Times New Roman"/>
                <w:color w:val="000000"/>
                <w:sz w:val="18"/>
                <w:szCs w:val="18"/>
                <w:lang w:val="ro-RO"/>
              </w:rPr>
              <w:t xml:space="preserve"> încălţămintei</w:t>
            </w:r>
          </w:p>
        </w:tc>
        <w:tc>
          <w:tcPr>
            <w:tcW w:w="850" w:type="dxa"/>
            <w:tcBorders>
              <w:top w:val="nil"/>
              <w:left w:val="nil"/>
              <w:bottom w:val="nil"/>
              <w:right w:val="nil"/>
            </w:tcBorders>
            <w:shd w:val="clear" w:color="auto" w:fill="auto"/>
            <w:hideMark/>
          </w:tcPr>
          <w:p w14:paraId="708E834C"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4.20.0</w:t>
            </w:r>
          </w:p>
        </w:tc>
        <w:tc>
          <w:tcPr>
            <w:tcW w:w="993" w:type="dxa"/>
            <w:tcBorders>
              <w:top w:val="nil"/>
              <w:left w:val="single" w:sz="8" w:space="0" w:color="auto"/>
              <w:bottom w:val="single" w:sz="8" w:space="0" w:color="auto"/>
              <w:right w:val="single" w:sz="8" w:space="0" w:color="auto"/>
            </w:tcBorders>
            <w:shd w:val="clear" w:color="auto" w:fill="auto"/>
            <w:hideMark/>
          </w:tcPr>
          <w:p w14:paraId="264FFBB6"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338110</w:t>
            </w:r>
          </w:p>
        </w:tc>
        <w:tc>
          <w:tcPr>
            <w:tcW w:w="1025" w:type="dxa"/>
            <w:tcBorders>
              <w:top w:val="nil"/>
              <w:left w:val="nil"/>
              <w:bottom w:val="single" w:sz="8" w:space="0" w:color="auto"/>
              <w:right w:val="single" w:sz="8" w:space="0" w:color="auto"/>
            </w:tcBorders>
            <w:shd w:val="clear" w:color="auto" w:fill="auto"/>
            <w:hideMark/>
          </w:tcPr>
          <w:p w14:paraId="65784DC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534BE0BE"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5,74</w:t>
            </w:r>
          </w:p>
        </w:tc>
        <w:tc>
          <w:tcPr>
            <w:tcW w:w="1237" w:type="dxa"/>
            <w:tcBorders>
              <w:top w:val="nil"/>
              <w:left w:val="nil"/>
              <w:bottom w:val="single" w:sz="8" w:space="0" w:color="auto"/>
              <w:right w:val="single" w:sz="8" w:space="0" w:color="auto"/>
            </w:tcBorders>
            <w:shd w:val="clear" w:color="auto" w:fill="auto"/>
            <w:hideMark/>
          </w:tcPr>
          <w:p w14:paraId="20F9CDFD"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5,71</w:t>
            </w:r>
          </w:p>
        </w:tc>
        <w:tc>
          <w:tcPr>
            <w:tcW w:w="1134" w:type="dxa"/>
            <w:tcBorders>
              <w:top w:val="nil"/>
              <w:left w:val="nil"/>
              <w:bottom w:val="single" w:sz="8" w:space="0" w:color="auto"/>
              <w:right w:val="single" w:sz="8" w:space="0" w:color="auto"/>
            </w:tcBorders>
            <w:shd w:val="clear" w:color="auto" w:fill="auto"/>
            <w:hideMark/>
          </w:tcPr>
          <w:p w14:paraId="2A602B25"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4663E1D0"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5,74</w:t>
            </w:r>
          </w:p>
        </w:tc>
        <w:tc>
          <w:tcPr>
            <w:tcW w:w="1134" w:type="dxa"/>
            <w:tcBorders>
              <w:top w:val="nil"/>
              <w:left w:val="nil"/>
              <w:bottom w:val="single" w:sz="8" w:space="0" w:color="auto"/>
              <w:right w:val="single" w:sz="8" w:space="0" w:color="auto"/>
            </w:tcBorders>
            <w:shd w:val="clear" w:color="auto" w:fill="auto"/>
            <w:hideMark/>
          </w:tcPr>
          <w:p w14:paraId="00DACB52"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-0,03</w:t>
            </w:r>
          </w:p>
        </w:tc>
        <w:tc>
          <w:tcPr>
            <w:tcW w:w="992" w:type="dxa"/>
            <w:tcBorders>
              <w:top w:val="nil"/>
              <w:left w:val="nil"/>
              <w:bottom w:val="single" w:sz="8" w:space="0" w:color="auto"/>
              <w:right w:val="single" w:sz="8" w:space="0" w:color="auto"/>
            </w:tcBorders>
            <w:shd w:val="clear" w:color="auto" w:fill="auto"/>
            <w:noWrap/>
            <w:hideMark/>
          </w:tcPr>
          <w:p w14:paraId="64B6CBB3"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99,5%</w:t>
            </w:r>
          </w:p>
        </w:tc>
      </w:tr>
      <w:tr w:rsidR="0027547A" w:rsidRPr="00DD6A7A" w14:paraId="2BF0B66D" w14:textId="77777777" w:rsidTr="00DA7582">
        <w:trPr>
          <w:trHeight w:val="252"/>
          <w:jc w:val="center"/>
        </w:trPr>
        <w:tc>
          <w:tcPr>
            <w:tcW w:w="3233" w:type="dxa"/>
            <w:tcBorders>
              <w:top w:val="nil"/>
              <w:left w:val="single" w:sz="8" w:space="0" w:color="000000"/>
              <w:bottom w:val="single" w:sz="8" w:space="0" w:color="000000"/>
              <w:right w:val="nil"/>
            </w:tcBorders>
            <w:shd w:val="clear" w:color="auto" w:fill="auto"/>
            <w:hideMark/>
          </w:tcPr>
          <w:p w14:paraId="59B1D334"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Alte materiale</w:t>
            </w:r>
          </w:p>
        </w:tc>
        <w:tc>
          <w:tcPr>
            <w:tcW w:w="850" w:type="dxa"/>
            <w:tcBorders>
              <w:top w:val="single" w:sz="8" w:space="0" w:color="auto"/>
              <w:left w:val="single" w:sz="8" w:space="0" w:color="auto"/>
              <w:bottom w:val="single" w:sz="8" w:space="0" w:color="auto"/>
              <w:right w:val="nil"/>
            </w:tcBorders>
            <w:shd w:val="clear" w:color="auto" w:fill="auto"/>
            <w:hideMark/>
          </w:tcPr>
          <w:p w14:paraId="16005EEA"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4.21</w:t>
            </w:r>
          </w:p>
        </w:tc>
        <w:tc>
          <w:tcPr>
            <w:tcW w:w="993" w:type="dxa"/>
            <w:tcBorders>
              <w:top w:val="nil"/>
              <w:left w:val="single" w:sz="8" w:space="0" w:color="auto"/>
              <w:bottom w:val="single" w:sz="8" w:space="0" w:color="auto"/>
              <w:right w:val="single" w:sz="8" w:space="0" w:color="auto"/>
            </w:tcBorders>
            <w:shd w:val="clear" w:color="auto" w:fill="auto"/>
            <w:hideMark/>
          </w:tcPr>
          <w:p w14:paraId="2745F580"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339</w:t>
            </w:r>
          </w:p>
        </w:tc>
        <w:tc>
          <w:tcPr>
            <w:tcW w:w="1025" w:type="dxa"/>
            <w:tcBorders>
              <w:top w:val="nil"/>
              <w:left w:val="nil"/>
              <w:bottom w:val="single" w:sz="8" w:space="0" w:color="auto"/>
              <w:right w:val="single" w:sz="8" w:space="0" w:color="auto"/>
            </w:tcBorders>
            <w:shd w:val="clear" w:color="auto" w:fill="auto"/>
            <w:hideMark/>
          </w:tcPr>
          <w:p w14:paraId="41E7F5B5"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35,00</w:t>
            </w:r>
          </w:p>
        </w:tc>
        <w:tc>
          <w:tcPr>
            <w:tcW w:w="1025" w:type="dxa"/>
            <w:tcBorders>
              <w:top w:val="nil"/>
              <w:left w:val="nil"/>
              <w:bottom w:val="single" w:sz="8" w:space="0" w:color="auto"/>
              <w:right w:val="single" w:sz="8" w:space="0" w:color="auto"/>
            </w:tcBorders>
            <w:shd w:val="clear" w:color="auto" w:fill="auto"/>
            <w:hideMark/>
          </w:tcPr>
          <w:p w14:paraId="7ACA0228"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86,00</w:t>
            </w:r>
          </w:p>
        </w:tc>
        <w:tc>
          <w:tcPr>
            <w:tcW w:w="1237" w:type="dxa"/>
            <w:tcBorders>
              <w:top w:val="nil"/>
              <w:left w:val="nil"/>
              <w:bottom w:val="single" w:sz="8" w:space="0" w:color="auto"/>
              <w:right w:val="single" w:sz="8" w:space="0" w:color="auto"/>
            </w:tcBorders>
            <w:shd w:val="clear" w:color="auto" w:fill="auto"/>
            <w:hideMark/>
          </w:tcPr>
          <w:p w14:paraId="32C1BDD4"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76,73</w:t>
            </w:r>
          </w:p>
        </w:tc>
        <w:tc>
          <w:tcPr>
            <w:tcW w:w="1134" w:type="dxa"/>
            <w:tcBorders>
              <w:top w:val="nil"/>
              <w:left w:val="nil"/>
              <w:bottom w:val="single" w:sz="8" w:space="0" w:color="auto"/>
              <w:right w:val="single" w:sz="8" w:space="0" w:color="auto"/>
            </w:tcBorders>
            <w:shd w:val="clear" w:color="auto" w:fill="auto"/>
            <w:hideMark/>
          </w:tcPr>
          <w:p w14:paraId="4D9C4D40" w14:textId="77777777" w:rsidR="0027547A" w:rsidRPr="00DD6A7A" w:rsidRDefault="0027547A" w:rsidP="00C43819">
            <w:pPr>
              <w:spacing w:after="0" w:line="240" w:lineRule="auto"/>
              <w:jc w:val="center"/>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004C64EC"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51,00</w:t>
            </w:r>
          </w:p>
        </w:tc>
        <w:tc>
          <w:tcPr>
            <w:tcW w:w="1134" w:type="dxa"/>
            <w:tcBorders>
              <w:top w:val="nil"/>
              <w:left w:val="nil"/>
              <w:bottom w:val="single" w:sz="8" w:space="0" w:color="auto"/>
              <w:right w:val="single" w:sz="8" w:space="0" w:color="auto"/>
            </w:tcBorders>
            <w:shd w:val="clear" w:color="auto" w:fill="auto"/>
            <w:hideMark/>
          </w:tcPr>
          <w:p w14:paraId="0DC86EF4"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-9,27</w:t>
            </w:r>
          </w:p>
        </w:tc>
        <w:tc>
          <w:tcPr>
            <w:tcW w:w="992" w:type="dxa"/>
            <w:tcBorders>
              <w:top w:val="nil"/>
              <w:left w:val="nil"/>
              <w:bottom w:val="single" w:sz="8" w:space="0" w:color="auto"/>
              <w:right w:val="single" w:sz="8" w:space="0" w:color="auto"/>
            </w:tcBorders>
            <w:shd w:val="clear" w:color="auto" w:fill="auto"/>
            <w:noWrap/>
            <w:hideMark/>
          </w:tcPr>
          <w:p w14:paraId="5D55497A"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89,2%</w:t>
            </w:r>
          </w:p>
        </w:tc>
      </w:tr>
      <w:tr w:rsidR="0027547A" w:rsidRPr="00DD6A7A" w14:paraId="2822C992" w14:textId="77777777" w:rsidTr="00DA7582">
        <w:trPr>
          <w:trHeight w:val="252"/>
          <w:jc w:val="center"/>
        </w:trPr>
        <w:tc>
          <w:tcPr>
            <w:tcW w:w="3233" w:type="dxa"/>
            <w:tcBorders>
              <w:top w:val="nil"/>
              <w:left w:val="single" w:sz="8" w:space="0" w:color="000000"/>
              <w:bottom w:val="single" w:sz="8" w:space="0" w:color="000000"/>
              <w:right w:val="nil"/>
            </w:tcBorders>
            <w:shd w:val="clear" w:color="auto" w:fill="auto"/>
            <w:hideMark/>
          </w:tcPr>
          <w:p w14:paraId="4C934F3C"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Procurarea altor materiale</w:t>
            </w:r>
          </w:p>
        </w:tc>
        <w:tc>
          <w:tcPr>
            <w:tcW w:w="850" w:type="dxa"/>
            <w:tcBorders>
              <w:top w:val="nil"/>
              <w:left w:val="single" w:sz="8" w:space="0" w:color="auto"/>
              <w:bottom w:val="single" w:sz="8" w:space="0" w:color="auto"/>
              <w:right w:val="nil"/>
            </w:tcBorders>
            <w:shd w:val="clear" w:color="auto" w:fill="auto"/>
            <w:hideMark/>
          </w:tcPr>
          <w:p w14:paraId="4A539041" w14:textId="77777777" w:rsidR="0027547A" w:rsidRPr="00DD6A7A" w:rsidRDefault="0027547A" w:rsidP="00C43819">
            <w:pPr>
              <w:spacing w:after="0" w:line="240" w:lineRule="auto"/>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4.21.0</w:t>
            </w:r>
          </w:p>
        </w:tc>
        <w:tc>
          <w:tcPr>
            <w:tcW w:w="993" w:type="dxa"/>
            <w:tcBorders>
              <w:top w:val="nil"/>
              <w:left w:val="single" w:sz="8" w:space="0" w:color="auto"/>
              <w:bottom w:val="single" w:sz="8" w:space="0" w:color="auto"/>
              <w:right w:val="single" w:sz="8" w:space="0" w:color="auto"/>
            </w:tcBorders>
            <w:shd w:val="clear" w:color="auto" w:fill="auto"/>
            <w:hideMark/>
          </w:tcPr>
          <w:p w14:paraId="02D1F731"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339110</w:t>
            </w:r>
          </w:p>
        </w:tc>
        <w:tc>
          <w:tcPr>
            <w:tcW w:w="1025" w:type="dxa"/>
            <w:tcBorders>
              <w:top w:val="nil"/>
              <w:left w:val="nil"/>
              <w:bottom w:val="single" w:sz="8" w:space="0" w:color="auto"/>
              <w:right w:val="single" w:sz="8" w:space="0" w:color="auto"/>
            </w:tcBorders>
            <w:shd w:val="clear" w:color="auto" w:fill="auto"/>
            <w:hideMark/>
          </w:tcPr>
          <w:p w14:paraId="4C04C3A7"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35,00</w:t>
            </w:r>
          </w:p>
        </w:tc>
        <w:tc>
          <w:tcPr>
            <w:tcW w:w="1025" w:type="dxa"/>
            <w:tcBorders>
              <w:top w:val="nil"/>
              <w:left w:val="nil"/>
              <w:bottom w:val="single" w:sz="8" w:space="0" w:color="auto"/>
              <w:right w:val="single" w:sz="8" w:space="0" w:color="auto"/>
            </w:tcBorders>
            <w:shd w:val="clear" w:color="auto" w:fill="auto"/>
            <w:hideMark/>
          </w:tcPr>
          <w:p w14:paraId="6DD2C7FE"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86,00</w:t>
            </w:r>
          </w:p>
        </w:tc>
        <w:tc>
          <w:tcPr>
            <w:tcW w:w="1237" w:type="dxa"/>
            <w:tcBorders>
              <w:top w:val="nil"/>
              <w:left w:val="nil"/>
              <w:bottom w:val="single" w:sz="8" w:space="0" w:color="auto"/>
              <w:right w:val="single" w:sz="8" w:space="0" w:color="auto"/>
            </w:tcBorders>
            <w:shd w:val="clear" w:color="auto" w:fill="auto"/>
            <w:hideMark/>
          </w:tcPr>
          <w:p w14:paraId="4A4F4273"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76,73</w:t>
            </w:r>
          </w:p>
        </w:tc>
        <w:tc>
          <w:tcPr>
            <w:tcW w:w="1134" w:type="dxa"/>
            <w:tcBorders>
              <w:top w:val="nil"/>
              <w:left w:val="nil"/>
              <w:bottom w:val="single" w:sz="8" w:space="0" w:color="auto"/>
              <w:right w:val="single" w:sz="8" w:space="0" w:color="auto"/>
            </w:tcBorders>
            <w:shd w:val="clear" w:color="auto" w:fill="auto"/>
            <w:hideMark/>
          </w:tcPr>
          <w:p w14:paraId="5DB51443"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hideMark/>
          </w:tcPr>
          <w:p w14:paraId="06D72A0E"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51,00</w:t>
            </w:r>
          </w:p>
        </w:tc>
        <w:tc>
          <w:tcPr>
            <w:tcW w:w="1134" w:type="dxa"/>
            <w:tcBorders>
              <w:top w:val="nil"/>
              <w:left w:val="nil"/>
              <w:bottom w:val="single" w:sz="8" w:space="0" w:color="auto"/>
              <w:right w:val="single" w:sz="8" w:space="0" w:color="auto"/>
            </w:tcBorders>
            <w:shd w:val="clear" w:color="auto" w:fill="auto"/>
            <w:hideMark/>
          </w:tcPr>
          <w:p w14:paraId="07751B27"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-9,27</w:t>
            </w:r>
          </w:p>
        </w:tc>
        <w:tc>
          <w:tcPr>
            <w:tcW w:w="992" w:type="dxa"/>
            <w:tcBorders>
              <w:top w:val="nil"/>
              <w:left w:val="nil"/>
              <w:bottom w:val="single" w:sz="8" w:space="0" w:color="auto"/>
              <w:right w:val="single" w:sz="8" w:space="0" w:color="auto"/>
            </w:tcBorders>
            <w:shd w:val="clear" w:color="auto" w:fill="auto"/>
            <w:noWrap/>
            <w:hideMark/>
          </w:tcPr>
          <w:p w14:paraId="329F6642"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89,2%</w:t>
            </w:r>
          </w:p>
        </w:tc>
      </w:tr>
      <w:tr w:rsidR="0027547A" w:rsidRPr="00DD6A7A" w14:paraId="3E871DEE" w14:textId="77777777" w:rsidTr="00DA7582">
        <w:trPr>
          <w:trHeight w:val="252"/>
          <w:jc w:val="center"/>
        </w:trPr>
        <w:tc>
          <w:tcPr>
            <w:tcW w:w="3233" w:type="dxa"/>
            <w:tcBorders>
              <w:top w:val="nil"/>
              <w:left w:val="single" w:sz="8" w:space="0" w:color="000000"/>
              <w:bottom w:val="single" w:sz="8" w:space="0" w:color="000000"/>
              <w:right w:val="nil"/>
            </w:tcBorders>
            <w:shd w:val="clear" w:color="auto" w:fill="auto"/>
            <w:hideMark/>
          </w:tcPr>
          <w:p w14:paraId="599BA67A"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Modificarea soldului</w:t>
            </w:r>
          </w:p>
        </w:tc>
        <w:tc>
          <w:tcPr>
            <w:tcW w:w="850" w:type="dxa"/>
            <w:tcBorders>
              <w:top w:val="nil"/>
              <w:left w:val="single" w:sz="8" w:space="0" w:color="auto"/>
              <w:bottom w:val="single" w:sz="8" w:space="0" w:color="auto"/>
              <w:right w:val="nil"/>
            </w:tcBorders>
            <w:shd w:val="clear" w:color="auto" w:fill="auto"/>
            <w:hideMark/>
          </w:tcPr>
          <w:p w14:paraId="434E7840"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8</w:t>
            </w:r>
          </w:p>
        </w:tc>
        <w:tc>
          <w:tcPr>
            <w:tcW w:w="993" w:type="dxa"/>
            <w:tcBorders>
              <w:top w:val="nil"/>
              <w:left w:val="single" w:sz="8" w:space="0" w:color="auto"/>
              <w:bottom w:val="single" w:sz="8" w:space="0" w:color="auto"/>
              <w:right w:val="single" w:sz="8" w:space="0" w:color="auto"/>
            </w:tcBorders>
            <w:shd w:val="clear" w:color="auto" w:fill="auto"/>
            <w:noWrap/>
            <w:hideMark/>
          </w:tcPr>
          <w:p w14:paraId="3468189A"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 </w:t>
            </w:r>
          </w:p>
        </w:tc>
        <w:tc>
          <w:tcPr>
            <w:tcW w:w="1025" w:type="dxa"/>
            <w:tcBorders>
              <w:top w:val="nil"/>
              <w:left w:val="nil"/>
              <w:bottom w:val="single" w:sz="8" w:space="0" w:color="auto"/>
              <w:right w:val="single" w:sz="8" w:space="0" w:color="auto"/>
            </w:tcBorders>
            <w:shd w:val="clear" w:color="auto" w:fill="auto"/>
            <w:hideMark/>
          </w:tcPr>
          <w:p w14:paraId="18848E42"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30524A4D"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237" w:type="dxa"/>
            <w:tcBorders>
              <w:top w:val="nil"/>
              <w:left w:val="nil"/>
              <w:bottom w:val="single" w:sz="8" w:space="0" w:color="auto"/>
              <w:right w:val="single" w:sz="8" w:space="0" w:color="auto"/>
            </w:tcBorders>
            <w:shd w:val="clear" w:color="auto" w:fill="auto"/>
            <w:hideMark/>
          </w:tcPr>
          <w:p w14:paraId="5FF93B05"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775A20DB"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-1.986,65</w:t>
            </w:r>
          </w:p>
        </w:tc>
        <w:tc>
          <w:tcPr>
            <w:tcW w:w="992" w:type="dxa"/>
            <w:tcBorders>
              <w:top w:val="nil"/>
              <w:left w:val="nil"/>
              <w:bottom w:val="single" w:sz="8" w:space="0" w:color="auto"/>
              <w:right w:val="single" w:sz="8" w:space="0" w:color="auto"/>
            </w:tcBorders>
            <w:shd w:val="clear" w:color="auto" w:fill="auto"/>
            <w:hideMark/>
          </w:tcPr>
          <w:p w14:paraId="57AB5CEE"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6418FB8A"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tcPr>
          <w:p w14:paraId="2D76B83F" w14:textId="77777777" w:rsidR="0027547A" w:rsidRPr="00DD6A7A" w:rsidRDefault="00281115"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x</w:t>
            </w:r>
          </w:p>
        </w:tc>
      </w:tr>
      <w:tr w:rsidR="0027547A" w:rsidRPr="00DD6A7A" w14:paraId="285AB201" w14:textId="77777777" w:rsidTr="00DA7582">
        <w:trPr>
          <w:trHeight w:val="492"/>
          <w:jc w:val="center"/>
        </w:trPr>
        <w:tc>
          <w:tcPr>
            <w:tcW w:w="3233" w:type="dxa"/>
            <w:tcBorders>
              <w:top w:val="nil"/>
              <w:left w:val="single" w:sz="8" w:space="0" w:color="000000"/>
              <w:bottom w:val="single" w:sz="8" w:space="0" w:color="000000"/>
              <w:right w:val="nil"/>
            </w:tcBorders>
            <w:shd w:val="clear" w:color="auto" w:fill="auto"/>
            <w:hideMark/>
          </w:tcPr>
          <w:p w14:paraId="60941384"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Soldul la începutul perioadei de gestiune</w:t>
            </w:r>
          </w:p>
        </w:tc>
        <w:tc>
          <w:tcPr>
            <w:tcW w:w="850" w:type="dxa"/>
            <w:tcBorders>
              <w:top w:val="nil"/>
              <w:left w:val="single" w:sz="8" w:space="0" w:color="auto"/>
              <w:bottom w:val="single" w:sz="8" w:space="0" w:color="auto"/>
              <w:right w:val="nil"/>
            </w:tcBorders>
            <w:shd w:val="clear" w:color="auto" w:fill="auto"/>
            <w:hideMark/>
          </w:tcPr>
          <w:p w14:paraId="2BBDA9E9"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9</w:t>
            </w:r>
          </w:p>
        </w:tc>
        <w:tc>
          <w:tcPr>
            <w:tcW w:w="993" w:type="dxa"/>
            <w:tcBorders>
              <w:top w:val="nil"/>
              <w:left w:val="single" w:sz="8" w:space="0" w:color="auto"/>
              <w:bottom w:val="single" w:sz="8" w:space="0" w:color="auto"/>
              <w:right w:val="single" w:sz="8" w:space="0" w:color="auto"/>
            </w:tcBorders>
            <w:shd w:val="clear" w:color="auto" w:fill="auto"/>
            <w:noWrap/>
            <w:hideMark/>
          </w:tcPr>
          <w:p w14:paraId="262C2C42"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 </w:t>
            </w:r>
          </w:p>
        </w:tc>
        <w:tc>
          <w:tcPr>
            <w:tcW w:w="1025" w:type="dxa"/>
            <w:tcBorders>
              <w:top w:val="nil"/>
              <w:left w:val="nil"/>
              <w:bottom w:val="single" w:sz="8" w:space="0" w:color="auto"/>
              <w:right w:val="single" w:sz="8" w:space="0" w:color="auto"/>
            </w:tcBorders>
            <w:shd w:val="clear" w:color="auto" w:fill="auto"/>
            <w:hideMark/>
          </w:tcPr>
          <w:p w14:paraId="07AAA6F0"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38D2F930"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237" w:type="dxa"/>
            <w:tcBorders>
              <w:top w:val="nil"/>
              <w:left w:val="nil"/>
              <w:bottom w:val="single" w:sz="8" w:space="0" w:color="auto"/>
              <w:right w:val="single" w:sz="8" w:space="0" w:color="auto"/>
            </w:tcBorders>
            <w:shd w:val="clear" w:color="auto" w:fill="auto"/>
            <w:hideMark/>
          </w:tcPr>
          <w:p w14:paraId="10AE8287"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11D23197"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14.471,00</w:t>
            </w:r>
          </w:p>
        </w:tc>
        <w:tc>
          <w:tcPr>
            <w:tcW w:w="992" w:type="dxa"/>
            <w:tcBorders>
              <w:top w:val="nil"/>
              <w:left w:val="nil"/>
              <w:bottom w:val="single" w:sz="8" w:space="0" w:color="auto"/>
              <w:right w:val="single" w:sz="8" w:space="0" w:color="auto"/>
            </w:tcBorders>
            <w:shd w:val="clear" w:color="auto" w:fill="auto"/>
            <w:hideMark/>
          </w:tcPr>
          <w:p w14:paraId="47C51857"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6F439B11"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tcPr>
          <w:p w14:paraId="0FA0D6BC" w14:textId="77777777" w:rsidR="0027547A" w:rsidRPr="00DD6A7A" w:rsidRDefault="00281115"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x</w:t>
            </w:r>
          </w:p>
        </w:tc>
      </w:tr>
      <w:tr w:rsidR="0027547A" w:rsidRPr="00DD6A7A" w14:paraId="6DC836A1" w14:textId="77777777" w:rsidTr="00DA7582">
        <w:trPr>
          <w:trHeight w:val="492"/>
          <w:jc w:val="center"/>
        </w:trPr>
        <w:tc>
          <w:tcPr>
            <w:tcW w:w="3233" w:type="dxa"/>
            <w:tcBorders>
              <w:top w:val="nil"/>
              <w:left w:val="single" w:sz="8" w:space="0" w:color="000000"/>
              <w:bottom w:val="single" w:sz="8" w:space="0" w:color="000000"/>
              <w:right w:val="nil"/>
            </w:tcBorders>
            <w:shd w:val="clear" w:color="auto" w:fill="auto"/>
            <w:hideMark/>
          </w:tcPr>
          <w:p w14:paraId="3A6BA3AF"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Corectarea soldului la începutul perioadei de gestiune</w:t>
            </w:r>
          </w:p>
        </w:tc>
        <w:tc>
          <w:tcPr>
            <w:tcW w:w="850" w:type="dxa"/>
            <w:tcBorders>
              <w:top w:val="nil"/>
              <w:left w:val="single" w:sz="8" w:space="0" w:color="auto"/>
              <w:bottom w:val="single" w:sz="8" w:space="0" w:color="auto"/>
              <w:right w:val="nil"/>
            </w:tcBorders>
            <w:shd w:val="clear" w:color="auto" w:fill="auto"/>
            <w:hideMark/>
          </w:tcPr>
          <w:p w14:paraId="4E7349D0"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10</w:t>
            </w:r>
          </w:p>
        </w:tc>
        <w:tc>
          <w:tcPr>
            <w:tcW w:w="993" w:type="dxa"/>
            <w:tcBorders>
              <w:top w:val="nil"/>
              <w:left w:val="single" w:sz="8" w:space="0" w:color="auto"/>
              <w:bottom w:val="single" w:sz="8" w:space="0" w:color="auto"/>
              <w:right w:val="single" w:sz="8" w:space="0" w:color="auto"/>
            </w:tcBorders>
            <w:shd w:val="clear" w:color="auto" w:fill="auto"/>
            <w:noWrap/>
            <w:hideMark/>
          </w:tcPr>
          <w:p w14:paraId="37E39737"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 </w:t>
            </w:r>
          </w:p>
        </w:tc>
        <w:tc>
          <w:tcPr>
            <w:tcW w:w="1025" w:type="dxa"/>
            <w:tcBorders>
              <w:top w:val="nil"/>
              <w:left w:val="nil"/>
              <w:bottom w:val="single" w:sz="8" w:space="0" w:color="auto"/>
              <w:right w:val="single" w:sz="8" w:space="0" w:color="auto"/>
            </w:tcBorders>
            <w:shd w:val="clear" w:color="auto" w:fill="auto"/>
            <w:hideMark/>
          </w:tcPr>
          <w:p w14:paraId="312CECFA"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238BFE0D"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237" w:type="dxa"/>
            <w:tcBorders>
              <w:top w:val="nil"/>
              <w:left w:val="nil"/>
              <w:bottom w:val="single" w:sz="8" w:space="0" w:color="auto"/>
              <w:right w:val="single" w:sz="8" w:space="0" w:color="auto"/>
            </w:tcBorders>
            <w:shd w:val="clear" w:color="auto" w:fill="auto"/>
            <w:hideMark/>
          </w:tcPr>
          <w:p w14:paraId="4C9DFA49"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639799E2"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-5,22</w:t>
            </w:r>
          </w:p>
        </w:tc>
        <w:tc>
          <w:tcPr>
            <w:tcW w:w="992" w:type="dxa"/>
            <w:tcBorders>
              <w:top w:val="nil"/>
              <w:left w:val="nil"/>
              <w:bottom w:val="single" w:sz="8" w:space="0" w:color="auto"/>
              <w:right w:val="single" w:sz="8" w:space="0" w:color="auto"/>
            </w:tcBorders>
            <w:shd w:val="clear" w:color="auto" w:fill="auto"/>
            <w:hideMark/>
          </w:tcPr>
          <w:p w14:paraId="49F76B5C"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33DE96B8"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tcPr>
          <w:p w14:paraId="7D48D2B4" w14:textId="77777777" w:rsidR="0027547A" w:rsidRPr="00DD6A7A" w:rsidRDefault="00281115"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x</w:t>
            </w:r>
          </w:p>
        </w:tc>
      </w:tr>
      <w:tr w:rsidR="0027547A" w:rsidRPr="00DD6A7A" w14:paraId="766EAAEB" w14:textId="77777777" w:rsidTr="00DA7582">
        <w:trPr>
          <w:trHeight w:val="492"/>
          <w:jc w:val="center"/>
        </w:trPr>
        <w:tc>
          <w:tcPr>
            <w:tcW w:w="3233" w:type="dxa"/>
            <w:tcBorders>
              <w:top w:val="nil"/>
              <w:left w:val="single" w:sz="8" w:space="0" w:color="000000"/>
              <w:bottom w:val="single" w:sz="8" w:space="0" w:color="000000"/>
              <w:right w:val="nil"/>
            </w:tcBorders>
            <w:shd w:val="clear" w:color="auto" w:fill="auto"/>
            <w:hideMark/>
          </w:tcPr>
          <w:p w14:paraId="34E4A66A" w14:textId="2D566034" w:rsidR="0027547A" w:rsidRPr="00DD6A7A" w:rsidRDefault="0027547A" w:rsidP="00021528">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Soldul la sf</w:t>
            </w:r>
            <w:r w:rsidR="00021528">
              <w:rPr>
                <w:rFonts w:ascii="Times New Roman" w:eastAsia="Times New Roman" w:hAnsi="Times New Roman" w:cs="Times New Roman"/>
                <w:b/>
                <w:bCs/>
                <w:color w:val="000000"/>
                <w:sz w:val="18"/>
                <w:szCs w:val="18"/>
                <w:lang w:val="ro-RO"/>
              </w:rPr>
              <w:t>â</w:t>
            </w:r>
            <w:r w:rsidRPr="00DD6A7A">
              <w:rPr>
                <w:rFonts w:ascii="Times New Roman" w:eastAsia="Times New Roman" w:hAnsi="Times New Roman" w:cs="Times New Roman"/>
                <w:b/>
                <w:bCs/>
                <w:color w:val="000000"/>
                <w:sz w:val="18"/>
                <w:szCs w:val="18"/>
                <w:lang w:val="ro-RO"/>
              </w:rPr>
              <w:t>r</w:t>
            </w:r>
            <w:r w:rsidR="00021528">
              <w:rPr>
                <w:rFonts w:ascii="Times New Roman" w:eastAsia="Times New Roman" w:hAnsi="Times New Roman" w:cs="Times New Roman"/>
                <w:b/>
                <w:bCs/>
                <w:color w:val="000000"/>
                <w:sz w:val="18"/>
                <w:szCs w:val="18"/>
                <w:lang w:val="ro-RO"/>
              </w:rPr>
              <w:t>ș</w:t>
            </w:r>
            <w:r w:rsidRPr="00DD6A7A">
              <w:rPr>
                <w:rFonts w:ascii="Times New Roman" w:eastAsia="Times New Roman" w:hAnsi="Times New Roman" w:cs="Times New Roman"/>
                <w:b/>
                <w:bCs/>
                <w:color w:val="000000"/>
                <w:sz w:val="18"/>
                <w:szCs w:val="18"/>
                <w:lang w:val="ro-RO"/>
              </w:rPr>
              <w:t>itul perioadei de gestiune</w:t>
            </w:r>
          </w:p>
        </w:tc>
        <w:tc>
          <w:tcPr>
            <w:tcW w:w="850" w:type="dxa"/>
            <w:tcBorders>
              <w:top w:val="nil"/>
              <w:left w:val="single" w:sz="8" w:space="0" w:color="auto"/>
              <w:bottom w:val="single" w:sz="8" w:space="0" w:color="auto"/>
              <w:right w:val="nil"/>
            </w:tcBorders>
            <w:shd w:val="clear" w:color="auto" w:fill="auto"/>
            <w:hideMark/>
          </w:tcPr>
          <w:p w14:paraId="42D107F3" w14:textId="77777777" w:rsidR="0027547A" w:rsidRPr="00DD6A7A" w:rsidRDefault="0027547A" w:rsidP="00C43819">
            <w:pPr>
              <w:spacing w:after="0" w:line="240" w:lineRule="auto"/>
              <w:rPr>
                <w:rFonts w:ascii="Times New Roman" w:eastAsia="Times New Roman" w:hAnsi="Times New Roman" w:cs="Times New Roman"/>
                <w:b/>
                <w:bCs/>
                <w:color w:val="000000"/>
                <w:sz w:val="18"/>
                <w:szCs w:val="18"/>
                <w:lang w:val="ro-RO"/>
              </w:rPr>
            </w:pPr>
            <w:r w:rsidRPr="00DD6A7A">
              <w:rPr>
                <w:rFonts w:ascii="Times New Roman" w:eastAsia="Times New Roman" w:hAnsi="Times New Roman" w:cs="Times New Roman"/>
                <w:b/>
                <w:bCs/>
                <w:color w:val="000000"/>
                <w:sz w:val="18"/>
                <w:szCs w:val="18"/>
                <w:lang w:val="ro-RO"/>
              </w:rPr>
              <w:t>11</w:t>
            </w:r>
          </w:p>
        </w:tc>
        <w:tc>
          <w:tcPr>
            <w:tcW w:w="993" w:type="dxa"/>
            <w:tcBorders>
              <w:top w:val="nil"/>
              <w:left w:val="single" w:sz="8" w:space="0" w:color="auto"/>
              <w:bottom w:val="single" w:sz="8" w:space="0" w:color="auto"/>
              <w:right w:val="single" w:sz="8" w:space="0" w:color="auto"/>
            </w:tcBorders>
            <w:shd w:val="clear" w:color="auto" w:fill="auto"/>
            <w:noWrap/>
            <w:hideMark/>
          </w:tcPr>
          <w:p w14:paraId="682ACE24"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 </w:t>
            </w:r>
          </w:p>
        </w:tc>
        <w:tc>
          <w:tcPr>
            <w:tcW w:w="1025" w:type="dxa"/>
            <w:tcBorders>
              <w:top w:val="nil"/>
              <w:left w:val="nil"/>
              <w:bottom w:val="single" w:sz="8" w:space="0" w:color="auto"/>
              <w:right w:val="single" w:sz="8" w:space="0" w:color="auto"/>
            </w:tcBorders>
            <w:shd w:val="clear" w:color="auto" w:fill="auto"/>
            <w:hideMark/>
          </w:tcPr>
          <w:p w14:paraId="4D332540"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025" w:type="dxa"/>
            <w:tcBorders>
              <w:top w:val="nil"/>
              <w:left w:val="nil"/>
              <w:bottom w:val="single" w:sz="8" w:space="0" w:color="auto"/>
              <w:right w:val="single" w:sz="8" w:space="0" w:color="auto"/>
            </w:tcBorders>
            <w:shd w:val="clear" w:color="auto" w:fill="auto"/>
            <w:hideMark/>
          </w:tcPr>
          <w:p w14:paraId="3E28F0DA"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237" w:type="dxa"/>
            <w:tcBorders>
              <w:top w:val="nil"/>
              <w:left w:val="nil"/>
              <w:bottom w:val="single" w:sz="8" w:space="0" w:color="auto"/>
              <w:right w:val="single" w:sz="8" w:space="0" w:color="auto"/>
            </w:tcBorders>
            <w:shd w:val="clear" w:color="auto" w:fill="auto"/>
            <w:hideMark/>
          </w:tcPr>
          <w:p w14:paraId="43ACA48D"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51318864" w14:textId="77777777" w:rsidR="0027547A" w:rsidRPr="00DD6A7A" w:rsidRDefault="0027547A" w:rsidP="00C43819">
            <w:pPr>
              <w:spacing w:after="0" w:line="240" w:lineRule="auto"/>
              <w:jc w:val="center"/>
              <w:rPr>
                <w:rFonts w:ascii="Times New Roman" w:eastAsia="Times New Roman" w:hAnsi="Times New Roman" w:cs="Times New Roman"/>
                <w:color w:val="000000"/>
                <w:sz w:val="18"/>
                <w:szCs w:val="18"/>
                <w:lang w:val="ro-RO"/>
              </w:rPr>
            </w:pPr>
            <w:r w:rsidRPr="00DD6A7A">
              <w:rPr>
                <w:rFonts w:ascii="Times New Roman" w:eastAsia="Times New Roman" w:hAnsi="Times New Roman" w:cs="Times New Roman"/>
                <w:color w:val="000000"/>
                <w:sz w:val="18"/>
                <w:szCs w:val="18"/>
                <w:lang w:val="ro-RO"/>
              </w:rPr>
              <w:t>12.479,13</w:t>
            </w:r>
          </w:p>
        </w:tc>
        <w:tc>
          <w:tcPr>
            <w:tcW w:w="992" w:type="dxa"/>
            <w:tcBorders>
              <w:top w:val="nil"/>
              <w:left w:val="nil"/>
              <w:bottom w:val="single" w:sz="8" w:space="0" w:color="auto"/>
              <w:right w:val="single" w:sz="8" w:space="0" w:color="auto"/>
            </w:tcBorders>
            <w:shd w:val="clear" w:color="auto" w:fill="auto"/>
            <w:hideMark/>
          </w:tcPr>
          <w:p w14:paraId="744A55FE"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1134" w:type="dxa"/>
            <w:tcBorders>
              <w:top w:val="nil"/>
              <w:left w:val="nil"/>
              <w:bottom w:val="single" w:sz="8" w:space="0" w:color="auto"/>
              <w:right w:val="single" w:sz="8" w:space="0" w:color="auto"/>
            </w:tcBorders>
            <w:shd w:val="clear" w:color="auto" w:fill="auto"/>
            <w:hideMark/>
          </w:tcPr>
          <w:p w14:paraId="62D1E02A" w14:textId="77777777" w:rsidR="0027547A" w:rsidRPr="00DD6A7A" w:rsidRDefault="0027547A"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0,00</w:t>
            </w:r>
          </w:p>
        </w:tc>
        <w:tc>
          <w:tcPr>
            <w:tcW w:w="992" w:type="dxa"/>
            <w:tcBorders>
              <w:top w:val="nil"/>
              <w:left w:val="nil"/>
              <w:bottom w:val="single" w:sz="8" w:space="0" w:color="auto"/>
              <w:right w:val="single" w:sz="8" w:space="0" w:color="auto"/>
            </w:tcBorders>
            <w:shd w:val="clear" w:color="auto" w:fill="auto"/>
            <w:noWrap/>
          </w:tcPr>
          <w:p w14:paraId="2891A4DE" w14:textId="77777777" w:rsidR="0027547A" w:rsidRPr="00DD6A7A" w:rsidRDefault="00281115" w:rsidP="00C43819">
            <w:pPr>
              <w:spacing w:after="0" w:line="240" w:lineRule="auto"/>
              <w:jc w:val="center"/>
              <w:rPr>
                <w:rFonts w:ascii="Times New Roman" w:eastAsia="Times New Roman" w:hAnsi="Times New Roman" w:cs="Times New Roman"/>
                <w:i/>
                <w:iCs/>
                <w:color w:val="000000"/>
                <w:sz w:val="18"/>
                <w:szCs w:val="18"/>
                <w:lang w:val="ro-RO"/>
              </w:rPr>
            </w:pPr>
            <w:r w:rsidRPr="00DD6A7A">
              <w:rPr>
                <w:rFonts w:ascii="Times New Roman" w:eastAsia="Times New Roman" w:hAnsi="Times New Roman" w:cs="Times New Roman"/>
                <w:i/>
                <w:iCs/>
                <w:color w:val="000000"/>
                <w:sz w:val="18"/>
                <w:szCs w:val="18"/>
                <w:lang w:val="ro-RO"/>
              </w:rPr>
              <w:t>x</w:t>
            </w:r>
          </w:p>
        </w:tc>
      </w:tr>
    </w:tbl>
    <w:p w14:paraId="0E9FE426" w14:textId="77777777" w:rsidR="00AB35C6" w:rsidRPr="00DD6A7A" w:rsidRDefault="00AB35C6" w:rsidP="00AB35C6">
      <w:pPr>
        <w:jc w:val="both"/>
        <w:rPr>
          <w:rFonts w:ascii="Times New Roman" w:hAnsi="Times New Roman" w:cs="Times New Roman"/>
          <w:i/>
          <w:sz w:val="20"/>
          <w:szCs w:val="20"/>
        </w:rPr>
      </w:pPr>
      <w:r w:rsidRPr="00DD6A7A">
        <w:rPr>
          <w:rFonts w:ascii="Times New Roman" w:hAnsi="Times New Roman" w:cs="Times New Roman"/>
          <w:b/>
          <w:i/>
          <w:sz w:val="24"/>
          <w:szCs w:val="24"/>
        </w:rPr>
        <w:t xml:space="preserve">                     </w:t>
      </w:r>
      <w:r w:rsidRPr="00DD6A7A">
        <w:rPr>
          <w:rFonts w:ascii="Times New Roman" w:hAnsi="Times New Roman" w:cs="Times New Roman"/>
          <w:b/>
          <w:i/>
          <w:sz w:val="20"/>
          <w:szCs w:val="20"/>
        </w:rPr>
        <w:t>Sursa:</w:t>
      </w:r>
      <w:r w:rsidRPr="00DD6A7A">
        <w:rPr>
          <w:rFonts w:ascii="Times New Roman" w:hAnsi="Times New Roman" w:cs="Times New Roman"/>
          <w:i/>
          <w:sz w:val="20"/>
          <w:szCs w:val="20"/>
        </w:rPr>
        <w:t xml:space="preserve"> Rapoartele financiare </w:t>
      </w:r>
      <w:r w:rsidR="00466BCD" w:rsidRPr="00DD6A7A">
        <w:rPr>
          <w:rFonts w:ascii="Times New Roman" w:hAnsi="Times New Roman" w:cs="Times New Roman"/>
          <w:i/>
          <w:sz w:val="20"/>
          <w:szCs w:val="20"/>
        </w:rPr>
        <w:t xml:space="preserve">FD 044 </w:t>
      </w:r>
      <w:r w:rsidRPr="00DD6A7A">
        <w:rPr>
          <w:rFonts w:ascii="Times New Roman" w:hAnsi="Times New Roman" w:cs="Times New Roman"/>
          <w:i/>
          <w:sz w:val="20"/>
          <w:szCs w:val="20"/>
        </w:rPr>
        <w:t>ale CNPDCP</w:t>
      </w:r>
      <w:r w:rsidR="00B37490" w:rsidRPr="00DD6A7A">
        <w:rPr>
          <w:rFonts w:ascii="Times New Roman" w:hAnsi="Times New Roman" w:cs="Times New Roman"/>
          <w:i/>
          <w:sz w:val="20"/>
          <w:szCs w:val="20"/>
        </w:rPr>
        <w:t xml:space="preserve"> pe</w:t>
      </w:r>
      <w:r w:rsidRPr="00DD6A7A">
        <w:rPr>
          <w:rFonts w:ascii="Times New Roman" w:hAnsi="Times New Roman" w:cs="Times New Roman"/>
          <w:i/>
          <w:sz w:val="20"/>
          <w:szCs w:val="20"/>
        </w:rPr>
        <w:t xml:space="preserve"> anii 2018, 2019, 2020, 2021 și 2022.</w:t>
      </w:r>
    </w:p>
    <w:p w14:paraId="27003323" w14:textId="77777777" w:rsidR="00963662" w:rsidRPr="00DD6A7A" w:rsidRDefault="008A2E52" w:rsidP="000A480B">
      <w:pPr>
        <w:jc w:val="center"/>
        <w:rPr>
          <w:rFonts w:ascii="Times New Roman" w:hAnsi="Times New Roman" w:cs="Times New Roman"/>
          <w:b/>
          <w:i/>
          <w:sz w:val="24"/>
          <w:szCs w:val="24"/>
        </w:rPr>
      </w:pPr>
      <w:r w:rsidRPr="00DD6A7A">
        <w:rPr>
          <w:rFonts w:ascii="Times New Roman" w:hAnsi="Times New Roman" w:cs="Times New Roman"/>
          <w:b/>
          <w:i/>
          <w:sz w:val="24"/>
          <w:szCs w:val="24"/>
        </w:rPr>
        <w:t xml:space="preserve">                                                                                                                                                                                         </w:t>
      </w:r>
      <w:r w:rsidR="00FD08E2">
        <w:rPr>
          <w:rFonts w:ascii="Times New Roman" w:hAnsi="Times New Roman" w:cs="Times New Roman"/>
          <w:b/>
          <w:i/>
          <w:sz w:val="24"/>
          <w:szCs w:val="24"/>
        </w:rPr>
        <w:t xml:space="preserve">     </w:t>
      </w:r>
      <w:r w:rsidR="00963662" w:rsidRPr="00DD6A7A">
        <w:rPr>
          <w:rFonts w:ascii="Times New Roman" w:hAnsi="Times New Roman" w:cs="Times New Roman"/>
          <w:b/>
          <w:i/>
          <w:sz w:val="24"/>
          <w:szCs w:val="24"/>
        </w:rPr>
        <w:t>Anexa nr.</w:t>
      </w:r>
      <w:r w:rsidRPr="00DD6A7A">
        <w:rPr>
          <w:rFonts w:ascii="Times New Roman" w:hAnsi="Times New Roman" w:cs="Times New Roman"/>
          <w:b/>
          <w:i/>
          <w:sz w:val="24"/>
          <w:szCs w:val="24"/>
        </w:rPr>
        <w:t>4</w:t>
      </w:r>
    </w:p>
    <w:p w14:paraId="4DB69B6F" w14:textId="77777777" w:rsidR="00963662" w:rsidRPr="00605F45" w:rsidRDefault="00963662" w:rsidP="008C1B8F">
      <w:pPr>
        <w:spacing w:after="0" w:line="240" w:lineRule="auto"/>
        <w:ind w:right="810"/>
        <w:jc w:val="center"/>
        <w:rPr>
          <w:rFonts w:ascii="Times New Roman" w:hAnsi="Times New Roman" w:cs="Times New Roman"/>
          <w:b/>
        </w:rPr>
      </w:pPr>
      <w:r w:rsidRPr="00605F45">
        <w:rPr>
          <w:rFonts w:ascii="Times New Roman" w:hAnsi="Times New Roman" w:cs="Times New Roman"/>
          <w:b/>
        </w:rPr>
        <w:t xml:space="preserve">Procedurile de achiziții publice de mărfuri și servicii ale </w:t>
      </w:r>
      <w:r w:rsidR="006426E3" w:rsidRPr="00605F45">
        <w:rPr>
          <w:rFonts w:ascii="Times New Roman" w:hAnsi="Times New Roman" w:cs="Times New Roman"/>
          <w:b/>
        </w:rPr>
        <w:t>CNPDCP</w:t>
      </w:r>
      <w:r w:rsidRPr="00605F45">
        <w:rPr>
          <w:rFonts w:ascii="Times New Roman" w:hAnsi="Times New Roman" w:cs="Times New Roman"/>
          <w:b/>
        </w:rPr>
        <w:t xml:space="preserve"> pe anii 2018-2022</w:t>
      </w:r>
      <w:r w:rsidR="000A480B" w:rsidRPr="00605F45">
        <w:rPr>
          <w:rFonts w:ascii="Times New Roman" w:hAnsi="Times New Roman" w:cs="Times New Roman"/>
          <w:b/>
        </w:rPr>
        <w:t xml:space="preserve"> </w:t>
      </w:r>
      <w:r w:rsidR="006426E3" w:rsidRPr="00605F45">
        <w:rPr>
          <w:rFonts w:ascii="Times New Roman" w:hAnsi="Times New Roman" w:cs="Times New Roman"/>
          <w:b/>
        </w:rPr>
        <w:t>(</w:t>
      </w:r>
      <w:r w:rsidRPr="00605F45">
        <w:rPr>
          <w:rFonts w:ascii="Times New Roman" w:hAnsi="Times New Roman" w:cs="Times New Roman"/>
          <w:b/>
        </w:rPr>
        <w:t xml:space="preserve">mii </w:t>
      </w:r>
      <w:r w:rsidR="000A480B" w:rsidRPr="00605F45">
        <w:rPr>
          <w:rFonts w:ascii="Times New Roman" w:hAnsi="Times New Roman" w:cs="Times New Roman"/>
          <w:b/>
        </w:rPr>
        <w:t>l</w:t>
      </w:r>
      <w:r w:rsidRPr="00605F45">
        <w:rPr>
          <w:rFonts w:ascii="Times New Roman" w:hAnsi="Times New Roman" w:cs="Times New Roman"/>
          <w:b/>
        </w:rPr>
        <w:t>ei</w:t>
      </w:r>
      <w:r w:rsidR="006426E3" w:rsidRPr="00605F45">
        <w:rPr>
          <w:rFonts w:ascii="Times New Roman" w:hAnsi="Times New Roman" w:cs="Times New Roman"/>
          <w:b/>
        </w:rPr>
        <w:t>)</w:t>
      </w:r>
    </w:p>
    <w:tbl>
      <w:tblPr>
        <w:tblStyle w:val="1"/>
        <w:tblW w:w="0" w:type="auto"/>
        <w:jc w:val="center"/>
        <w:tblLook w:val="04A0" w:firstRow="1" w:lastRow="0" w:firstColumn="1" w:lastColumn="0" w:noHBand="0" w:noVBand="1"/>
      </w:tblPr>
      <w:tblGrid>
        <w:gridCol w:w="1677"/>
        <w:gridCol w:w="487"/>
        <w:gridCol w:w="1304"/>
        <w:gridCol w:w="487"/>
        <w:gridCol w:w="1304"/>
        <w:gridCol w:w="500"/>
        <w:gridCol w:w="1409"/>
        <w:gridCol w:w="487"/>
        <w:gridCol w:w="1304"/>
        <w:gridCol w:w="534"/>
        <w:gridCol w:w="1304"/>
        <w:gridCol w:w="680"/>
        <w:gridCol w:w="1418"/>
      </w:tblGrid>
      <w:tr w:rsidR="00963662" w:rsidRPr="00DD6A7A" w14:paraId="6A52B411" w14:textId="77777777" w:rsidTr="00D4082B">
        <w:trPr>
          <w:trHeight w:val="359"/>
          <w:jc w:val="center"/>
        </w:trPr>
        <w:tc>
          <w:tcPr>
            <w:tcW w:w="1677" w:type="dxa"/>
            <w:shd w:val="clear" w:color="auto" w:fill="C00000"/>
          </w:tcPr>
          <w:p w14:paraId="7175C35E" w14:textId="77777777" w:rsidR="00963662" w:rsidRPr="00DD6A7A" w:rsidRDefault="00963662" w:rsidP="008C1B8F">
            <w:pPr>
              <w:rPr>
                <w:rFonts w:ascii="Times New Roman" w:hAnsi="Times New Roman" w:cs="Times New Roman"/>
                <w:sz w:val="20"/>
                <w:szCs w:val="20"/>
              </w:rPr>
            </w:pPr>
          </w:p>
        </w:tc>
        <w:tc>
          <w:tcPr>
            <w:tcW w:w="1791" w:type="dxa"/>
            <w:gridSpan w:val="2"/>
            <w:shd w:val="clear" w:color="auto" w:fill="C00000"/>
          </w:tcPr>
          <w:p w14:paraId="4DD4E961" w14:textId="77777777" w:rsidR="00963662" w:rsidRPr="00DD6A7A" w:rsidRDefault="00963662" w:rsidP="008C1B8F">
            <w:pPr>
              <w:jc w:val="center"/>
              <w:rPr>
                <w:rFonts w:ascii="Times New Roman" w:hAnsi="Times New Roman" w:cs="Times New Roman"/>
                <w:b/>
                <w:sz w:val="20"/>
                <w:szCs w:val="20"/>
              </w:rPr>
            </w:pPr>
            <w:r w:rsidRPr="00DD6A7A">
              <w:rPr>
                <w:rFonts w:ascii="Times New Roman" w:hAnsi="Times New Roman" w:cs="Times New Roman"/>
                <w:b/>
                <w:sz w:val="20"/>
                <w:szCs w:val="20"/>
              </w:rPr>
              <w:t>2018</w:t>
            </w:r>
          </w:p>
        </w:tc>
        <w:tc>
          <w:tcPr>
            <w:tcW w:w="1791" w:type="dxa"/>
            <w:gridSpan w:val="2"/>
            <w:shd w:val="clear" w:color="auto" w:fill="C00000"/>
          </w:tcPr>
          <w:p w14:paraId="7C0A0E5E" w14:textId="77777777" w:rsidR="00963662" w:rsidRPr="00DD6A7A" w:rsidRDefault="00963662" w:rsidP="008C1B8F">
            <w:pPr>
              <w:jc w:val="center"/>
              <w:rPr>
                <w:rFonts w:ascii="Times New Roman" w:hAnsi="Times New Roman" w:cs="Times New Roman"/>
                <w:b/>
                <w:sz w:val="20"/>
                <w:szCs w:val="20"/>
              </w:rPr>
            </w:pPr>
            <w:r w:rsidRPr="00DD6A7A">
              <w:rPr>
                <w:rFonts w:ascii="Times New Roman" w:hAnsi="Times New Roman" w:cs="Times New Roman"/>
                <w:b/>
                <w:sz w:val="20"/>
                <w:szCs w:val="20"/>
              </w:rPr>
              <w:t>2019</w:t>
            </w:r>
          </w:p>
        </w:tc>
        <w:tc>
          <w:tcPr>
            <w:tcW w:w="1909" w:type="dxa"/>
            <w:gridSpan w:val="2"/>
            <w:shd w:val="clear" w:color="auto" w:fill="C00000"/>
          </w:tcPr>
          <w:p w14:paraId="28D62E13" w14:textId="77777777" w:rsidR="00963662" w:rsidRPr="00DD6A7A" w:rsidRDefault="00963662" w:rsidP="008C1B8F">
            <w:pPr>
              <w:jc w:val="center"/>
              <w:rPr>
                <w:rFonts w:ascii="Times New Roman" w:hAnsi="Times New Roman" w:cs="Times New Roman"/>
                <w:b/>
                <w:sz w:val="20"/>
                <w:szCs w:val="20"/>
              </w:rPr>
            </w:pPr>
            <w:r w:rsidRPr="00DD6A7A">
              <w:rPr>
                <w:rFonts w:ascii="Times New Roman" w:hAnsi="Times New Roman" w:cs="Times New Roman"/>
                <w:b/>
                <w:sz w:val="20"/>
                <w:szCs w:val="20"/>
              </w:rPr>
              <w:t>2020</w:t>
            </w:r>
          </w:p>
        </w:tc>
        <w:tc>
          <w:tcPr>
            <w:tcW w:w="1791" w:type="dxa"/>
            <w:gridSpan w:val="2"/>
            <w:shd w:val="clear" w:color="auto" w:fill="C00000"/>
          </w:tcPr>
          <w:p w14:paraId="3BB2678B" w14:textId="77777777" w:rsidR="00963662" w:rsidRPr="00DD6A7A" w:rsidRDefault="00963662" w:rsidP="008C1B8F">
            <w:pPr>
              <w:jc w:val="center"/>
              <w:rPr>
                <w:rFonts w:ascii="Times New Roman" w:hAnsi="Times New Roman" w:cs="Times New Roman"/>
                <w:b/>
                <w:sz w:val="20"/>
                <w:szCs w:val="20"/>
              </w:rPr>
            </w:pPr>
            <w:r w:rsidRPr="00DD6A7A">
              <w:rPr>
                <w:rFonts w:ascii="Times New Roman" w:hAnsi="Times New Roman" w:cs="Times New Roman"/>
                <w:b/>
                <w:sz w:val="20"/>
                <w:szCs w:val="20"/>
              </w:rPr>
              <w:t>2021</w:t>
            </w:r>
          </w:p>
        </w:tc>
        <w:tc>
          <w:tcPr>
            <w:tcW w:w="1838" w:type="dxa"/>
            <w:gridSpan w:val="2"/>
            <w:shd w:val="clear" w:color="auto" w:fill="C00000"/>
          </w:tcPr>
          <w:p w14:paraId="463B14C4" w14:textId="77777777" w:rsidR="00963662" w:rsidRPr="00DD6A7A" w:rsidRDefault="00963662" w:rsidP="008C1B8F">
            <w:pPr>
              <w:jc w:val="center"/>
              <w:rPr>
                <w:rFonts w:ascii="Times New Roman" w:hAnsi="Times New Roman" w:cs="Times New Roman"/>
                <w:b/>
                <w:sz w:val="20"/>
                <w:szCs w:val="20"/>
              </w:rPr>
            </w:pPr>
            <w:r w:rsidRPr="00DD6A7A">
              <w:rPr>
                <w:rFonts w:ascii="Times New Roman" w:hAnsi="Times New Roman" w:cs="Times New Roman"/>
                <w:b/>
                <w:sz w:val="20"/>
                <w:szCs w:val="20"/>
              </w:rPr>
              <w:t>2022</w:t>
            </w:r>
          </w:p>
        </w:tc>
        <w:tc>
          <w:tcPr>
            <w:tcW w:w="2098" w:type="dxa"/>
            <w:gridSpan w:val="2"/>
            <w:shd w:val="clear" w:color="auto" w:fill="C00000"/>
          </w:tcPr>
          <w:p w14:paraId="639871CD" w14:textId="77777777" w:rsidR="00963662" w:rsidRPr="00DD6A7A" w:rsidRDefault="00963662" w:rsidP="008C1B8F">
            <w:pPr>
              <w:jc w:val="center"/>
              <w:rPr>
                <w:rFonts w:ascii="Times New Roman" w:hAnsi="Times New Roman" w:cs="Times New Roman"/>
                <w:b/>
                <w:sz w:val="20"/>
                <w:szCs w:val="20"/>
              </w:rPr>
            </w:pPr>
            <w:r w:rsidRPr="00DD6A7A">
              <w:rPr>
                <w:rFonts w:ascii="Times New Roman" w:hAnsi="Times New Roman" w:cs="Times New Roman"/>
                <w:b/>
                <w:sz w:val="20"/>
                <w:szCs w:val="20"/>
              </w:rPr>
              <w:t>Total</w:t>
            </w:r>
          </w:p>
        </w:tc>
      </w:tr>
      <w:tr w:rsidR="00963662" w:rsidRPr="00DD6A7A" w14:paraId="1999D81E" w14:textId="77777777" w:rsidTr="00D4082B">
        <w:trPr>
          <w:jc w:val="center"/>
        </w:trPr>
        <w:tc>
          <w:tcPr>
            <w:tcW w:w="1677" w:type="dxa"/>
            <w:shd w:val="clear" w:color="auto" w:fill="C00000"/>
          </w:tcPr>
          <w:p w14:paraId="01D2CDEA" w14:textId="77777777" w:rsidR="00963662" w:rsidRPr="00DD6A7A" w:rsidRDefault="00963662" w:rsidP="008C1B8F">
            <w:pPr>
              <w:rPr>
                <w:rFonts w:ascii="Times New Roman" w:eastAsia="Times New Roman" w:hAnsi="Times New Roman" w:cs="Times New Roman"/>
                <w:b/>
                <w:bCs/>
                <w:sz w:val="20"/>
                <w:szCs w:val="20"/>
                <w:lang w:eastAsia="ru-RU"/>
              </w:rPr>
            </w:pPr>
          </w:p>
        </w:tc>
        <w:tc>
          <w:tcPr>
            <w:tcW w:w="487" w:type="dxa"/>
            <w:shd w:val="clear" w:color="auto" w:fill="C00000"/>
          </w:tcPr>
          <w:p w14:paraId="0F324667" w14:textId="77777777" w:rsidR="00963662" w:rsidRPr="00DD6A7A" w:rsidRDefault="00963662" w:rsidP="002B3436">
            <w:pPr>
              <w:jc w:val="center"/>
              <w:rPr>
                <w:rFonts w:ascii="Times New Roman" w:hAnsi="Times New Roman" w:cs="Times New Roman"/>
                <w:sz w:val="20"/>
                <w:szCs w:val="20"/>
              </w:rPr>
            </w:pPr>
            <w:r w:rsidRPr="00DD6A7A">
              <w:rPr>
                <w:rFonts w:ascii="Times New Roman" w:hAnsi="Times New Roman" w:cs="Times New Roman"/>
                <w:sz w:val="20"/>
                <w:szCs w:val="20"/>
              </w:rPr>
              <w:t>Nr.</w:t>
            </w:r>
          </w:p>
        </w:tc>
        <w:tc>
          <w:tcPr>
            <w:tcW w:w="1304" w:type="dxa"/>
            <w:shd w:val="clear" w:color="auto" w:fill="C00000"/>
          </w:tcPr>
          <w:p w14:paraId="16C3A056" w14:textId="77777777" w:rsidR="00963662" w:rsidRPr="00DD6A7A" w:rsidRDefault="00963662" w:rsidP="002B3436">
            <w:pPr>
              <w:jc w:val="center"/>
              <w:rPr>
                <w:rFonts w:ascii="Times New Roman" w:hAnsi="Times New Roman" w:cs="Times New Roman"/>
                <w:sz w:val="20"/>
                <w:szCs w:val="20"/>
              </w:rPr>
            </w:pPr>
            <w:r w:rsidRPr="00DD6A7A">
              <w:rPr>
                <w:rFonts w:ascii="Times New Roman" w:hAnsi="Times New Roman" w:cs="Times New Roman"/>
                <w:sz w:val="20"/>
                <w:szCs w:val="20"/>
              </w:rPr>
              <w:t>Valoarea contractelor</w:t>
            </w:r>
          </w:p>
        </w:tc>
        <w:tc>
          <w:tcPr>
            <w:tcW w:w="487" w:type="dxa"/>
            <w:shd w:val="clear" w:color="auto" w:fill="C00000"/>
          </w:tcPr>
          <w:p w14:paraId="69EAAF39" w14:textId="77777777" w:rsidR="00963662" w:rsidRPr="00DD6A7A" w:rsidRDefault="00963662" w:rsidP="002B3436">
            <w:pPr>
              <w:jc w:val="center"/>
              <w:rPr>
                <w:rFonts w:ascii="Times New Roman" w:hAnsi="Times New Roman" w:cs="Times New Roman"/>
                <w:sz w:val="20"/>
                <w:szCs w:val="20"/>
              </w:rPr>
            </w:pPr>
            <w:r w:rsidRPr="00DD6A7A">
              <w:rPr>
                <w:rFonts w:ascii="Times New Roman" w:hAnsi="Times New Roman" w:cs="Times New Roman"/>
                <w:sz w:val="20"/>
                <w:szCs w:val="20"/>
              </w:rPr>
              <w:t>Nr</w:t>
            </w:r>
            <w:r w:rsidR="00825C02" w:rsidRPr="00DD6A7A">
              <w:rPr>
                <w:rFonts w:ascii="Times New Roman" w:hAnsi="Times New Roman" w:cs="Times New Roman"/>
                <w:sz w:val="20"/>
                <w:szCs w:val="20"/>
              </w:rPr>
              <w:t>.</w:t>
            </w:r>
          </w:p>
        </w:tc>
        <w:tc>
          <w:tcPr>
            <w:tcW w:w="1304" w:type="dxa"/>
            <w:shd w:val="clear" w:color="auto" w:fill="C00000"/>
          </w:tcPr>
          <w:p w14:paraId="6B510F72" w14:textId="77777777" w:rsidR="00963662" w:rsidRPr="00DD6A7A" w:rsidRDefault="00963662" w:rsidP="002B3436">
            <w:pPr>
              <w:jc w:val="center"/>
              <w:rPr>
                <w:rFonts w:ascii="Times New Roman" w:hAnsi="Times New Roman" w:cs="Times New Roman"/>
                <w:sz w:val="20"/>
                <w:szCs w:val="20"/>
              </w:rPr>
            </w:pPr>
            <w:r w:rsidRPr="00DD6A7A">
              <w:rPr>
                <w:rFonts w:ascii="Times New Roman" w:hAnsi="Times New Roman" w:cs="Times New Roman"/>
                <w:sz w:val="20"/>
                <w:szCs w:val="20"/>
              </w:rPr>
              <w:t>Valoarea contractelor</w:t>
            </w:r>
          </w:p>
        </w:tc>
        <w:tc>
          <w:tcPr>
            <w:tcW w:w="500" w:type="dxa"/>
            <w:shd w:val="clear" w:color="auto" w:fill="C00000"/>
          </w:tcPr>
          <w:p w14:paraId="1FCA7E47" w14:textId="77777777" w:rsidR="00963662" w:rsidRPr="00DD6A7A" w:rsidRDefault="00963662" w:rsidP="002B3436">
            <w:pPr>
              <w:jc w:val="center"/>
              <w:rPr>
                <w:rFonts w:ascii="Times New Roman" w:hAnsi="Times New Roman" w:cs="Times New Roman"/>
                <w:sz w:val="20"/>
                <w:szCs w:val="20"/>
              </w:rPr>
            </w:pPr>
            <w:r w:rsidRPr="00DD6A7A">
              <w:rPr>
                <w:rFonts w:ascii="Times New Roman" w:hAnsi="Times New Roman" w:cs="Times New Roman"/>
                <w:sz w:val="20"/>
                <w:szCs w:val="20"/>
              </w:rPr>
              <w:t>Nr.</w:t>
            </w:r>
          </w:p>
        </w:tc>
        <w:tc>
          <w:tcPr>
            <w:tcW w:w="1409" w:type="dxa"/>
            <w:shd w:val="clear" w:color="auto" w:fill="C00000"/>
          </w:tcPr>
          <w:p w14:paraId="365B38FE" w14:textId="77777777" w:rsidR="00963662" w:rsidRPr="00DD6A7A" w:rsidRDefault="00963662" w:rsidP="002B3436">
            <w:pPr>
              <w:jc w:val="center"/>
              <w:rPr>
                <w:rFonts w:ascii="Times New Roman" w:hAnsi="Times New Roman" w:cs="Times New Roman"/>
                <w:sz w:val="20"/>
                <w:szCs w:val="20"/>
              </w:rPr>
            </w:pPr>
            <w:r w:rsidRPr="00DD6A7A">
              <w:rPr>
                <w:rFonts w:ascii="Times New Roman" w:hAnsi="Times New Roman" w:cs="Times New Roman"/>
                <w:sz w:val="20"/>
                <w:szCs w:val="20"/>
              </w:rPr>
              <w:t>Valoarea contractelor</w:t>
            </w:r>
          </w:p>
        </w:tc>
        <w:tc>
          <w:tcPr>
            <w:tcW w:w="487" w:type="dxa"/>
            <w:shd w:val="clear" w:color="auto" w:fill="C00000"/>
          </w:tcPr>
          <w:p w14:paraId="64A641E3" w14:textId="77777777" w:rsidR="00963662" w:rsidRPr="00DD6A7A" w:rsidRDefault="00963662" w:rsidP="002B3436">
            <w:pPr>
              <w:jc w:val="center"/>
              <w:rPr>
                <w:rFonts w:ascii="Times New Roman" w:hAnsi="Times New Roman" w:cs="Times New Roman"/>
                <w:sz w:val="20"/>
                <w:szCs w:val="20"/>
              </w:rPr>
            </w:pPr>
            <w:r w:rsidRPr="00DD6A7A">
              <w:rPr>
                <w:rFonts w:ascii="Times New Roman" w:hAnsi="Times New Roman" w:cs="Times New Roman"/>
                <w:sz w:val="20"/>
                <w:szCs w:val="20"/>
              </w:rPr>
              <w:t>Nr.</w:t>
            </w:r>
          </w:p>
        </w:tc>
        <w:tc>
          <w:tcPr>
            <w:tcW w:w="1304" w:type="dxa"/>
            <w:shd w:val="clear" w:color="auto" w:fill="C00000"/>
          </w:tcPr>
          <w:p w14:paraId="593A8498" w14:textId="77777777" w:rsidR="00963662" w:rsidRPr="00DD6A7A" w:rsidRDefault="00963662" w:rsidP="002B3436">
            <w:pPr>
              <w:jc w:val="center"/>
              <w:rPr>
                <w:rFonts w:ascii="Times New Roman" w:hAnsi="Times New Roman" w:cs="Times New Roman"/>
                <w:sz w:val="20"/>
                <w:szCs w:val="20"/>
              </w:rPr>
            </w:pPr>
            <w:r w:rsidRPr="00DD6A7A">
              <w:rPr>
                <w:rFonts w:ascii="Times New Roman" w:hAnsi="Times New Roman" w:cs="Times New Roman"/>
                <w:sz w:val="20"/>
                <w:szCs w:val="20"/>
              </w:rPr>
              <w:t>Valoarea contractelor</w:t>
            </w:r>
          </w:p>
        </w:tc>
        <w:tc>
          <w:tcPr>
            <w:tcW w:w="534" w:type="dxa"/>
            <w:shd w:val="clear" w:color="auto" w:fill="C00000"/>
          </w:tcPr>
          <w:p w14:paraId="34FDA0F9" w14:textId="77777777" w:rsidR="00963662" w:rsidRPr="00DD6A7A" w:rsidRDefault="00963662" w:rsidP="002B3436">
            <w:pPr>
              <w:jc w:val="center"/>
              <w:rPr>
                <w:rFonts w:ascii="Times New Roman" w:hAnsi="Times New Roman" w:cs="Times New Roman"/>
                <w:sz w:val="20"/>
                <w:szCs w:val="20"/>
              </w:rPr>
            </w:pPr>
            <w:r w:rsidRPr="00DD6A7A">
              <w:rPr>
                <w:rFonts w:ascii="Times New Roman" w:hAnsi="Times New Roman" w:cs="Times New Roman"/>
                <w:sz w:val="20"/>
                <w:szCs w:val="20"/>
              </w:rPr>
              <w:t>Nr.</w:t>
            </w:r>
          </w:p>
        </w:tc>
        <w:tc>
          <w:tcPr>
            <w:tcW w:w="1304" w:type="dxa"/>
            <w:shd w:val="clear" w:color="auto" w:fill="C00000"/>
          </w:tcPr>
          <w:p w14:paraId="01153D90" w14:textId="77777777" w:rsidR="00963662" w:rsidRPr="00DD6A7A" w:rsidRDefault="00963662" w:rsidP="002B3436">
            <w:pPr>
              <w:jc w:val="center"/>
              <w:rPr>
                <w:rFonts w:ascii="Times New Roman" w:hAnsi="Times New Roman" w:cs="Times New Roman"/>
                <w:sz w:val="20"/>
                <w:szCs w:val="20"/>
              </w:rPr>
            </w:pPr>
            <w:r w:rsidRPr="00DD6A7A">
              <w:rPr>
                <w:rFonts w:ascii="Times New Roman" w:hAnsi="Times New Roman" w:cs="Times New Roman"/>
                <w:sz w:val="20"/>
                <w:szCs w:val="20"/>
              </w:rPr>
              <w:t>Valoarea contractelor</w:t>
            </w:r>
          </w:p>
        </w:tc>
        <w:tc>
          <w:tcPr>
            <w:tcW w:w="680" w:type="dxa"/>
            <w:shd w:val="clear" w:color="auto" w:fill="C00000"/>
          </w:tcPr>
          <w:p w14:paraId="26E76D45" w14:textId="77777777" w:rsidR="00963662" w:rsidRPr="00DD6A7A" w:rsidRDefault="00963662" w:rsidP="002B3436">
            <w:pPr>
              <w:jc w:val="center"/>
              <w:rPr>
                <w:rFonts w:ascii="Times New Roman" w:hAnsi="Times New Roman" w:cs="Times New Roman"/>
                <w:b/>
                <w:sz w:val="20"/>
                <w:szCs w:val="20"/>
              </w:rPr>
            </w:pPr>
            <w:r w:rsidRPr="00DD6A7A">
              <w:rPr>
                <w:rFonts w:ascii="Times New Roman" w:hAnsi="Times New Roman" w:cs="Times New Roman"/>
                <w:b/>
                <w:sz w:val="20"/>
                <w:szCs w:val="20"/>
              </w:rPr>
              <w:t>Nr.</w:t>
            </w:r>
          </w:p>
        </w:tc>
        <w:tc>
          <w:tcPr>
            <w:tcW w:w="1418" w:type="dxa"/>
            <w:shd w:val="clear" w:color="auto" w:fill="C00000"/>
          </w:tcPr>
          <w:p w14:paraId="1757AD23" w14:textId="77777777" w:rsidR="00963662" w:rsidRPr="00DD6A7A" w:rsidRDefault="00963662" w:rsidP="002B3436">
            <w:pPr>
              <w:jc w:val="center"/>
              <w:rPr>
                <w:rFonts w:ascii="Times New Roman" w:hAnsi="Times New Roman" w:cs="Times New Roman"/>
                <w:b/>
                <w:sz w:val="20"/>
                <w:szCs w:val="20"/>
              </w:rPr>
            </w:pPr>
            <w:r w:rsidRPr="00DD6A7A">
              <w:rPr>
                <w:rFonts w:ascii="Times New Roman" w:hAnsi="Times New Roman" w:cs="Times New Roman"/>
                <w:b/>
                <w:sz w:val="20"/>
                <w:szCs w:val="20"/>
              </w:rPr>
              <w:t>Valoarea contractelor</w:t>
            </w:r>
          </w:p>
        </w:tc>
      </w:tr>
      <w:tr w:rsidR="00D4082B" w:rsidRPr="00DD6A7A" w14:paraId="42400156" w14:textId="77777777" w:rsidTr="00E86DEA">
        <w:trPr>
          <w:jc w:val="center"/>
        </w:trPr>
        <w:tc>
          <w:tcPr>
            <w:tcW w:w="1677" w:type="dxa"/>
            <w:shd w:val="clear" w:color="auto" w:fill="auto"/>
          </w:tcPr>
          <w:p w14:paraId="3E04C22A" w14:textId="77777777" w:rsidR="00D4082B" w:rsidRPr="00224B66" w:rsidRDefault="00D4082B" w:rsidP="00D4082B">
            <w:pPr>
              <w:jc w:val="center"/>
              <w:rPr>
                <w:rFonts w:ascii="Times New Roman" w:eastAsia="Times New Roman" w:hAnsi="Times New Roman" w:cs="Times New Roman"/>
                <w:bCs/>
                <w:i/>
                <w:sz w:val="20"/>
                <w:szCs w:val="20"/>
                <w:lang w:eastAsia="ru-RU"/>
              </w:rPr>
            </w:pPr>
            <w:r w:rsidRPr="00224B66">
              <w:rPr>
                <w:rFonts w:ascii="Times New Roman" w:eastAsia="Times New Roman" w:hAnsi="Times New Roman" w:cs="Times New Roman"/>
                <w:bCs/>
                <w:i/>
                <w:sz w:val="20"/>
                <w:szCs w:val="20"/>
                <w:lang w:eastAsia="ru-RU"/>
              </w:rPr>
              <w:t>1</w:t>
            </w:r>
          </w:p>
        </w:tc>
        <w:tc>
          <w:tcPr>
            <w:tcW w:w="487" w:type="dxa"/>
            <w:shd w:val="clear" w:color="auto" w:fill="auto"/>
          </w:tcPr>
          <w:p w14:paraId="57999D7C" w14:textId="77777777" w:rsidR="00D4082B" w:rsidRPr="00224B66" w:rsidRDefault="00D4082B" w:rsidP="00D4082B">
            <w:pPr>
              <w:jc w:val="center"/>
              <w:rPr>
                <w:rFonts w:ascii="Times New Roman" w:hAnsi="Times New Roman" w:cs="Times New Roman"/>
                <w:i/>
                <w:sz w:val="20"/>
                <w:szCs w:val="20"/>
              </w:rPr>
            </w:pPr>
            <w:r w:rsidRPr="00224B66">
              <w:rPr>
                <w:rFonts w:ascii="Times New Roman" w:hAnsi="Times New Roman" w:cs="Times New Roman"/>
                <w:i/>
                <w:sz w:val="20"/>
                <w:szCs w:val="20"/>
              </w:rPr>
              <w:t>2</w:t>
            </w:r>
          </w:p>
        </w:tc>
        <w:tc>
          <w:tcPr>
            <w:tcW w:w="1304" w:type="dxa"/>
            <w:shd w:val="clear" w:color="auto" w:fill="auto"/>
          </w:tcPr>
          <w:p w14:paraId="3B3B867F" w14:textId="77777777" w:rsidR="00D4082B" w:rsidRPr="00224B66" w:rsidRDefault="00D4082B" w:rsidP="00D4082B">
            <w:pPr>
              <w:jc w:val="center"/>
              <w:rPr>
                <w:rFonts w:ascii="Times New Roman" w:hAnsi="Times New Roman" w:cs="Times New Roman"/>
                <w:i/>
                <w:sz w:val="20"/>
                <w:szCs w:val="20"/>
              </w:rPr>
            </w:pPr>
            <w:r w:rsidRPr="00224B66">
              <w:rPr>
                <w:rFonts w:ascii="Times New Roman" w:hAnsi="Times New Roman" w:cs="Times New Roman"/>
                <w:i/>
                <w:sz w:val="20"/>
                <w:szCs w:val="20"/>
              </w:rPr>
              <w:t>3</w:t>
            </w:r>
          </w:p>
        </w:tc>
        <w:tc>
          <w:tcPr>
            <w:tcW w:w="487" w:type="dxa"/>
            <w:shd w:val="clear" w:color="auto" w:fill="auto"/>
          </w:tcPr>
          <w:p w14:paraId="75A397EA" w14:textId="77777777" w:rsidR="00D4082B" w:rsidRPr="00224B66" w:rsidRDefault="00D4082B" w:rsidP="00D4082B">
            <w:pPr>
              <w:jc w:val="center"/>
              <w:rPr>
                <w:rFonts w:ascii="Times New Roman" w:hAnsi="Times New Roman" w:cs="Times New Roman"/>
                <w:i/>
                <w:sz w:val="20"/>
                <w:szCs w:val="20"/>
              </w:rPr>
            </w:pPr>
            <w:r w:rsidRPr="00224B66">
              <w:rPr>
                <w:rFonts w:ascii="Times New Roman" w:hAnsi="Times New Roman" w:cs="Times New Roman"/>
                <w:i/>
                <w:sz w:val="20"/>
                <w:szCs w:val="20"/>
              </w:rPr>
              <w:t>4</w:t>
            </w:r>
          </w:p>
        </w:tc>
        <w:tc>
          <w:tcPr>
            <w:tcW w:w="1304" w:type="dxa"/>
            <w:shd w:val="clear" w:color="auto" w:fill="auto"/>
          </w:tcPr>
          <w:p w14:paraId="2007EDC9" w14:textId="77777777" w:rsidR="00D4082B" w:rsidRPr="00224B66" w:rsidRDefault="00D4082B" w:rsidP="00D4082B">
            <w:pPr>
              <w:jc w:val="center"/>
              <w:rPr>
                <w:rFonts w:ascii="Times New Roman" w:hAnsi="Times New Roman" w:cs="Times New Roman"/>
                <w:i/>
                <w:sz w:val="20"/>
                <w:szCs w:val="20"/>
              </w:rPr>
            </w:pPr>
            <w:r w:rsidRPr="00224B66">
              <w:rPr>
                <w:rFonts w:ascii="Times New Roman" w:hAnsi="Times New Roman" w:cs="Times New Roman"/>
                <w:i/>
                <w:sz w:val="20"/>
                <w:szCs w:val="20"/>
              </w:rPr>
              <w:t>5</w:t>
            </w:r>
          </w:p>
        </w:tc>
        <w:tc>
          <w:tcPr>
            <w:tcW w:w="500" w:type="dxa"/>
            <w:shd w:val="clear" w:color="auto" w:fill="auto"/>
          </w:tcPr>
          <w:p w14:paraId="6B3A0292" w14:textId="77777777" w:rsidR="00D4082B" w:rsidRPr="00224B66" w:rsidRDefault="00D4082B" w:rsidP="00D4082B">
            <w:pPr>
              <w:jc w:val="center"/>
              <w:rPr>
                <w:rFonts w:ascii="Times New Roman" w:hAnsi="Times New Roman" w:cs="Times New Roman"/>
                <w:i/>
                <w:sz w:val="20"/>
                <w:szCs w:val="20"/>
              </w:rPr>
            </w:pPr>
            <w:r w:rsidRPr="00224B66">
              <w:rPr>
                <w:rFonts w:ascii="Times New Roman" w:hAnsi="Times New Roman" w:cs="Times New Roman"/>
                <w:i/>
                <w:sz w:val="20"/>
                <w:szCs w:val="20"/>
              </w:rPr>
              <w:t>6</w:t>
            </w:r>
          </w:p>
        </w:tc>
        <w:tc>
          <w:tcPr>
            <w:tcW w:w="1409" w:type="dxa"/>
            <w:shd w:val="clear" w:color="auto" w:fill="auto"/>
          </w:tcPr>
          <w:p w14:paraId="2B8190FA" w14:textId="77777777" w:rsidR="00D4082B" w:rsidRPr="00224B66" w:rsidRDefault="00D4082B" w:rsidP="00D4082B">
            <w:pPr>
              <w:jc w:val="center"/>
              <w:rPr>
                <w:rFonts w:ascii="Times New Roman" w:hAnsi="Times New Roman" w:cs="Times New Roman"/>
                <w:i/>
                <w:sz w:val="20"/>
                <w:szCs w:val="20"/>
              </w:rPr>
            </w:pPr>
            <w:r w:rsidRPr="00224B66">
              <w:rPr>
                <w:rFonts w:ascii="Times New Roman" w:hAnsi="Times New Roman" w:cs="Times New Roman"/>
                <w:i/>
                <w:sz w:val="20"/>
                <w:szCs w:val="20"/>
              </w:rPr>
              <w:t>7</w:t>
            </w:r>
          </w:p>
        </w:tc>
        <w:tc>
          <w:tcPr>
            <w:tcW w:w="487" w:type="dxa"/>
            <w:shd w:val="clear" w:color="auto" w:fill="auto"/>
          </w:tcPr>
          <w:p w14:paraId="24A39D11" w14:textId="77777777" w:rsidR="00D4082B" w:rsidRPr="00224B66" w:rsidRDefault="00D4082B" w:rsidP="00D4082B">
            <w:pPr>
              <w:jc w:val="center"/>
              <w:rPr>
                <w:rFonts w:ascii="Times New Roman" w:hAnsi="Times New Roman" w:cs="Times New Roman"/>
                <w:i/>
                <w:sz w:val="20"/>
                <w:szCs w:val="20"/>
              </w:rPr>
            </w:pPr>
            <w:r w:rsidRPr="00224B66">
              <w:rPr>
                <w:rFonts w:ascii="Times New Roman" w:hAnsi="Times New Roman" w:cs="Times New Roman"/>
                <w:i/>
                <w:sz w:val="20"/>
                <w:szCs w:val="20"/>
              </w:rPr>
              <w:t>8</w:t>
            </w:r>
          </w:p>
        </w:tc>
        <w:tc>
          <w:tcPr>
            <w:tcW w:w="1304" w:type="dxa"/>
            <w:shd w:val="clear" w:color="auto" w:fill="auto"/>
          </w:tcPr>
          <w:p w14:paraId="33CD4B46" w14:textId="77777777" w:rsidR="00D4082B" w:rsidRPr="00224B66" w:rsidRDefault="00D4082B" w:rsidP="00D4082B">
            <w:pPr>
              <w:jc w:val="center"/>
              <w:rPr>
                <w:rFonts w:ascii="Times New Roman" w:hAnsi="Times New Roman" w:cs="Times New Roman"/>
                <w:i/>
                <w:sz w:val="20"/>
                <w:szCs w:val="20"/>
              </w:rPr>
            </w:pPr>
            <w:r w:rsidRPr="00224B66">
              <w:rPr>
                <w:rFonts w:ascii="Times New Roman" w:hAnsi="Times New Roman" w:cs="Times New Roman"/>
                <w:i/>
                <w:sz w:val="20"/>
                <w:szCs w:val="20"/>
              </w:rPr>
              <w:t>9</w:t>
            </w:r>
          </w:p>
        </w:tc>
        <w:tc>
          <w:tcPr>
            <w:tcW w:w="534" w:type="dxa"/>
            <w:shd w:val="clear" w:color="auto" w:fill="auto"/>
          </w:tcPr>
          <w:p w14:paraId="65CD9BD0" w14:textId="77777777" w:rsidR="00D4082B" w:rsidRPr="00224B66" w:rsidRDefault="00D4082B" w:rsidP="00D4082B">
            <w:pPr>
              <w:jc w:val="center"/>
              <w:rPr>
                <w:rFonts w:ascii="Times New Roman" w:hAnsi="Times New Roman" w:cs="Times New Roman"/>
                <w:i/>
                <w:sz w:val="20"/>
                <w:szCs w:val="20"/>
              </w:rPr>
            </w:pPr>
            <w:r w:rsidRPr="00224B66">
              <w:rPr>
                <w:rFonts w:ascii="Times New Roman" w:hAnsi="Times New Roman" w:cs="Times New Roman"/>
                <w:i/>
                <w:sz w:val="20"/>
                <w:szCs w:val="20"/>
              </w:rPr>
              <w:t>10</w:t>
            </w:r>
          </w:p>
        </w:tc>
        <w:tc>
          <w:tcPr>
            <w:tcW w:w="1304" w:type="dxa"/>
            <w:shd w:val="clear" w:color="auto" w:fill="auto"/>
          </w:tcPr>
          <w:p w14:paraId="1BDF5D2C" w14:textId="77777777" w:rsidR="00D4082B" w:rsidRPr="00224B66" w:rsidRDefault="00D4082B" w:rsidP="00D4082B">
            <w:pPr>
              <w:jc w:val="center"/>
              <w:rPr>
                <w:rFonts w:ascii="Times New Roman" w:hAnsi="Times New Roman" w:cs="Times New Roman"/>
                <w:i/>
                <w:sz w:val="20"/>
                <w:szCs w:val="20"/>
              </w:rPr>
            </w:pPr>
            <w:r w:rsidRPr="00224B66">
              <w:rPr>
                <w:rFonts w:ascii="Times New Roman" w:hAnsi="Times New Roman" w:cs="Times New Roman"/>
                <w:i/>
                <w:sz w:val="20"/>
                <w:szCs w:val="20"/>
              </w:rPr>
              <w:t>11</w:t>
            </w:r>
          </w:p>
        </w:tc>
        <w:tc>
          <w:tcPr>
            <w:tcW w:w="680" w:type="dxa"/>
            <w:shd w:val="clear" w:color="auto" w:fill="auto"/>
          </w:tcPr>
          <w:p w14:paraId="630615F5" w14:textId="77777777" w:rsidR="00D4082B" w:rsidRPr="00224B66" w:rsidRDefault="00D4082B" w:rsidP="00D4082B">
            <w:pPr>
              <w:jc w:val="center"/>
              <w:rPr>
                <w:rFonts w:ascii="Times New Roman" w:hAnsi="Times New Roman" w:cs="Times New Roman"/>
                <w:i/>
                <w:sz w:val="20"/>
                <w:szCs w:val="20"/>
              </w:rPr>
            </w:pPr>
            <w:r w:rsidRPr="00224B66">
              <w:rPr>
                <w:rFonts w:ascii="Times New Roman" w:hAnsi="Times New Roman" w:cs="Times New Roman"/>
                <w:i/>
                <w:sz w:val="20"/>
                <w:szCs w:val="20"/>
              </w:rPr>
              <w:t>12</w:t>
            </w:r>
          </w:p>
        </w:tc>
        <w:tc>
          <w:tcPr>
            <w:tcW w:w="1418" w:type="dxa"/>
            <w:shd w:val="clear" w:color="auto" w:fill="auto"/>
          </w:tcPr>
          <w:p w14:paraId="7B8541F3" w14:textId="77777777" w:rsidR="00D4082B" w:rsidRPr="00224B66" w:rsidRDefault="00D4082B" w:rsidP="00D4082B">
            <w:pPr>
              <w:jc w:val="center"/>
              <w:rPr>
                <w:rFonts w:ascii="Times New Roman" w:hAnsi="Times New Roman" w:cs="Times New Roman"/>
                <w:i/>
                <w:sz w:val="20"/>
                <w:szCs w:val="20"/>
              </w:rPr>
            </w:pPr>
            <w:r w:rsidRPr="00224B66">
              <w:rPr>
                <w:rFonts w:ascii="Times New Roman" w:hAnsi="Times New Roman" w:cs="Times New Roman"/>
                <w:i/>
                <w:sz w:val="20"/>
                <w:szCs w:val="20"/>
              </w:rPr>
              <w:t>13</w:t>
            </w:r>
          </w:p>
        </w:tc>
      </w:tr>
      <w:tr w:rsidR="00B916B2" w:rsidRPr="00DD6A7A" w14:paraId="3D44617D" w14:textId="77777777" w:rsidTr="002B3436">
        <w:trPr>
          <w:jc w:val="center"/>
        </w:trPr>
        <w:tc>
          <w:tcPr>
            <w:tcW w:w="1677" w:type="dxa"/>
          </w:tcPr>
          <w:p w14:paraId="2C801609" w14:textId="77777777" w:rsidR="00B916B2" w:rsidRPr="00DD6A7A" w:rsidRDefault="00B916B2" w:rsidP="00B916B2">
            <w:pPr>
              <w:rPr>
                <w:rFonts w:ascii="Times New Roman" w:eastAsia="Times New Roman" w:hAnsi="Times New Roman" w:cs="Times New Roman"/>
                <w:b/>
                <w:bCs/>
                <w:sz w:val="20"/>
                <w:szCs w:val="20"/>
                <w:lang w:eastAsia="ru-RU"/>
              </w:rPr>
            </w:pPr>
            <w:r w:rsidRPr="00DD6A7A">
              <w:rPr>
                <w:rFonts w:ascii="Times New Roman" w:eastAsia="Times New Roman" w:hAnsi="Times New Roman" w:cs="Times New Roman"/>
                <w:b/>
                <w:bCs/>
                <w:sz w:val="20"/>
                <w:szCs w:val="20"/>
                <w:lang w:eastAsia="ru-RU"/>
              </w:rPr>
              <w:t>Contracte de valoare mică</w:t>
            </w:r>
          </w:p>
        </w:tc>
        <w:tc>
          <w:tcPr>
            <w:tcW w:w="487" w:type="dxa"/>
          </w:tcPr>
          <w:p w14:paraId="48DA3049"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43</w:t>
            </w:r>
          </w:p>
        </w:tc>
        <w:tc>
          <w:tcPr>
            <w:tcW w:w="1304" w:type="dxa"/>
          </w:tcPr>
          <w:p w14:paraId="757B3243"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790,7</w:t>
            </w:r>
          </w:p>
        </w:tc>
        <w:tc>
          <w:tcPr>
            <w:tcW w:w="487" w:type="dxa"/>
          </w:tcPr>
          <w:p w14:paraId="12443B10"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31</w:t>
            </w:r>
          </w:p>
        </w:tc>
        <w:tc>
          <w:tcPr>
            <w:tcW w:w="1304" w:type="dxa"/>
          </w:tcPr>
          <w:p w14:paraId="5E9A9F11"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967,4</w:t>
            </w:r>
          </w:p>
        </w:tc>
        <w:tc>
          <w:tcPr>
            <w:tcW w:w="500" w:type="dxa"/>
          </w:tcPr>
          <w:p w14:paraId="6CD5293D"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35</w:t>
            </w:r>
          </w:p>
        </w:tc>
        <w:tc>
          <w:tcPr>
            <w:tcW w:w="1409" w:type="dxa"/>
          </w:tcPr>
          <w:p w14:paraId="489BEFBD"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1134,1</w:t>
            </w:r>
          </w:p>
        </w:tc>
        <w:tc>
          <w:tcPr>
            <w:tcW w:w="487" w:type="dxa"/>
          </w:tcPr>
          <w:p w14:paraId="2148F2C3"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38</w:t>
            </w:r>
          </w:p>
        </w:tc>
        <w:tc>
          <w:tcPr>
            <w:tcW w:w="1304" w:type="dxa"/>
          </w:tcPr>
          <w:p w14:paraId="0695F929"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1137,1</w:t>
            </w:r>
          </w:p>
        </w:tc>
        <w:tc>
          <w:tcPr>
            <w:tcW w:w="534" w:type="dxa"/>
          </w:tcPr>
          <w:p w14:paraId="428456F6"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47</w:t>
            </w:r>
          </w:p>
        </w:tc>
        <w:tc>
          <w:tcPr>
            <w:tcW w:w="1304" w:type="dxa"/>
          </w:tcPr>
          <w:p w14:paraId="6A08F6A1"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1355,6</w:t>
            </w:r>
          </w:p>
        </w:tc>
        <w:tc>
          <w:tcPr>
            <w:tcW w:w="680" w:type="dxa"/>
          </w:tcPr>
          <w:p w14:paraId="74EA6177" w14:textId="77777777" w:rsidR="00B916B2" w:rsidRPr="00DD6A7A" w:rsidRDefault="00B916B2" w:rsidP="002B3436">
            <w:pPr>
              <w:jc w:val="center"/>
              <w:rPr>
                <w:rFonts w:ascii="Times New Roman" w:hAnsi="Times New Roman" w:cs="Times New Roman"/>
                <w:b/>
                <w:sz w:val="20"/>
                <w:szCs w:val="20"/>
              </w:rPr>
            </w:pPr>
            <w:r w:rsidRPr="00DD6A7A">
              <w:rPr>
                <w:rFonts w:ascii="Times New Roman" w:hAnsi="Times New Roman" w:cs="Times New Roman"/>
                <w:b/>
                <w:sz w:val="20"/>
                <w:szCs w:val="20"/>
              </w:rPr>
              <w:t>194</w:t>
            </w:r>
          </w:p>
        </w:tc>
        <w:tc>
          <w:tcPr>
            <w:tcW w:w="1418" w:type="dxa"/>
          </w:tcPr>
          <w:p w14:paraId="5EAA1068" w14:textId="77777777" w:rsidR="00B916B2" w:rsidRPr="00DD6A7A" w:rsidRDefault="00B916B2" w:rsidP="002B3436">
            <w:pPr>
              <w:jc w:val="center"/>
              <w:rPr>
                <w:rFonts w:ascii="Times New Roman" w:hAnsi="Times New Roman" w:cs="Times New Roman"/>
                <w:b/>
                <w:sz w:val="20"/>
                <w:szCs w:val="20"/>
              </w:rPr>
            </w:pPr>
            <w:r w:rsidRPr="00DD6A7A">
              <w:rPr>
                <w:rFonts w:ascii="Times New Roman" w:eastAsia="Calibri" w:hAnsi="Times New Roman" w:cs="Times New Roman"/>
                <w:b/>
                <w:sz w:val="20"/>
                <w:szCs w:val="20"/>
              </w:rPr>
              <w:t>5385,4</w:t>
            </w:r>
          </w:p>
        </w:tc>
      </w:tr>
      <w:tr w:rsidR="00B916B2" w:rsidRPr="00DD6A7A" w14:paraId="486D9FFE" w14:textId="77777777" w:rsidTr="002B3436">
        <w:trPr>
          <w:jc w:val="center"/>
        </w:trPr>
        <w:tc>
          <w:tcPr>
            <w:tcW w:w="1677" w:type="dxa"/>
          </w:tcPr>
          <w:p w14:paraId="035CCDFB" w14:textId="77777777" w:rsidR="00B916B2" w:rsidRPr="00DD6A7A" w:rsidRDefault="00B916B2" w:rsidP="00B916B2">
            <w:pPr>
              <w:rPr>
                <w:rFonts w:ascii="Times New Roman" w:eastAsia="Times New Roman" w:hAnsi="Times New Roman" w:cs="Times New Roman"/>
                <w:b/>
                <w:bCs/>
                <w:sz w:val="20"/>
                <w:szCs w:val="20"/>
                <w:lang w:eastAsia="ru-RU"/>
              </w:rPr>
            </w:pPr>
            <w:r w:rsidRPr="00DD6A7A">
              <w:rPr>
                <w:rFonts w:ascii="Times New Roman" w:eastAsia="Times New Roman" w:hAnsi="Times New Roman" w:cs="Times New Roman"/>
                <w:b/>
                <w:sz w:val="20"/>
                <w:szCs w:val="20"/>
              </w:rPr>
              <w:t>Proceduri de negociere fără publicare</w:t>
            </w:r>
          </w:p>
        </w:tc>
        <w:tc>
          <w:tcPr>
            <w:tcW w:w="487" w:type="dxa"/>
          </w:tcPr>
          <w:p w14:paraId="1A56DA4C"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1</w:t>
            </w:r>
          </w:p>
        </w:tc>
        <w:tc>
          <w:tcPr>
            <w:tcW w:w="1304" w:type="dxa"/>
          </w:tcPr>
          <w:p w14:paraId="11014D5C"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247,9</w:t>
            </w:r>
          </w:p>
        </w:tc>
        <w:tc>
          <w:tcPr>
            <w:tcW w:w="487" w:type="dxa"/>
          </w:tcPr>
          <w:p w14:paraId="7A017B4A"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1</w:t>
            </w:r>
          </w:p>
        </w:tc>
        <w:tc>
          <w:tcPr>
            <w:tcW w:w="1304" w:type="dxa"/>
          </w:tcPr>
          <w:p w14:paraId="25E3C0EB"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247,9</w:t>
            </w:r>
          </w:p>
        </w:tc>
        <w:tc>
          <w:tcPr>
            <w:tcW w:w="500" w:type="dxa"/>
          </w:tcPr>
          <w:p w14:paraId="2D6CB4BD"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1</w:t>
            </w:r>
          </w:p>
        </w:tc>
        <w:tc>
          <w:tcPr>
            <w:tcW w:w="1409" w:type="dxa"/>
          </w:tcPr>
          <w:p w14:paraId="3E5E876F"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247,9</w:t>
            </w:r>
          </w:p>
        </w:tc>
        <w:tc>
          <w:tcPr>
            <w:tcW w:w="487" w:type="dxa"/>
          </w:tcPr>
          <w:p w14:paraId="4B7E7FD2"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1</w:t>
            </w:r>
          </w:p>
        </w:tc>
        <w:tc>
          <w:tcPr>
            <w:tcW w:w="1304" w:type="dxa"/>
          </w:tcPr>
          <w:p w14:paraId="4EFA749A"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240,8</w:t>
            </w:r>
          </w:p>
        </w:tc>
        <w:tc>
          <w:tcPr>
            <w:tcW w:w="534" w:type="dxa"/>
          </w:tcPr>
          <w:p w14:paraId="79582590"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w:t>
            </w:r>
          </w:p>
        </w:tc>
        <w:tc>
          <w:tcPr>
            <w:tcW w:w="1304" w:type="dxa"/>
          </w:tcPr>
          <w:p w14:paraId="45A5FB8D"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w:t>
            </w:r>
          </w:p>
        </w:tc>
        <w:tc>
          <w:tcPr>
            <w:tcW w:w="680" w:type="dxa"/>
          </w:tcPr>
          <w:p w14:paraId="0BB01BFB" w14:textId="77777777" w:rsidR="00B916B2" w:rsidRPr="00DD6A7A" w:rsidRDefault="00B916B2" w:rsidP="002B3436">
            <w:pPr>
              <w:jc w:val="center"/>
              <w:rPr>
                <w:rFonts w:ascii="Times New Roman" w:hAnsi="Times New Roman" w:cs="Times New Roman"/>
                <w:b/>
                <w:sz w:val="20"/>
                <w:szCs w:val="20"/>
              </w:rPr>
            </w:pPr>
            <w:r w:rsidRPr="00DD6A7A">
              <w:rPr>
                <w:rFonts w:ascii="Times New Roman" w:hAnsi="Times New Roman" w:cs="Times New Roman"/>
                <w:b/>
                <w:sz w:val="20"/>
                <w:szCs w:val="20"/>
              </w:rPr>
              <w:t>4</w:t>
            </w:r>
          </w:p>
        </w:tc>
        <w:tc>
          <w:tcPr>
            <w:tcW w:w="1418" w:type="dxa"/>
            <w:shd w:val="clear" w:color="auto" w:fill="auto"/>
          </w:tcPr>
          <w:p w14:paraId="7E2E11CB" w14:textId="77777777" w:rsidR="00B916B2" w:rsidRPr="00DD6A7A" w:rsidRDefault="00B916B2" w:rsidP="002B3436">
            <w:pPr>
              <w:jc w:val="center"/>
              <w:rPr>
                <w:rFonts w:ascii="Times New Roman" w:hAnsi="Times New Roman" w:cs="Times New Roman"/>
                <w:b/>
                <w:color w:val="000000"/>
                <w:sz w:val="20"/>
                <w:szCs w:val="20"/>
              </w:rPr>
            </w:pPr>
            <w:r w:rsidRPr="00DD6A7A">
              <w:rPr>
                <w:rFonts w:ascii="Times New Roman" w:hAnsi="Times New Roman" w:cs="Times New Roman"/>
                <w:b/>
                <w:color w:val="000000"/>
                <w:sz w:val="20"/>
                <w:szCs w:val="20"/>
              </w:rPr>
              <w:t>984,7</w:t>
            </w:r>
          </w:p>
        </w:tc>
      </w:tr>
      <w:tr w:rsidR="00B916B2" w:rsidRPr="00DD6A7A" w14:paraId="5528C74A" w14:textId="77777777" w:rsidTr="002B3436">
        <w:trPr>
          <w:jc w:val="center"/>
        </w:trPr>
        <w:tc>
          <w:tcPr>
            <w:tcW w:w="1677" w:type="dxa"/>
          </w:tcPr>
          <w:p w14:paraId="309FA7DE" w14:textId="77777777" w:rsidR="00B916B2" w:rsidRPr="00DD6A7A" w:rsidRDefault="00B916B2" w:rsidP="00B916B2">
            <w:pPr>
              <w:rPr>
                <w:rFonts w:ascii="Times New Roman" w:eastAsia="Times New Roman" w:hAnsi="Times New Roman" w:cs="Times New Roman"/>
                <w:b/>
                <w:sz w:val="20"/>
                <w:szCs w:val="20"/>
              </w:rPr>
            </w:pPr>
            <w:r w:rsidRPr="00DD6A7A">
              <w:rPr>
                <w:rFonts w:ascii="Times New Roman" w:eastAsia="Times New Roman" w:hAnsi="Times New Roman" w:cs="Times New Roman"/>
                <w:b/>
                <w:bCs/>
                <w:sz w:val="20"/>
                <w:szCs w:val="20"/>
                <w:lang w:eastAsia="ru-RU"/>
              </w:rPr>
              <w:lastRenderedPageBreak/>
              <w:t>Cererea ofertelor de prețuri</w:t>
            </w:r>
          </w:p>
        </w:tc>
        <w:tc>
          <w:tcPr>
            <w:tcW w:w="487" w:type="dxa"/>
          </w:tcPr>
          <w:p w14:paraId="77F7CC42"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1</w:t>
            </w:r>
          </w:p>
        </w:tc>
        <w:tc>
          <w:tcPr>
            <w:tcW w:w="1304" w:type="dxa"/>
          </w:tcPr>
          <w:p w14:paraId="7863ED4B"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45,1</w:t>
            </w:r>
          </w:p>
        </w:tc>
        <w:tc>
          <w:tcPr>
            <w:tcW w:w="487" w:type="dxa"/>
          </w:tcPr>
          <w:p w14:paraId="2C93570D"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w:t>
            </w:r>
          </w:p>
        </w:tc>
        <w:tc>
          <w:tcPr>
            <w:tcW w:w="1304" w:type="dxa"/>
          </w:tcPr>
          <w:p w14:paraId="2B7F4A7E"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w:t>
            </w:r>
          </w:p>
        </w:tc>
        <w:tc>
          <w:tcPr>
            <w:tcW w:w="500" w:type="dxa"/>
          </w:tcPr>
          <w:p w14:paraId="4D59832A"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w:t>
            </w:r>
          </w:p>
        </w:tc>
        <w:tc>
          <w:tcPr>
            <w:tcW w:w="1409" w:type="dxa"/>
          </w:tcPr>
          <w:p w14:paraId="7E09AF5B"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w:t>
            </w:r>
          </w:p>
        </w:tc>
        <w:tc>
          <w:tcPr>
            <w:tcW w:w="487" w:type="dxa"/>
          </w:tcPr>
          <w:p w14:paraId="549932BD"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w:t>
            </w:r>
          </w:p>
        </w:tc>
        <w:tc>
          <w:tcPr>
            <w:tcW w:w="1304" w:type="dxa"/>
          </w:tcPr>
          <w:p w14:paraId="143C6018"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w:t>
            </w:r>
          </w:p>
        </w:tc>
        <w:tc>
          <w:tcPr>
            <w:tcW w:w="534" w:type="dxa"/>
          </w:tcPr>
          <w:p w14:paraId="6B3F2D9E"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w:t>
            </w:r>
          </w:p>
        </w:tc>
        <w:tc>
          <w:tcPr>
            <w:tcW w:w="1304" w:type="dxa"/>
          </w:tcPr>
          <w:p w14:paraId="71C5E960"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w:t>
            </w:r>
          </w:p>
        </w:tc>
        <w:tc>
          <w:tcPr>
            <w:tcW w:w="680" w:type="dxa"/>
          </w:tcPr>
          <w:p w14:paraId="50970621" w14:textId="77777777" w:rsidR="00B916B2" w:rsidRPr="00DD6A7A" w:rsidRDefault="00B916B2" w:rsidP="002B3436">
            <w:pPr>
              <w:jc w:val="center"/>
              <w:rPr>
                <w:rFonts w:ascii="Times New Roman" w:hAnsi="Times New Roman" w:cs="Times New Roman"/>
                <w:b/>
                <w:sz w:val="20"/>
                <w:szCs w:val="20"/>
              </w:rPr>
            </w:pPr>
            <w:r w:rsidRPr="00DD6A7A">
              <w:rPr>
                <w:rFonts w:ascii="Times New Roman" w:hAnsi="Times New Roman" w:cs="Times New Roman"/>
                <w:b/>
                <w:sz w:val="20"/>
                <w:szCs w:val="20"/>
              </w:rPr>
              <w:t>1</w:t>
            </w:r>
          </w:p>
        </w:tc>
        <w:tc>
          <w:tcPr>
            <w:tcW w:w="1418" w:type="dxa"/>
            <w:shd w:val="clear" w:color="auto" w:fill="auto"/>
          </w:tcPr>
          <w:p w14:paraId="4CD2FC60" w14:textId="77777777" w:rsidR="00B916B2" w:rsidRPr="00DD6A7A" w:rsidRDefault="00B916B2" w:rsidP="002B3436">
            <w:pPr>
              <w:jc w:val="center"/>
              <w:rPr>
                <w:rFonts w:ascii="Times New Roman" w:hAnsi="Times New Roman" w:cs="Times New Roman"/>
                <w:b/>
                <w:color w:val="000000"/>
                <w:sz w:val="20"/>
                <w:szCs w:val="20"/>
              </w:rPr>
            </w:pPr>
            <w:r w:rsidRPr="00DD6A7A">
              <w:rPr>
                <w:rFonts w:ascii="Times New Roman" w:hAnsi="Times New Roman" w:cs="Times New Roman"/>
                <w:b/>
                <w:color w:val="000000"/>
                <w:sz w:val="20"/>
                <w:szCs w:val="20"/>
              </w:rPr>
              <w:t>45,1</w:t>
            </w:r>
          </w:p>
        </w:tc>
      </w:tr>
      <w:tr w:rsidR="00B916B2" w:rsidRPr="00DD6A7A" w14:paraId="6C24E347" w14:textId="77777777" w:rsidTr="002B3436">
        <w:trPr>
          <w:jc w:val="center"/>
        </w:trPr>
        <w:tc>
          <w:tcPr>
            <w:tcW w:w="1677" w:type="dxa"/>
          </w:tcPr>
          <w:p w14:paraId="1872489D" w14:textId="77777777" w:rsidR="00B916B2" w:rsidRPr="00DD6A7A" w:rsidRDefault="00B916B2" w:rsidP="002B3436">
            <w:pPr>
              <w:rPr>
                <w:rFonts w:ascii="Times New Roman" w:eastAsia="Times New Roman" w:hAnsi="Times New Roman" w:cs="Times New Roman"/>
                <w:b/>
                <w:bCs/>
                <w:sz w:val="20"/>
                <w:szCs w:val="20"/>
                <w:lang w:eastAsia="ru-RU"/>
              </w:rPr>
            </w:pPr>
            <w:r w:rsidRPr="00DD6A7A">
              <w:rPr>
                <w:rFonts w:ascii="Times New Roman" w:eastAsia="Times New Roman" w:hAnsi="Times New Roman" w:cs="Times New Roman"/>
                <w:b/>
                <w:bCs/>
                <w:sz w:val="20"/>
                <w:szCs w:val="20"/>
                <w:lang w:eastAsia="ru-RU"/>
              </w:rPr>
              <w:t>Acord</w:t>
            </w:r>
            <w:r w:rsidR="002B3436" w:rsidRPr="00DD6A7A">
              <w:rPr>
                <w:rFonts w:ascii="Times New Roman" w:eastAsia="Times New Roman" w:hAnsi="Times New Roman" w:cs="Times New Roman"/>
                <w:b/>
                <w:bCs/>
                <w:sz w:val="20"/>
                <w:szCs w:val="20"/>
                <w:lang w:eastAsia="ru-RU"/>
              </w:rPr>
              <w:t>-</w:t>
            </w:r>
            <w:r w:rsidRPr="00DD6A7A">
              <w:rPr>
                <w:rFonts w:ascii="Times New Roman" w:eastAsia="Times New Roman" w:hAnsi="Times New Roman" w:cs="Times New Roman"/>
                <w:b/>
                <w:bCs/>
                <w:sz w:val="20"/>
                <w:szCs w:val="20"/>
                <w:lang w:eastAsia="ru-RU"/>
              </w:rPr>
              <w:t>cadru</w:t>
            </w:r>
          </w:p>
        </w:tc>
        <w:tc>
          <w:tcPr>
            <w:tcW w:w="487" w:type="dxa"/>
          </w:tcPr>
          <w:p w14:paraId="735863A2"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1</w:t>
            </w:r>
          </w:p>
        </w:tc>
        <w:tc>
          <w:tcPr>
            <w:tcW w:w="1304" w:type="dxa"/>
          </w:tcPr>
          <w:p w14:paraId="20F32B53"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96,8</w:t>
            </w:r>
          </w:p>
        </w:tc>
        <w:tc>
          <w:tcPr>
            <w:tcW w:w="487" w:type="dxa"/>
          </w:tcPr>
          <w:p w14:paraId="2BD1D12A"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w:t>
            </w:r>
          </w:p>
        </w:tc>
        <w:tc>
          <w:tcPr>
            <w:tcW w:w="1304" w:type="dxa"/>
          </w:tcPr>
          <w:p w14:paraId="2B521313"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w:t>
            </w:r>
          </w:p>
        </w:tc>
        <w:tc>
          <w:tcPr>
            <w:tcW w:w="500" w:type="dxa"/>
          </w:tcPr>
          <w:p w14:paraId="06B27914"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w:t>
            </w:r>
          </w:p>
        </w:tc>
        <w:tc>
          <w:tcPr>
            <w:tcW w:w="1409" w:type="dxa"/>
          </w:tcPr>
          <w:p w14:paraId="07DB9816"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w:t>
            </w:r>
          </w:p>
        </w:tc>
        <w:tc>
          <w:tcPr>
            <w:tcW w:w="487" w:type="dxa"/>
          </w:tcPr>
          <w:p w14:paraId="0E6630BA"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w:t>
            </w:r>
          </w:p>
        </w:tc>
        <w:tc>
          <w:tcPr>
            <w:tcW w:w="1304" w:type="dxa"/>
          </w:tcPr>
          <w:p w14:paraId="016813E9"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w:t>
            </w:r>
          </w:p>
        </w:tc>
        <w:tc>
          <w:tcPr>
            <w:tcW w:w="534" w:type="dxa"/>
          </w:tcPr>
          <w:p w14:paraId="10D077F0"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w:t>
            </w:r>
          </w:p>
        </w:tc>
        <w:tc>
          <w:tcPr>
            <w:tcW w:w="1304" w:type="dxa"/>
          </w:tcPr>
          <w:p w14:paraId="2895DEB3" w14:textId="77777777" w:rsidR="00B916B2" w:rsidRPr="00DD6A7A" w:rsidRDefault="00B916B2" w:rsidP="002B3436">
            <w:pPr>
              <w:jc w:val="center"/>
              <w:rPr>
                <w:rFonts w:ascii="Times New Roman" w:hAnsi="Times New Roman" w:cs="Times New Roman"/>
                <w:sz w:val="20"/>
                <w:szCs w:val="20"/>
              </w:rPr>
            </w:pPr>
            <w:r w:rsidRPr="00DD6A7A">
              <w:rPr>
                <w:rFonts w:ascii="Times New Roman" w:hAnsi="Times New Roman" w:cs="Times New Roman"/>
                <w:sz w:val="20"/>
                <w:szCs w:val="20"/>
              </w:rPr>
              <w:t>-</w:t>
            </w:r>
          </w:p>
        </w:tc>
        <w:tc>
          <w:tcPr>
            <w:tcW w:w="680" w:type="dxa"/>
          </w:tcPr>
          <w:p w14:paraId="188D33F6" w14:textId="77777777" w:rsidR="00B916B2" w:rsidRPr="00DD6A7A" w:rsidRDefault="00B916B2" w:rsidP="002B3436">
            <w:pPr>
              <w:jc w:val="center"/>
              <w:rPr>
                <w:rFonts w:ascii="Times New Roman" w:hAnsi="Times New Roman" w:cs="Times New Roman"/>
                <w:b/>
                <w:sz w:val="20"/>
                <w:szCs w:val="20"/>
              </w:rPr>
            </w:pPr>
            <w:r w:rsidRPr="00DD6A7A">
              <w:rPr>
                <w:rFonts w:ascii="Times New Roman" w:hAnsi="Times New Roman" w:cs="Times New Roman"/>
                <w:b/>
                <w:sz w:val="20"/>
                <w:szCs w:val="20"/>
              </w:rPr>
              <w:t>1</w:t>
            </w:r>
          </w:p>
        </w:tc>
        <w:tc>
          <w:tcPr>
            <w:tcW w:w="1418" w:type="dxa"/>
            <w:shd w:val="clear" w:color="auto" w:fill="auto"/>
          </w:tcPr>
          <w:p w14:paraId="7C0F25AA" w14:textId="77777777" w:rsidR="00B916B2" w:rsidRPr="00DD6A7A" w:rsidRDefault="00B916B2" w:rsidP="002B3436">
            <w:pPr>
              <w:jc w:val="center"/>
              <w:rPr>
                <w:rFonts w:ascii="Times New Roman" w:hAnsi="Times New Roman" w:cs="Times New Roman"/>
                <w:b/>
                <w:color w:val="000000"/>
                <w:sz w:val="20"/>
                <w:szCs w:val="20"/>
              </w:rPr>
            </w:pPr>
            <w:r w:rsidRPr="00DD6A7A">
              <w:rPr>
                <w:rFonts w:ascii="Times New Roman" w:hAnsi="Times New Roman" w:cs="Times New Roman"/>
                <w:b/>
                <w:color w:val="000000"/>
                <w:sz w:val="20"/>
                <w:szCs w:val="20"/>
              </w:rPr>
              <w:t>96,8</w:t>
            </w:r>
          </w:p>
        </w:tc>
      </w:tr>
      <w:tr w:rsidR="00B916B2" w:rsidRPr="00DD6A7A" w14:paraId="1CDBBCF6" w14:textId="77777777" w:rsidTr="002B3436">
        <w:trPr>
          <w:trHeight w:val="58"/>
          <w:jc w:val="center"/>
        </w:trPr>
        <w:tc>
          <w:tcPr>
            <w:tcW w:w="1677" w:type="dxa"/>
          </w:tcPr>
          <w:p w14:paraId="5E300E68" w14:textId="77777777" w:rsidR="00B916B2" w:rsidRPr="00DD6A7A" w:rsidRDefault="00623F60" w:rsidP="00B916B2">
            <w:pPr>
              <w:rPr>
                <w:rFonts w:ascii="Times New Roman" w:eastAsia="Times New Roman" w:hAnsi="Times New Roman" w:cs="Times New Roman"/>
                <w:b/>
                <w:bCs/>
                <w:sz w:val="20"/>
                <w:szCs w:val="20"/>
                <w:lang w:eastAsia="ru-RU"/>
              </w:rPr>
            </w:pPr>
            <w:r w:rsidRPr="00DD6A7A">
              <w:rPr>
                <w:rFonts w:ascii="Times New Roman" w:eastAsia="Times New Roman" w:hAnsi="Times New Roman" w:cs="Times New Roman"/>
                <w:b/>
                <w:bCs/>
                <w:sz w:val="20"/>
                <w:szCs w:val="20"/>
                <w:lang w:eastAsia="ru-RU"/>
              </w:rPr>
              <w:t>Total:</w:t>
            </w:r>
          </w:p>
        </w:tc>
        <w:tc>
          <w:tcPr>
            <w:tcW w:w="487" w:type="dxa"/>
          </w:tcPr>
          <w:p w14:paraId="74A5901B" w14:textId="77777777" w:rsidR="00B916B2" w:rsidRPr="00DD6A7A" w:rsidRDefault="00B916B2" w:rsidP="002B3436">
            <w:pPr>
              <w:jc w:val="center"/>
              <w:rPr>
                <w:rFonts w:ascii="Times New Roman" w:hAnsi="Times New Roman" w:cs="Times New Roman"/>
                <w:b/>
                <w:sz w:val="20"/>
                <w:szCs w:val="20"/>
              </w:rPr>
            </w:pPr>
            <w:r w:rsidRPr="00DD6A7A">
              <w:rPr>
                <w:rFonts w:ascii="Times New Roman" w:hAnsi="Times New Roman" w:cs="Times New Roman"/>
                <w:b/>
                <w:sz w:val="20"/>
                <w:szCs w:val="20"/>
              </w:rPr>
              <w:t>46</w:t>
            </w:r>
          </w:p>
        </w:tc>
        <w:tc>
          <w:tcPr>
            <w:tcW w:w="1304" w:type="dxa"/>
          </w:tcPr>
          <w:p w14:paraId="0E966455" w14:textId="77777777" w:rsidR="00B916B2" w:rsidRPr="00DD6A7A" w:rsidRDefault="00B916B2" w:rsidP="002B3436">
            <w:pPr>
              <w:jc w:val="center"/>
              <w:rPr>
                <w:rFonts w:ascii="Times New Roman" w:hAnsi="Times New Roman" w:cs="Times New Roman"/>
                <w:b/>
                <w:sz w:val="20"/>
                <w:szCs w:val="20"/>
              </w:rPr>
            </w:pPr>
            <w:r w:rsidRPr="00DD6A7A">
              <w:rPr>
                <w:rFonts w:ascii="Times New Roman" w:hAnsi="Times New Roman" w:cs="Times New Roman"/>
                <w:b/>
                <w:sz w:val="20"/>
                <w:szCs w:val="20"/>
              </w:rPr>
              <w:t>1180,5</w:t>
            </w:r>
          </w:p>
        </w:tc>
        <w:tc>
          <w:tcPr>
            <w:tcW w:w="487" w:type="dxa"/>
          </w:tcPr>
          <w:p w14:paraId="3A93C28F" w14:textId="77777777" w:rsidR="00B916B2" w:rsidRPr="00DD6A7A" w:rsidRDefault="00B916B2" w:rsidP="002B3436">
            <w:pPr>
              <w:jc w:val="center"/>
              <w:rPr>
                <w:rFonts w:ascii="Times New Roman" w:hAnsi="Times New Roman" w:cs="Times New Roman"/>
                <w:b/>
                <w:sz w:val="20"/>
                <w:szCs w:val="20"/>
              </w:rPr>
            </w:pPr>
            <w:r w:rsidRPr="00DD6A7A">
              <w:rPr>
                <w:rFonts w:ascii="Times New Roman" w:hAnsi="Times New Roman" w:cs="Times New Roman"/>
                <w:b/>
                <w:sz w:val="20"/>
                <w:szCs w:val="20"/>
              </w:rPr>
              <w:t>32</w:t>
            </w:r>
          </w:p>
        </w:tc>
        <w:tc>
          <w:tcPr>
            <w:tcW w:w="1304" w:type="dxa"/>
          </w:tcPr>
          <w:p w14:paraId="519BABD5" w14:textId="77777777" w:rsidR="00B916B2" w:rsidRPr="00DD6A7A" w:rsidRDefault="00B916B2" w:rsidP="002B3436">
            <w:pPr>
              <w:jc w:val="center"/>
              <w:rPr>
                <w:rFonts w:ascii="Times New Roman" w:hAnsi="Times New Roman" w:cs="Times New Roman"/>
                <w:b/>
                <w:sz w:val="20"/>
                <w:szCs w:val="20"/>
              </w:rPr>
            </w:pPr>
            <w:r w:rsidRPr="00DD6A7A">
              <w:rPr>
                <w:rFonts w:ascii="Times New Roman" w:hAnsi="Times New Roman" w:cs="Times New Roman"/>
                <w:b/>
                <w:sz w:val="20"/>
                <w:szCs w:val="20"/>
              </w:rPr>
              <w:t>1215,3</w:t>
            </w:r>
          </w:p>
        </w:tc>
        <w:tc>
          <w:tcPr>
            <w:tcW w:w="500" w:type="dxa"/>
          </w:tcPr>
          <w:p w14:paraId="5C1BF9F2" w14:textId="77777777" w:rsidR="00B916B2" w:rsidRPr="00DD6A7A" w:rsidRDefault="00B916B2" w:rsidP="002B3436">
            <w:pPr>
              <w:jc w:val="center"/>
              <w:rPr>
                <w:rFonts w:ascii="Times New Roman" w:hAnsi="Times New Roman" w:cs="Times New Roman"/>
                <w:b/>
                <w:sz w:val="20"/>
                <w:szCs w:val="20"/>
              </w:rPr>
            </w:pPr>
            <w:r w:rsidRPr="00DD6A7A">
              <w:rPr>
                <w:rFonts w:ascii="Times New Roman" w:hAnsi="Times New Roman" w:cs="Times New Roman"/>
                <w:b/>
                <w:sz w:val="20"/>
                <w:szCs w:val="20"/>
              </w:rPr>
              <w:t>36</w:t>
            </w:r>
          </w:p>
        </w:tc>
        <w:tc>
          <w:tcPr>
            <w:tcW w:w="1409" w:type="dxa"/>
          </w:tcPr>
          <w:p w14:paraId="3850A483" w14:textId="77777777" w:rsidR="00B916B2" w:rsidRPr="00DD6A7A" w:rsidRDefault="00B916B2" w:rsidP="002B3436">
            <w:pPr>
              <w:jc w:val="center"/>
              <w:rPr>
                <w:rFonts w:ascii="Times New Roman" w:hAnsi="Times New Roman" w:cs="Times New Roman"/>
                <w:b/>
                <w:sz w:val="20"/>
                <w:szCs w:val="20"/>
              </w:rPr>
            </w:pPr>
            <w:r w:rsidRPr="00DD6A7A">
              <w:rPr>
                <w:rFonts w:ascii="Times New Roman" w:hAnsi="Times New Roman" w:cs="Times New Roman"/>
                <w:b/>
                <w:sz w:val="20"/>
                <w:szCs w:val="20"/>
              </w:rPr>
              <w:t>1382,7</w:t>
            </w:r>
          </w:p>
        </w:tc>
        <w:tc>
          <w:tcPr>
            <w:tcW w:w="487" w:type="dxa"/>
          </w:tcPr>
          <w:p w14:paraId="08C40923" w14:textId="77777777" w:rsidR="00B916B2" w:rsidRPr="00DD6A7A" w:rsidRDefault="00B916B2" w:rsidP="002B3436">
            <w:pPr>
              <w:jc w:val="center"/>
              <w:rPr>
                <w:rFonts w:ascii="Times New Roman" w:hAnsi="Times New Roman" w:cs="Times New Roman"/>
                <w:b/>
                <w:sz w:val="20"/>
                <w:szCs w:val="20"/>
              </w:rPr>
            </w:pPr>
            <w:r w:rsidRPr="00DD6A7A">
              <w:rPr>
                <w:rFonts w:ascii="Times New Roman" w:hAnsi="Times New Roman" w:cs="Times New Roman"/>
                <w:b/>
                <w:sz w:val="20"/>
                <w:szCs w:val="20"/>
              </w:rPr>
              <w:t>39</w:t>
            </w:r>
          </w:p>
        </w:tc>
        <w:tc>
          <w:tcPr>
            <w:tcW w:w="1304" w:type="dxa"/>
          </w:tcPr>
          <w:p w14:paraId="639F4B7F" w14:textId="77777777" w:rsidR="00B916B2" w:rsidRPr="00DD6A7A" w:rsidRDefault="00B916B2" w:rsidP="002B3436">
            <w:pPr>
              <w:jc w:val="center"/>
              <w:rPr>
                <w:rFonts w:ascii="Times New Roman" w:hAnsi="Times New Roman" w:cs="Times New Roman"/>
                <w:b/>
                <w:sz w:val="20"/>
                <w:szCs w:val="20"/>
              </w:rPr>
            </w:pPr>
            <w:r w:rsidRPr="00DD6A7A">
              <w:rPr>
                <w:rFonts w:ascii="Times New Roman" w:hAnsi="Times New Roman" w:cs="Times New Roman"/>
                <w:b/>
                <w:sz w:val="20"/>
                <w:szCs w:val="20"/>
              </w:rPr>
              <w:t>1377,9</w:t>
            </w:r>
          </w:p>
        </w:tc>
        <w:tc>
          <w:tcPr>
            <w:tcW w:w="534" w:type="dxa"/>
          </w:tcPr>
          <w:p w14:paraId="7120216C" w14:textId="77777777" w:rsidR="00B916B2" w:rsidRPr="00DD6A7A" w:rsidRDefault="00B916B2" w:rsidP="002B3436">
            <w:pPr>
              <w:jc w:val="center"/>
              <w:rPr>
                <w:rFonts w:ascii="Times New Roman" w:hAnsi="Times New Roman" w:cs="Times New Roman"/>
                <w:b/>
                <w:sz w:val="20"/>
                <w:szCs w:val="20"/>
              </w:rPr>
            </w:pPr>
            <w:r w:rsidRPr="00DD6A7A">
              <w:rPr>
                <w:rFonts w:ascii="Times New Roman" w:hAnsi="Times New Roman" w:cs="Times New Roman"/>
                <w:b/>
                <w:sz w:val="20"/>
                <w:szCs w:val="20"/>
              </w:rPr>
              <w:t>47</w:t>
            </w:r>
          </w:p>
        </w:tc>
        <w:tc>
          <w:tcPr>
            <w:tcW w:w="1304" w:type="dxa"/>
          </w:tcPr>
          <w:p w14:paraId="78AF27B7" w14:textId="77777777" w:rsidR="00B916B2" w:rsidRPr="00DD6A7A" w:rsidRDefault="00B916B2" w:rsidP="002B3436">
            <w:pPr>
              <w:jc w:val="center"/>
              <w:rPr>
                <w:rFonts w:ascii="Times New Roman" w:hAnsi="Times New Roman" w:cs="Times New Roman"/>
                <w:b/>
                <w:sz w:val="20"/>
                <w:szCs w:val="20"/>
              </w:rPr>
            </w:pPr>
            <w:r w:rsidRPr="00DD6A7A">
              <w:rPr>
                <w:rFonts w:ascii="Times New Roman" w:hAnsi="Times New Roman" w:cs="Times New Roman"/>
                <w:b/>
                <w:sz w:val="20"/>
                <w:szCs w:val="20"/>
              </w:rPr>
              <w:t>1355,6</w:t>
            </w:r>
          </w:p>
        </w:tc>
        <w:tc>
          <w:tcPr>
            <w:tcW w:w="680" w:type="dxa"/>
          </w:tcPr>
          <w:p w14:paraId="72937E81" w14:textId="77777777" w:rsidR="00B916B2" w:rsidRPr="00DD6A7A" w:rsidRDefault="00B916B2" w:rsidP="002B3436">
            <w:pPr>
              <w:jc w:val="center"/>
              <w:rPr>
                <w:rFonts w:ascii="Times New Roman" w:hAnsi="Times New Roman" w:cs="Times New Roman"/>
                <w:b/>
                <w:sz w:val="20"/>
                <w:szCs w:val="20"/>
              </w:rPr>
            </w:pPr>
            <w:r w:rsidRPr="00DD6A7A">
              <w:rPr>
                <w:rFonts w:ascii="Times New Roman" w:hAnsi="Times New Roman" w:cs="Times New Roman"/>
                <w:b/>
                <w:sz w:val="20"/>
                <w:szCs w:val="20"/>
              </w:rPr>
              <w:t>200</w:t>
            </w:r>
          </w:p>
        </w:tc>
        <w:tc>
          <w:tcPr>
            <w:tcW w:w="1418" w:type="dxa"/>
            <w:shd w:val="clear" w:color="auto" w:fill="auto"/>
          </w:tcPr>
          <w:p w14:paraId="1F6911C7" w14:textId="77777777" w:rsidR="00B916B2" w:rsidRPr="00DD6A7A" w:rsidRDefault="00B916B2" w:rsidP="002B3436">
            <w:pPr>
              <w:jc w:val="center"/>
              <w:rPr>
                <w:rFonts w:ascii="Times New Roman" w:hAnsi="Times New Roman" w:cs="Times New Roman"/>
                <w:b/>
                <w:color w:val="000000"/>
                <w:sz w:val="20"/>
                <w:szCs w:val="20"/>
              </w:rPr>
            </w:pPr>
            <w:r w:rsidRPr="00DD6A7A">
              <w:rPr>
                <w:rFonts w:ascii="Times New Roman" w:hAnsi="Times New Roman" w:cs="Times New Roman"/>
                <w:b/>
                <w:color w:val="000000"/>
                <w:sz w:val="20"/>
                <w:szCs w:val="20"/>
              </w:rPr>
              <w:t>6512,0</w:t>
            </w:r>
          </w:p>
        </w:tc>
      </w:tr>
    </w:tbl>
    <w:p w14:paraId="34ECEFA7" w14:textId="77777777" w:rsidR="00963662" w:rsidRPr="00DD6A7A" w:rsidRDefault="002B3436" w:rsidP="008C1B8F">
      <w:pPr>
        <w:tabs>
          <w:tab w:val="left" w:pos="1080"/>
        </w:tabs>
        <w:spacing w:after="0" w:line="276" w:lineRule="auto"/>
        <w:jc w:val="both"/>
        <w:rPr>
          <w:rFonts w:ascii="Times New Roman" w:eastAsia="Times New Roman" w:hAnsi="Times New Roman" w:cs="Times New Roman"/>
          <w:i/>
          <w:color w:val="000000" w:themeColor="text1"/>
          <w:sz w:val="20"/>
          <w:szCs w:val="20"/>
        </w:rPr>
        <w:sectPr w:rsidR="00963662" w:rsidRPr="00DD6A7A" w:rsidSect="00645374">
          <w:pgSz w:w="15840" w:h="12240" w:orient="landscape"/>
          <w:pgMar w:top="851" w:right="851" w:bottom="851" w:left="1701" w:header="720" w:footer="720" w:gutter="0"/>
          <w:cols w:space="720"/>
          <w:docGrid w:linePitch="360"/>
        </w:sectPr>
      </w:pPr>
      <w:r w:rsidRPr="00DD6A7A">
        <w:rPr>
          <w:rFonts w:ascii="Times New Roman" w:hAnsi="Times New Roman" w:cs="Times New Roman"/>
          <w:b/>
          <w:i/>
          <w:sz w:val="20"/>
          <w:szCs w:val="20"/>
        </w:rPr>
        <w:t xml:space="preserve">             </w:t>
      </w:r>
      <w:r w:rsidR="00963662" w:rsidRPr="00DD6A7A">
        <w:rPr>
          <w:rFonts w:ascii="Times New Roman" w:hAnsi="Times New Roman" w:cs="Times New Roman"/>
          <w:b/>
          <w:i/>
          <w:sz w:val="20"/>
          <w:szCs w:val="20"/>
        </w:rPr>
        <w:t>Surs</w:t>
      </w:r>
      <w:r w:rsidR="00825C02" w:rsidRPr="00DD6A7A">
        <w:rPr>
          <w:rFonts w:ascii="Times New Roman" w:hAnsi="Times New Roman" w:cs="Times New Roman"/>
          <w:b/>
          <w:i/>
          <w:sz w:val="20"/>
          <w:szCs w:val="20"/>
        </w:rPr>
        <w:t>a</w:t>
      </w:r>
      <w:r w:rsidR="00963662" w:rsidRPr="00DD6A7A">
        <w:rPr>
          <w:rFonts w:ascii="Times New Roman" w:hAnsi="Times New Roman" w:cs="Times New Roman"/>
          <w:i/>
          <w:sz w:val="20"/>
          <w:szCs w:val="20"/>
        </w:rPr>
        <w:t>: Dat</w:t>
      </w:r>
      <w:r w:rsidR="00825C02" w:rsidRPr="00DD6A7A">
        <w:rPr>
          <w:rFonts w:ascii="Times New Roman" w:hAnsi="Times New Roman" w:cs="Times New Roman"/>
          <w:i/>
          <w:sz w:val="20"/>
          <w:szCs w:val="20"/>
        </w:rPr>
        <w:t>e</w:t>
      </w:r>
      <w:r w:rsidR="00963662" w:rsidRPr="00DD6A7A">
        <w:rPr>
          <w:rFonts w:ascii="Times New Roman" w:hAnsi="Times New Roman" w:cs="Times New Roman"/>
          <w:i/>
          <w:sz w:val="20"/>
          <w:szCs w:val="20"/>
        </w:rPr>
        <w:t xml:space="preserve"> generalizate de echipa de audit privind procedurile de achiziții publice de mărfuri, lucrări și servicii ale</w:t>
      </w:r>
      <w:r w:rsidR="0058627C" w:rsidRPr="00DD6A7A">
        <w:rPr>
          <w:rFonts w:ascii="Times New Roman" w:hAnsi="Times New Roman" w:cs="Times New Roman"/>
          <w:i/>
          <w:sz w:val="20"/>
          <w:szCs w:val="20"/>
        </w:rPr>
        <w:t xml:space="preserve"> </w:t>
      </w:r>
      <w:r w:rsidR="006426E3" w:rsidRPr="00DD6A7A">
        <w:rPr>
          <w:rFonts w:ascii="Times New Roman" w:hAnsi="Times New Roman" w:cs="Times New Roman"/>
          <w:i/>
          <w:sz w:val="20"/>
          <w:szCs w:val="20"/>
        </w:rPr>
        <w:t>CNPDCP</w:t>
      </w:r>
      <w:r w:rsidR="00963662" w:rsidRPr="00DD6A7A">
        <w:rPr>
          <w:rFonts w:ascii="Times New Roman" w:hAnsi="Times New Roman" w:cs="Times New Roman"/>
          <w:i/>
          <w:sz w:val="20"/>
          <w:szCs w:val="20"/>
        </w:rPr>
        <w:t xml:space="preserve"> pe parcursul anilor 2018-2022</w:t>
      </w:r>
      <w:r w:rsidR="00825C02" w:rsidRPr="00DD6A7A">
        <w:rPr>
          <w:rFonts w:ascii="Times New Roman" w:hAnsi="Times New Roman" w:cs="Times New Roman"/>
          <w:i/>
          <w:sz w:val="20"/>
          <w:szCs w:val="20"/>
        </w:rPr>
        <w:t>.</w:t>
      </w:r>
    </w:p>
    <w:p w14:paraId="00B29BAF" w14:textId="77777777" w:rsidR="00963662" w:rsidRPr="00DD6A7A" w:rsidRDefault="00963662" w:rsidP="008C1B8F">
      <w:pPr>
        <w:spacing w:after="0"/>
        <w:jc w:val="right"/>
        <w:rPr>
          <w:rFonts w:ascii="Times New Roman" w:hAnsi="Times New Roman" w:cs="Times New Roman"/>
          <w:b/>
          <w:i/>
          <w:sz w:val="24"/>
          <w:szCs w:val="24"/>
        </w:rPr>
      </w:pPr>
      <w:r w:rsidRPr="00DD6A7A">
        <w:rPr>
          <w:rFonts w:ascii="Times New Roman" w:hAnsi="Times New Roman" w:cs="Times New Roman"/>
          <w:b/>
          <w:i/>
          <w:sz w:val="24"/>
          <w:szCs w:val="24"/>
        </w:rPr>
        <w:lastRenderedPageBreak/>
        <w:t>Anexa nr.</w:t>
      </w:r>
      <w:r w:rsidR="004738C4" w:rsidRPr="00DD6A7A">
        <w:rPr>
          <w:rFonts w:ascii="Times New Roman" w:hAnsi="Times New Roman" w:cs="Times New Roman"/>
          <w:b/>
          <w:i/>
          <w:sz w:val="24"/>
          <w:szCs w:val="24"/>
        </w:rPr>
        <w:t>5</w:t>
      </w:r>
      <w:r w:rsidRPr="00DD6A7A">
        <w:rPr>
          <w:rFonts w:ascii="Times New Roman" w:hAnsi="Times New Roman" w:cs="Times New Roman"/>
          <w:b/>
          <w:i/>
          <w:sz w:val="24"/>
          <w:szCs w:val="24"/>
        </w:rPr>
        <w:t xml:space="preserve"> </w:t>
      </w:r>
    </w:p>
    <w:p w14:paraId="5F0B3D06" w14:textId="77777777" w:rsidR="00963662" w:rsidRPr="00DD6A7A" w:rsidRDefault="00963662" w:rsidP="008C1B8F">
      <w:pPr>
        <w:jc w:val="center"/>
        <w:rPr>
          <w:rFonts w:ascii="Times New Roman" w:hAnsi="Times New Roman" w:cs="Times New Roman"/>
          <w:b/>
          <w:color w:val="002060"/>
          <w:sz w:val="24"/>
          <w:szCs w:val="24"/>
        </w:rPr>
      </w:pPr>
      <w:bookmarkStart w:id="45" w:name="_Toc131660932"/>
      <w:r w:rsidRPr="00DD6A7A">
        <w:rPr>
          <w:rFonts w:ascii="Times New Roman" w:hAnsi="Times New Roman" w:cs="Times New Roman"/>
          <w:b/>
          <w:color w:val="002060"/>
          <w:sz w:val="24"/>
          <w:szCs w:val="24"/>
        </w:rPr>
        <w:t>Sfera și abordarea auditului</w:t>
      </w:r>
      <w:bookmarkEnd w:id="45"/>
    </w:p>
    <w:p w14:paraId="4D30EEB7" w14:textId="77777777" w:rsidR="00963662" w:rsidRPr="00DD6A7A" w:rsidRDefault="00963662" w:rsidP="008C1B8F">
      <w:pPr>
        <w:spacing w:after="80" w:line="276" w:lineRule="auto"/>
        <w:rPr>
          <w:rFonts w:ascii="Times New Roman" w:hAnsi="Times New Roman" w:cs="Times New Roman"/>
          <w:b/>
          <w:bCs/>
          <w:sz w:val="24"/>
          <w:szCs w:val="24"/>
        </w:rPr>
      </w:pPr>
      <w:r w:rsidRPr="00DD6A7A">
        <w:rPr>
          <w:rFonts w:ascii="Times New Roman" w:hAnsi="Times New Roman" w:cs="Times New Roman"/>
          <w:b/>
          <w:bCs/>
          <w:sz w:val="24"/>
          <w:szCs w:val="24"/>
        </w:rPr>
        <w:t>Mandatul legal și scopul auditului</w:t>
      </w:r>
    </w:p>
    <w:p w14:paraId="6942B81F" w14:textId="7C37D17A" w:rsidR="00963662" w:rsidRPr="00DD6A7A" w:rsidRDefault="00963662" w:rsidP="008C1B8F">
      <w:pPr>
        <w:spacing w:after="120" w:line="276" w:lineRule="auto"/>
        <w:jc w:val="both"/>
        <w:rPr>
          <w:rFonts w:ascii="Times New Roman" w:hAnsi="Times New Roman" w:cs="Times New Roman"/>
          <w:color w:val="000000" w:themeColor="text1"/>
          <w:sz w:val="24"/>
          <w:szCs w:val="24"/>
        </w:rPr>
      </w:pPr>
      <w:r w:rsidRPr="00DD6A7A">
        <w:rPr>
          <w:rFonts w:ascii="Times New Roman" w:hAnsi="Times New Roman" w:cs="Times New Roman"/>
          <w:color w:val="000000" w:themeColor="text1"/>
          <w:sz w:val="24"/>
          <w:szCs w:val="24"/>
        </w:rPr>
        <w:t xml:space="preserve">Misiunea de audit public extern s-a desfășurat în temeiul art.5, art.31 și art.32 din Legea privind organizarea și funcționarea Curții de Conturi a Republicii Moldova nr.260 din 07.12.2017, conform </w:t>
      </w:r>
      <w:r w:rsidR="0077171B" w:rsidRPr="004D2FF7">
        <w:rPr>
          <w:rFonts w:ascii="Times New Roman" w:eastAsia="Times New Roman" w:hAnsi="Times New Roman" w:cs="Times New Roman"/>
          <w:bCs/>
          <w:color w:val="000000" w:themeColor="text1"/>
          <w:sz w:val="24"/>
          <w:szCs w:val="24"/>
        </w:rPr>
        <w:t>Programul activității de audit pe anul 2023</w:t>
      </w:r>
      <w:r w:rsidR="0077171B" w:rsidRPr="004D2FF7">
        <w:rPr>
          <w:rFonts w:ascii="Times New Roman" w:eastAsia="Times New Roman" w:hAnsi="Times New Roman" w:cs="Times New Roman"/>
          <w:bCs/>
          <w:color w:val="000000" w:themeColor="text1"/>
          <w:sz w:val="24"/>
          <w:szCs w:val="24"/>
          <w:vertAlign w:val="superscript"/>
        </w:rPr>
        <w:footnoteReference w:id="170"/>
      </w:r>
      <w:r w:rsidR="0077171B" w:rsidRPr="004D2FF7">
        <w:rPr>
          <w:rFonts w:ascii="Times New Roman" w:eastAsia="Times New Roman" w:hAnsi="Times New Roman" w:cs="Times New Roman"/>
          <w:bCs/>
          <w:color w:val="000000" w:themeColor="text1"/>
          <w:sz w:val="24"/>
          <w:szCs w:val="24"/>
        </w:rPr>
        <w:t>,</w:t>
      </w:r>
      <w:r w:rsidRPr="00DD6A7A">
        <w:rPr>
          <w:rFonts w:ascii="Times New Roman" w:hAnsi="Times New Roman" w:cs="Times New Roman"/>
          <w:color w:val="000000" w:themeColor="text1"/>
          <w:sz w:val="24"/>
          <w:szCs w:val="24"/>
        </w:rPr>
        <w:t xml:space="preserve"> având drept scop evaluarea conformității </w:t>
      </w:r>
      <w:r w:rsidRPr="00DD6A7A">
        <w:rPr>
          <w:rFonts w:ascii="Times New Roman" w:eastAsia="Times New Roman" w:hAnsi="Times New Roman" w:cs="Times New Roman"/>
          <w:bCs/>
          <w:sz w:val="24"/>
          <w:szCs w:val="24"/>
        </w:rPr>
        <w:t xml:space="preserve">modului de formare, administrare și întrebuințare a resurselor financiare publice și </w:t>
      </w:r>
      <w:r w:rsidR="00825C02" w:rsidRPr="00DD6A7A">
        <w:rPr>
          <w:rFonts w:ascii="Times New Roman" w:eastAsia="Times New Roman" w:hAnsi="Times New Roman" w:cs="Times New Roman"/>
          <w:bCs/>
          <w:sz w:val="24"/>
          <w:szCs w:val="24"/>
        </w:rPr>
        <w:t xml:space="preserve">a </w:t>
      </w:r>
      <w:r w:rsidRPr="00DD6A7A">
        <w:rPr>
          <w:rFonts w:ascii="Times New Roman" w:eastAsia="Times New Roman" w:hAnsi="Times New Roman" w:cs="Times New Roman"/>
          <w:bCs/>
          <w:sz w:val="24"/>
          <w:szCs w:val="24"/>
        </w:rPr>
        <w:t xml:space="preserve">patrimoniului public de către </w:t>
      </w:r>
      <w:r w:rsidR="006426E3" w:rsidRPr="00DD6A7A">
        <w:rPr>
          <w:rFonts w:ascii="Times New Roman" w:eastAsia="Times New Roman" w:hAnsi="Times New Roman" w:cs="Times New Roman"/>
          <w:bCs/>
          <w:sz w:val="24"/>
          <w:szCs w:val="24"/>
        </w:rPr>
        <w:t>CNPDCP</w:t>
      </w:r>
      <w:r w:rsidRPr="00DD6A7A">
        <w:rPr>
          <w:rFonts w:ascii="Times New Roman" w:eastAsia="Times New Roman" w:hAnsi="Times New Roman" w:cs="Times New Roman"/>
          <w:bCs/>
          <w:sz w:val="24"/>
          <w:szCs w:val="24"/>
        </w:rPr>
        <w:t xml:space="preserve"> în perioada 2018-2022,</w:t>
      </w:r>
      <w:r w:rsidR="009960D0">
        <w:rPr>
          <w:rFonts w:ascii="Times New Roman" w:eastAsia="Times New Roman" w:hAnsi="Times New Roman" w:cs="Times New Roman"/>
          <w:bCs/>
          <w:sz w:val="24"/>
          <w:szCs w:val="24"/>
        </w:rPr>
        <w:t xml:space="preserve"> </w:t>
      </w:r>
      <w:r w:rsidRPr="00DD6A7A">
        <w:rPr>
          <w:rFonts w:ascii="Times New Roman" w:hAnsi="Times New Roman" w:cs="Times New Roman"/>
          <w:color w:val="000000" w:themeColor="text1"/>
          <w:sz w:val="24"/>
          <w:szCs w:val="24"/>
        </w:rPr>
        <w:t>în raport cu prevederile cadrului normativ aplicabil.</w:t>
      </w:r>
    </w:p>
    <w:p w14:paraId="3F9E6EB4" w14:textId="77777777" w:rsidR="00963662" w:rsidRPr="00DD6A7A" w:rsidRDefault="00963662" w:rsidP="008C1B8F">
      <w:pPr>
        <w:spacing w:after="0" w:line="276" w:lineRule="auto"/>
        <w:jc w:val="both"/>
        <w:rPr>
          <w:rFonts w:ascii="Times New Roman" w:hAnsi="Times New Roman" w:cs="Times New Roman"/>
          <w:color w:val="000000" w:themeColor="text1"/>
          <w:sz w:val="24"/>
          <w:szCs w:val="24"/>
        </w:rPr>
      </w:pPr>
      <w:r w:rsidRPr="00DD6A7A">
        <w:rPr>
          <w:rFonts w:ascii="Times New Roman" w:hAnsi="Times New Roman" w:cs="Times New Roman"/>
          <w:color w:val="000000" w:themeColor="text1"/>
          <w:sz w:val="24"/>
          <w:szCs w:val="24"/>
        </w:rPr>
        <w:t xml:space="preserve">În vederea realizării scopului propus și reieșind din riscurile identificate, au fost stabilite următoarele obiective specifice de audit: </w:t>
      </w:r>
    </w:p>
    <w:p w14:paraId="3C09C961" w14:textId="7AD243BB" w:rsidR="00963662" w:rsidRPr="00DD6A7A" w:rsidRDefault="00963662" w:rsidP="008C1B8F">
      <w:pPr>
        <w:spacing w:after="0" w:line="276" w:lineRule="auto"/>
        <w:jc w:val="both"/>
        <w:rPr>
          <w:rFonts w:ascii="Times New Roman" w:hAnsi="Times New Roman" w:cs="Times New Roman"/>
          <w:color w:val="000000" w:themeColor="text1"/>
          <w:sz w:val="24"/>
          <w:szCs w:val="24"/>
        </w:rPr>
      </w:pPr>
      <w:r w:rsidRPr="00DD6A7A">
        <w:rPr>
          <w:rFonts w:ascii="Times New Roman" w:hAnsi="Times New Roman" w:cs="Times New Roman"/>
          <w:color w:val="000000" w:themeColor="text1"/>
          <w:sz w:val="24"/>
          <w:szCs w:val="24"/>
        </w:rPr>
        <w:t>(i)</w:t>
      </w:r>
      <w:r w:rsidRPr="00DD6A7A">
        <w:rPr>
          <w:rFonts w:ascii="Times New Roman" w:hAnsi="Times New Roman" w:cs="Times New Roman"/>
          <w:color w:val="000000" w:themeColor="text1"/>
          <w:sz w:val="24"/>
          <w:szCs w:val="24"/>
        </w:rPr>
        <w:tab/>
      </w:r>
      <w:r w:rsidR="006426E3" w:rsidRPr="00DD6A7A">
        <w:rPr>
          <w:rFonts w:ascii="Times New Roman" w:hAnsi="Times New Roman" w:cs="Times New Roman"/>
          <w:color w:val="000000" w:themeColor="text1"/>
          <w:sz w:val="24"/>
          <w:szCs w:val="24"/>
        </w:rPr>
        <w:t>CNPDCP</w:t>
      </w:r>
      <w:r w:rsidRPr="00DD6A7A">
        <w:rPr>
          <w:rFonts w:ascii="Times New Roman" w:hAnsi="Times New Roman" w:cs="Times New Roman"/>
          <w:color w:val="000000" w:themeColor="text1"/>
          <w:sz w:val="24"/>
          <w:szCs w:val="24"/>
        </w:rPr>
        <w:t xml:space="preserve"> a asigurat elaborarea bugetului instituției în conformitate cu regulile și procedurile bugetar-fiscale prestabilite?</w:t>
      </w:r>
    </w:p>
    <w:p w14:paraId="5E7F6DD8" w14:textId="6F7D4E26" w:rsidR="00963662" w:rsidRPr="00DD6A7A" w:rsidRDefault="00963662" w:rsidP="008C1B8F">
      <w:pPr>
        <w:spacing w:after="0" w:line="276" w:lineRule="auto"/>
        <w:jc w:val="both"/>
        <w:rPr>
          <w:rFonts w:ascii="Times New Roman" w:hAnsi="Times New Roman" w:cs="Times New Roman"/>
          <w:color w:val="000000" w:themeColor="text1"/>
          <w:sz w:val="24"/>
          <w:szCs w:val="24"/>
        </w:rPr>
      </w:pPr>
      <w:r w:rsidRPr="00DD6A7A">
        <w:rPr>
          <w:rFonts w:ascii="Times New Roman" w:hAnsi="Times New Roman" w:cs="Times New Roman"/>
          <w:color w:val="000000" w:themeColor="text1"/>
          <w:sz w:val="24"/>
          <w:szCs w:val="24"/>
        </w:rPr>
        <w:t>(ii)</w:t>
      </w:r>
      <w:r w:rsidRPr="00DD6A7A">
        <w:rPr>
          <w:rFonts w:ascii="Times New Roman" w:hAnsi="Times New Roman" w:cs="Times New Roman"/>
          <w:color w:val="000000" w:themeColor="text1"/>
          <w:sz w:val="24"/>
          <w:szCs w:val="24"/>
        </w:rPr>
        <w:tab/>
      </w:r>
      <w:r w:rsidR="006426E3" w:rsidRPr="00DD6A7A">
        <w:rPr>
          <w:rFonts w:ascii="Times New Roman" w:hAnsi="Times New Roman" w:cs="Times New Roman"/>
          <w:color w:val="000000" w:themeColor="text1"/>
          <w:sz w:val="24"/>
          <w:szCs w:val="24"/>
        </w:rPr>
        <w:t>CNPDCP</w:t>
      </w:r>
      <w:r w:rsidRPr="00DD6A7A">
        <w:rPr>
          <w:rFonts w:ascii="Times New Roman" w:hAnsi="Times New Roman" w:cs="Times New Roman"/>
          <w:color w:val="000000" w:themeColor="text1"/>
          <w:sz w:val="24"/>
          <w:szCs w:val="24"/>
        </w:rPr>
        <w:t xml:space="preserve"> </w:t>
      </w:r>
      <w:r w:rsidR="00326F9A">
        <w:rPr>
          <w:rFonts w:ascii="Times New Roman" w:hAnsi="Times New Roman" w:cs="Times New Roman"/>
          <w:color w:val="000000" w:themeColor="text1"/>
          <w:sz w:val="24"/>
          <w:szCs w:val="24"/>
        </w:rPr>
        <w:t>d</w:t>
      </w:r>
      <w:r w:rsidR="00326F9A" w:rsidRPr="00DD6A7A">
        <w:rPr>
          <w:rFonts w:ascii="Times New Roman" w:hAnsi="Times New Roman" w:cs="Times New Roman"/>
          <w:color w:val="000000" w:themeColor="text1"/>
          <w:sz w:val="24"/>
          <w:szCs w:val="24"/>
        </w:rPr>
        <w:t xml:space="preserve">ispune </w:t>
      </w:r>
      <w:r w:rsidRPr="00DD6A7A">
        <w:rPr>
          <w:rFonts w:ascii="Times New Roman" w:hAnsi="Times New Roman" w:cs="Times New Roman"/>
          <w:color w:val="000000" w:themeColor="text1"/>
          <w:sz w:val="24"/>
          <w:szCs w:val="24"/>
        </w:rPr>
        <w:t xml:space="preserve">de procese operaționale funcționale care să asigure valorificarea mijloacelor bugetare alocate instituției în conformitate cu principiile de bună guvernare? </w:t>
      </w:r>
    </w:p>
    <w:p w14:paraId="59A5EEFA" w14:textId="352BF354" w:rsidR="00963662" w:rsidRPr="00DD6A7A" w:rsidRDefault="00963662" w:rsidP="008C1B8F">
      <w:pPr>
        <w:spacing w:after="0" w:line="276" w:lineRule="auto"/>
        <w:jc w:val="both"/>
        <w:rPr>
          <w:rFonts w:ascii="Times New Roman" w:hAnsi="Times New Roman" w:cs="Times New Roman"/>
          <w:color w:val="000000" w:themeColor="text1"/>
          <w:sz w:val="24"/>
          <w:szCs w:val="24"/>
        </w:rPr>
      </w:pPr>
      <w:r w:rsidRPr="00DD6A7A">
        <w:rPr>
          <w:rFonts w:ascii="Times New Roman" w:hAnsi="Times New Roman" w:cs="Times New Roman"/>
          <w:color w:val="000000" w:themeColor="text1"/>
          <w:sz w:val="24"/>
          <w:szCs w:val="24"/>
        </w:rPr>
        <w:t>(iii)</w:t>
      </w:r>
      <w:r w:rsidRPr="00DD6A7A">
        <w:rPr>
          <w:rFonts w:ascii="Times New Roman" w:hAnsi="Times New Roman" w:cs="Times New Roman"/>
          <w:color w:val="000000" w:themeColor="text1"/>
          <w:sz w:val="24"/>
          <w:szCs w:val="24"/>
        </w:rPr>
        <w:tab/>
      </w:r>
      <w:r w:rsidR="006426E3" w:rsidRPr="00DD6A7A">
        <w:rPr>
          <w:rFonts w:ascii="Times New Roman" w:hAnsi="Times New Roman" w:cs="Times New Roman"/>
          <w:color w:val="000000" w:themeColor="text1"/>
          <w:sz w:val="24"/>
          <w:szCs w:val="24"/>
        </w:rPr>
        <w:t xml:space="preserve">CNPDCP </w:t>
      </w:r>
      <w:r w:rsidRPr="00DD6A7A">
        <w:rPr>
          <w:rFonts w:ascii="Times New Roman" w:hAnsi="Times New Roman" w:cs="Times New Roman"/>
          <w:color w:val="000000" w:themeColor="text1"/>
          <w:sz w:val="24"/>
          <w:szCs w:val="24"/>
        </w:rPr>
        <w:t>a asigurat un management prudent și conformat rigorilor privind gestionarea patrimoniului entității?</w:t>
      </w:r>
    </w:p>
    <w:p w14:paraId="4DCDE228" w14:textId="36E7067E" w:rsidR="00963662" w:rsidRPr="00DD6A7A" w:rsidRDefault="00963662" w:rsidP="008C1B8F">
      <w:pPr>
        <w:spacing w:after="120" w:line="276" w:lineRule="auto"/>
        <w:jc w:val="both"/>
        <w:rPr>
          <w:rFonts w:ascii="Times New Roman" w:hAnsi="Times New Roman" w:cs="Times New Roman"/>
          <w:color w:val="000000" w:themeColor="text1"/>
          <w:sz w:val="24"/>
          <w:szCs w:val="24"/>
        </w:rPr>
      </w:pPr>
      <w:r w:rsidRPr="00DD6A7A">
        <w:rPr>
          <w:rFonts w:ascii="Times New Roman" w:hAnsi="Times New Roman" w:cs="Times New Roman"/>
          <w:color w:val="000000" w:themeColor="text1"/>
          <w:sz w:val="24"/>
          <w:szCs w:val="24"/>
        </w:rPr>
        <w:t>(iv)</w:t>
      </w:r>
      <w:r w:rsidRPr="00DD6A7A">
        <w:rPr>
          <w:rFonts w:ascii="Times New Roman" w:hAnsi="Times New Roman" w:cs="Times New Roman"/>
          <w:color w:val="000000" w:themeColor="text1"/>
          <w:sz w:val="24"/>
          <w:szCs w:val="24"/>
        </w:rPr>
        <w:tab/>
      </w:r>
      <w:r w:rsidR="006426E3" w:rsidRPr="00DD6A7A">
        <w:rPr>
          <w:rFonts w:ascii="Times New Roman" w:hAnsi="Times New Roman" w:cs="Times New Roman"/>
          <w:color w:val="000000" w:themeColor="text1"/>
          <w:sz w:val="24"/>
          <w:szCs w:val="24"/>
        </w:rPr>
        <w:t>CNPDCP</w:t>
      </w:r>
      <w:r w:rsidR="00825C02" w:rsidRPr="00DD6A7A">
        <w:rPr>
          <w:rFonts w:ascii="Times New Roman" w:hAnsi="Times New Roman" w:cs="Times New Roman"/>
          <w:color w:val="000000" w:themeColor="text1"/>
          <w:sz w:val="24"/>
          <w:szCs w:val="24"/>
        </w:rPr>
        <w:t>,</w:t>
      </w:r>
      <w:r w:rsidRPr="00DD6A7A">
        <w:rPr>
          <w:rFonts w:ascii="Times New Roman" w:hAnsi="Times New Roman" w:cs="Times New Roman"/>
          <w:color w:val="000000" w:themeColor="text1"/>
          <w:sz w:val="24"/>
          <w:szCs w:val="24"/>
        </w:rPr>
        <w:t xml:space="preserve"> în calitate de autoritate publică, a implementat un sistem de control intern managerial funcțional?</w:t>
      </w:r>
    </w:p>
    <w:p w14:paraId="6E6A039A" w14:textId="77777777" w:rsidR="00963662" w:rsidRPr="00DD6A7A" w:rsidRDefault="00963662" w:rsidP="008C1B8F">
      <w:pPr>
        <w:spacing w:after="80" w:line="276" w:lineRule="auto"/>
        <w:rPr>
          <w:rFonts w:ascii="Times New Roman" w:hAnsi="Times New Roman" w:cs="Times New Roman"/>
          <w:b/>
          <w:bCs/>
          <w:sz w:val="24"/>
          <w:szCs w:val="24"/>
        </w:rPr>
      </w:pPr>
      <w:r w:rsidRPr="00DD6A7A">
        <w:rPr>
          <w:rFonts w:ascii="Times New Roman" w:hAnsi="Times New Roman" w:cs="Times New Roman"/>
          <w:b/>
          <w:bCs/>
          <w:sz w:val="24"/>
          <w:szCs w:val="24"/>
        </w:rPr>
        <w:t>Abordarea auditului</w:t>
      </w:r>
    </w:p>
    <w:p w14:paraId="74191A70" w14:textId="57F0E5B7" w:rsidR="00963662" w:rsidRPr="00DD6A7A" w:rsidRDefault="00963662" w:rsidP="008C1B8F">
      <w:pPr>
        <w:spacing w:line="276" w:lineRule="auto"/>
        <w:jc w:val="both"/>
        <w:rPr>
          <w:rFonts w:ascii="Times New Roman" w:eastAsia="Times New Roman" w:hAnsi="Times New Roman" w:cs="Times New Roman"/>
          <w:noProof/>
          <w:color w:val="000000" w:themeColor="text1"/>
          <w:sz w:val="24"/>
          <w:szCs w:val="24"/>
        </w:rPr>
      </w:pPr>
      <w:r w:rsidRPr="00DD6A7A">
        <w:rPr>
          <w:rFonts w:ascii="Times New Roman" w:eastAsia="Times New Roman" w:hAnsi="Times New Roman" w:cs="Times New Roman"/>
          <w:noProof/>
          <w:color w:val="000000" w:themeColor="text1"/>
          <w:sz w:val="24"/>
          <w:szCs w:val="24"/>
        </w:rPr>
        <w:t xml:space="preserve">Misiunea de audit public extern s-a desfășurat la </w:t>
      </w:r>
      <w:r w:rsidR="006426E3" w:rsidRPr="00DD6A7A">
        <w:rPr>
          <w:rFonts w:ascii="Times New Roman" w:eastAsia="Times New Roman" w:hAnsi="Times New Roman" w:cs="Times New Roman"/>
          <w:noProof/>
          <w:color w:val="000000" w:themeColor="text1"/>
          <w:sz w:val="24"/>
          <w:szCs w:val="24"/>
        </w:rPr>
        <w:t>CNPDCP</w:t>
      </w:r>
      <w:r w:rsidRPr="00DD6A7A">
        <w:rPr>
          <w:rFonts w:ascii="Times New Roman" w:eastAsia="Times New Roman" w:hAnsi="Times New Roman" w:cs="Times New Roman"/>
          <w:noProof/>
          <w:color w:val="000000" w:themeColor="text1"/>
          <w:sz w:val="24"/>
          <w:szCs w:val="24"/>
        </w:rPr>
        <w:t>, în conformitate cu Standardele Internaționale ale Instituțiilor Supreme de Audit (ISSAI 100, ISSAI 400 și ISSAI 4000)</w:t>
      </w:r>
      <w:r w:rsidRPr="00DD6A7A">
        <w:rPr>
          <w:rFonts w:ascii="Times New Roman" w:eastAsia="Times New Roman" w:hAnsi="Times New Roman" w:cs="Times New Roman"/>
          <w:noProof/>
          <w:color w:val="000000" w:themeColor="text1"/>
          <w:sz w:val="24"/>
          <w:szCs w:val="24"/>
          <w:vertAlign w:val="superscript"/>
        </w:rPr>
        <w:footnoteReference w:id="171"/>
      </w:r>
      <w:r w:rsidRPr="00DD6A7A">
        <w:rPr>
          <w:rFonts w:ascii="Times New Roman" w:eastAsia="Times New Roman" w:hAnsi="Times New Roman" w:cs="Times New Roman"/>
          <w:noProof/>
          <w:color w:val="000000" w:themeColor="text1"/>
          <w:sz w:val="24"/>
          <w:szCs w:val="24"/>
        </w:rPr>
        <w:t xml:space="preserve"> și </w:t>
      </w:r>
      <w:r w:rsidR="00825C02" w:rsidRPr="00DD6A7A">
        <w:rPr>
          <w:rFonts w:ascii="Times New Roman" w:eastAsia="Times New Roman" w:hAnsi="Times New Roman" w:cs="Times New Roman"/>
          <w:noProof/>
          <w:color w:val="000000" w:themeColor="text1"/>
          <w:sz w:val="24"/>
          <w:szCs w:val="24"/>
        </w:rPr>
        <w:t xml:space="preserve">cu </w:t>
      </w:r>
      <w:r w:rsidRPr="00DD6A7A">
        <w:rPr>
          <w:rFonts w:ascii="Times New Roman" w:eastAsia="Times New Roman" w:hAnsi="Times New Roman" w:cs="Times New Roman"/>
          <w:noProof/>
          <w:color w:val="000000" w:themeColor="text1"/>
          <w:sz w:val="24"/>
          <w:szCs w:val="24"/>
        </w:rPr>
        <w:t>cadrul normativ</w:t>
      </w:r>
      <w:r w:rsidR="00825C02" w:rsidRPr="00DD6A7A">
        <w:rPr>
          <w:rFonts w:ascii="Times New Roman" w:eastAsia="Times New Roman" w:hAnsi="Times New Roman" w:cs="Times New Roman"/>
          <w:noProof/>
          <w:color w:val="000000" w:themeColor="text1"/>
          <w:sz w:val="24"/>
          <w:szCs w:val="24"/>
        </w:rPr>
        <w:t>-</w:t>
      </w:r>
      <w:r w:rsidRPr="00DD6A7A">
        <w:rPr>
          <w:rFonts w:ascii="Times New Roman" w:eastAsia="Times New Roman" w:hAnsi="Times New Roman" w:cs="Times New Roman"/>
          <w:noProof/>
          <w:color w:val="000000" w:themeColor="text1"/>
          <w:sz w:val="24"/>
          <w:szCs w:val="24"/>
        </w:rPr>
        <w:t>metodologic instituțional aferent, aplicate de Curtea de Conturi.</w:t>
      </w:r>
    </w:p>
    <w:p w14:paraId="02181F52" w14:textId="354A5FD4" w:rsidR="00963662" w:rsidRPr="00DD6A7A" w:rsidRDefault="00963662" w:rsidP="008C1B8F">
      <w:pPr>
        <w:spacing w:line="276" w:lineRule="auto"/>
        <w:jc w:val="both"/>
        <w:rPr>
          <w:rFonts w:ascii="Times New Roman" w:eastAsia="Times New Roman" w:hAnsi="Times New Roman" w:cs="Times New Roman"/>
          <w:noProof/>
          <w:color w:val="000000" w:themeColor="text1"/>
          <w:sz w:val="24"/>
          <w:szCs w:val="24"/>
        </w:rPr>
      </w:pPr>
      <w:r w:rsidRPr="00DD6A7A">
        <w:rPr>
          <w:rFonts w:ascii="Times New Roman" w:hAnsi="Times New Roman" w:cs="Times New Roman"/>
          <w:b/>
          <w:bCs/>
          <w:sz w:val="24"/>
          <w:szCs w:val="24"/>
        </w:rPr>
        <w:t>Abordarea auditului public extern</w:t>
      </w:r>
      <w:r w:rsidRPr="00DD6A7A">
        <w:rPr>
          <w:rFonts w:ascii="Times New Roman" w:eastAsia="Times New Roman" w:hAnsi="Times New Roman" w:cs="Times New Roman"/>
          <w:noProof/>
          <w:color w:val="000000" w:themeColor="text1"/>
          <w:sz w:val="24"/>
          <w:szCs w:val="24"/>
        </w:rPr>
        <w:t xml:space="preserve"> s-a bazat pe riscuri, c</w:t>
      </w:r>
      <w:r w:rsidR="00825C02" w:rsidRPr="00DD6A7A">
        <w:rPr>
          <w:rFonts w:ascii="Times New Roman" w:eastAsia="Times New Roman" w:hAnsi="Times New Roman" w:cs="Times New Roman"/>
          <w:noProof/>
          <w:color w:val="000000" w:themeColor="text1"/>
          <w:sz w:val="24"/>
          <w:szCs w:val="24"/>
        </w:rPr>
        <w:t>ar</w:t>
      </w:r>
      <w:r w:rsidRPr="00DD6A7A">
        <w:rPr>
          <w:rFonts w:ascii="Times New Roman" w:eastAsia="Times New Roman" w:hAnsi="Times New Roman" w:cs="Times New Roman"/>
          <w:noProof/>
          <w:color w:val="000000" w:themeColor="text1"/>
          <w:sz w:val="24"/>
          <w:szCs w:val="24"/>
        </w:rPr>
        <w:t>e presupun</w:t>
      </w:r>
      <w:r w:rsidR="00893B85">
        <w:rPr>
          <w:rFonts w:ascii="Times New Roman" w:eastAsia="Times New Roman" w:hAnsi="Times New Roman" w:cs="Times New Roman"/>
          <w:noProof/>
          <w:color w:val="000000" w:themeColor="text1"/>
          <w:sz w:val="24"/>
          <w:szCs w:val="24"/>
        </w:rPr>
        <w:t>e</w:t>
      </w:r>
      <w:r w:rsidRPr="00DD6A7A">
        <w:rPr>
          <w:rFonts w:ascii="Times New Roman" w:eastAsia="Times New Roman" w:hAnsi="Times New Roman" w:cs="Times New Roman"/>
          <w:noProof/>
          <w:color w:val="000000" w:themeColor="text1"/>
          <w:sz w:val="24"/>
          <w:szCs w:val="24"/>
        </w:rPr>
        <w:t xml:space="preserve"> orientarea activității de audit asupra acelor procese din cadrul </w:t>
      </w:r>
      <w:r w:rsidR="00825C02" w:rsidRPr="00DD6A7A">
        <w:rPr>
          <w:rFonts w:ascii="Times New Roman" w:eastAsia="Times New Roman" w:hAnsi="Times New Roman" w:cs="Times New Roman"/>
          <w:noProof/>
          <w:color w:val="000000" w:themeColor="text1"/>
          <w:sz w:val="24"/>
          <w:szCs w:val="24"/>
        </w:rPr>
        <w:t>i</w:t>
      </w:r>
      <w:r w:rsidRPr="00DD6A7A">
        <w:rPr>
          <w:rFonts w:ascii="Times New Roman" w:eastAsia="Times New Roman" w:hAnsi="Times New Roman" w:cs="Times New Roman"/>
          <w:noProof/>
          <w:color w:val="000000" w:themeColor="text1"/>
          <w:sz w:val="24"/>
          <w:szCs w:val="24"/>
        </w:rPr>
        <w:t>nstituției</w:t>
      </w:r>
      <w:r w:rsidR="00893B85">
        <w:rPr>
          <w:rFonts w:ascii="Times New Roman" w:eastAsia="Times New Roman" w:hAnsi="Times New Roman" w:cs="Times New Roman"/>
          <w:noProof/>
          <w:color w:val="000000" w:themeColor="text1"/>
          <w:sz w:val="24"/>
          <w:szCs w:val="24"/>
        </w:rPr>
        <w:t>,</w:t>
      </w:r>
      <w:r w:rsidR="00825C02" w:rsidRPr="00DD6A7A">
        <w:rPr>
          <w:rFonts w:ascii="Times New Roman" w:eastAsia="Times New Roman" w:hAnsi="Times New Roman" w:cs="Times New Roman"/>
          <w:noProof/>
          <w:color w:val="000000" w:themeColor="text1"/>
          <w:sz w:val="24"/>
          <w:szCs w:val="24"/>
        </w:rPr>
        <w:t xml:space="preserve"> </w:t>
      </w:r>
      <w:r w:rsidR="006426E3" w:rsidRPr="00DD6A7A">
        <w:rPr>
          <w:rFonts w:ascii="Times New Roman" w:eastAsia="Times New Roman" w:hAnsi="Times New Roman" w:cs="Times New Roman"/>
          <w:noProof/>
          <w:color w:val="000000" w:themeColor="text1"/>
          <w:sz w:val="24"/>
          <w:szCs w:val="24"/>
        </w:rPr>
        <w:t>CNPDCP</w:t>
      </w:r>
      <w:r w:rsidR="00893B85">
        <w:rPr>
          <w:rFonts w:ascii="Times New Roman" w:eastAsia="Times New Roman" w:hAnsi="Times New Roman" w:cs="Times New Roman"/>
          <w:noProof/>
          <w:color w:val="000000" w:themeColor="text1"/>
          <w:sz w:val="24"/>
          <w:szCs w:val="24"/>
        </w:rPr>
        <w:t>,</w:t>
      </w:r>
      <w:r w:rsidRPr="00DD6A7A">
        <w:rPr>
          <w:rFonts w:ascii="Times New Roman" w:eastAsia="Times New Roman" w:hAnsi="Times New Roman" w:cs="Times New Roman"/>
          <w:noProof/>
          <w:color w:val="000000" w:themeColor="text1"/>
          <w:sz w:val="24"/>
          <w:szCs w:val="24"/>
        </w:rPr>
        <w:t xml:space="preserve"> care sunt predispuse unor neconformități. Angajamentul auditului a fost cel de raportare directă</w:t>
      </w:r>
      <w:r w:rsidR="00825C02" w:rsidRPr="00DD6A7A">
        <w:rPr>
          <w:rFonts w:ascii="Times New Roman" w:eastAsia="Times New Roman" w:hAnsi="Times New Roman" w:cs="Times New Roman"/>
          <w:noProof/>
          <w:color w:val="000000" w:themeColor="text1"/>
          <w:sz w:val="24"/>
          <w:szCs w:val="24"/>
        </w:rPr>
        <w:t>. P</w:t>
      </w:r>
      <w:r w:rsidRPr="00DD6A7A">
        <w:rPr>
          <w:rFonts w:ascii="Times New Roman" w:eastAsia="Times New Roman" w:hAnsi="Times New Roman" w:cs="Times New Roman"/>
          <w:noProof/>
          <w:color w:val="000000" w:themeColor="text1"/>
          <w:sz w:val="24"/>
          <w:szCs w:val="24"/>
        </w:rPr>
        <w:t>rin urmare</w:t>
      </w:r>
      <w:r w:rsidR="00825C02" w:rsidRPr="00DD6A7A">
        <w:rPr>
          <w:rFonts w:ascii="Times New Roman" w:eastAsia="Times New Roman" w:hAnsi="Times New Roman" w:cs="Times New Roman"/>
          <w:noProof/>
          <w:color w:val="000000" w:themeColor="text1"/>
          <w:sz w:val="24"/>
          <w:szCs w:val="24"/>
        </w:rPr>
        <w:t>,</w:t>
      </w:r>
      <w:r w:rsidRPr="00DD6A7A">
        <w:rPr>
          <w:rFonts w:ascii="Times New Roman" w:eastAsia="Times New Roman" w:hAnsi="Times New Roman" w:cs="Times New Roman"/>
          <w:noProof/>
          <w:color w:val="000000" w:themeColor="text1"/>
          <w:sz w:val="24"/>
          <w:szCs w:val="24"/>
        </w:rPr>
        <w:t xml:space="preserve"> procesele auditate au fost evaluate în raport cu criteriile de audit extrase din prevederile cadrului normativ aplicabil, iar asigurarea limitată oferită ne permite</w:t>
      </w:r>
      <w:r w:rsidR="00825C02" w:rsidRPr="00DD6A7A">
        <w:rPr>
          <w:rFonts w:ascii="Times New Roman" w:eastAsia="Times New Roman" w:hAnsi="Times New Roman" w:cs="Times New Roman"/>
          <w:noProof/>
          <w:color w:val="000000" w:themeColor="text1"/>
          <w:sz w:val="24"/>
          <w:szCs w:val="24"/>
        </w:rPr>
        <w:t>,</w:t>
      </w:r>
      <w:r w:rsidRPr="00DD6A7A">
        <w:rPr>
          <w:rFonts w:ascii="Times New Roman" w:eastAsia="Times New Roman" w:hAnsi="Times New Roman" w:cs="Times New Roman"/>
          <w:noProof/>
          <w:color w:val="000000" w:themeColor="text1"/>
          <w:sz w:val="24"/>
          <w:szCs w:val="24"/>
        </w:rPr>
        <w:t xml:space="preserve"> în baza constatărilor susținute de probele de audit, să formulăm concluzia generală</w:t>
      </w:r>
      <w:r w:rsidR="00825C02" w:rsidRPr="00DD6A7A">
        <w:rPr>
          <w:rFonts w:ascii="Times New Roman" w:eastAsia="Times New Roman" w:hAnsi="Times New Roman" w:cs="Times New Roman"/>
          <w:noProof/>
          <w:color w:val="000000" w:themeColor="text1"/>
          <w:sz w:val="24"/>
          <w:szCs w:val="24"/>
        </w:rPr>
        <w:t>,</w:t>
      </w:r>
      <w:r w:rsidRPr="00DD6A7A">
        <w:rPr>
          <w:rFonts w:ascii="Times New Roman" w:eastAsia="Times New Roman" w:hAnsi="Times New Roman" w:cs="Times New Roman"/>
          <w:noProof/>
          <w:color w:val="000000" w:themeColor="text1"/>
          <w:sz w:val="24"/>
          <w:szCs w:val="24"/>
        </w:rPr>
        <w:t xml:space="preserve"> exprimată sub formă de constatări, răspunsuri la obiectivele specifice de audit.</w:t>
      </w:r>
    </w:p>
    <w:p w14:paraId="72763E2A" w14:textId="3B7573B0" w:rsidR="00963662" w:rsidRPr="00DD6A7A" w:rsidRDefault="00963662" w:rsidP="008C1B8F">
      <w:pPr>
        <w:spacing w:after="0" w:line="276" w:lineRule="auto"/>
        <w:jc w:val="both"/>
        <w:rPr>
          <w:rFonts w:ascii="Times New Roman" w:hAnsi="Times New Roman" w:cs="Times New Roman"/>
          <w:color w:val="000000" w:themeColor="text1"/>
          <w:sz w:val="24"/>
          <w:szCs w:val="24"/>
        </w:rPr>
      </w:pPr>
      <w:r w:rsidRPr="00DD6A7A">
        <w:rPr>
          <w:rFonts w:ascii="Times New Roman" w:hAnsi="Times New Roman" w:cs="Times New Roman"/>
          <w:b/>
          <w:bCs/>
          <w:sz w:val="24"/>
          <w:szCs w:val="24"/>
        </w:rPr>
        <w:t>Probele de audit</w:t>
      </w:r>
      <w:r w:rsidRPr="00DD6A7A">
        <w:rPr>
          <w:rFonts w:ascii="Times New Roman" w:hAnsi="Times New Roman" w:cs="Times New Roman"/>
          <w:sz w:val="24"/>
          <w:szCs w:val="24"/>
        </w:rPr>
        <w:t xml:space="preserve"> </w:t>
      </w:r>
      <w:r w:rsidRPr="00DD6A7A">
        <w:rPr>
          <w:rFonts w:ascii="Times New Roman" w:hAnsi="Times New Roman" w:cs="Times New Roman"/>
          <w:color w:val="000000" w:themeColor="text1"/>
          <w:sz w:val="24"/>
          <w:szCs w:val="24"/>
        </w:rPr>
        <w:t>au fost colectate la fața locului</w:t>
      </w:r>
      <w:r w:rsidR="00825C02" w:rsidRPr="00DD6A7A">
        <w:rPr>
          <w:rFonts w:ascii="Times New Roman" w:hAnsi="Times New Roman" w:cs="Times New Roman"/>
          <w:color w:val="000000" w:themeColor="text1"/>
          <w:sz w:val="24"/>
          <w:szCs w:val="24"/>
        </w:rPr>
        <w:t>,</w:t>
      </w:r>
      <w:r w:rsidRPr="00DD6A7A">
        <w:rPr>
          <w:rFonts w:ascii="Times New Roman" w:hAnsi="Times New Roman" w:cs="Times New Roman"/>
          <w:color w:val="000000" w:themeColor="text1"/>
          <w:sz w:val="24"/>
          <w:szCs w:val="24"/>
        </w:rPr>
        <w:t xml:space="preserve"> prin examinarea contractelor de achiziții publice a bunurilor și serviciilor și </w:t>
      </w:r>
      <w:r w:rsidR="00825C02" w:rsidRPr="00DD6A7A">
        <w:rPr>
          <w:rFonts w:ascii="Times New Roman" w:hAnsi="Times New Roman" w:cs="Times New Roman"/>
          <w:color w:val="000000" w:themeColor="text1"/>
          <w:sz w:val="24"/>
          <w:szCs w:val="24"/>
        </w:rPr>
        <w:t xml:space="preserve">a </w:t>
      </w:r>
      <w:r w:rsidRPr="00DD6A7A">
        <w:rPr>
          <w:rFonts w:ascii="Times New Roman" w:hAnsi="Times New Roman" w:cs="Times New Roman"/>
          <w:color w:val="000000" w:themeColor="text1"/>
          <w:sz w:val="24"/>
          <w:szCs w:val="24"/>
        </w:rPr>
        <w:t>documentelor aferente pe întregul lanț</w:t>
      </w:r>
      <w:r w:rsidR="00FF5250" w:rsidRPr="00DD6A7A">
        <w:rPr>
          <w:rFonts w:ascii="Times New Roman" w:hAnsi="Times New Roman" w:cs="Times New Roman"/>
          <w:color w:val="000000" w:themeColor="text1"/>
          <w:sz w:val="24"/>
          <w:szCs w:val="24"/>
        </w:rPr>
        <w:t>,</w:t>
      </w:r>
      <w:r w:rsidRPr="00DD6A7A">
        <w:rPr>
          <w:rFonts w:ascii="Times New Roman" w:hAnsi="Times New Roman" w:cs="Times New Roman"/>
          <w:color w:val="000000" w:themeColor="text1"/>
          <w:sz w:val="24"/>
          <w:szCs w:val="24"/>
        </w:rPr>
        <w:t xml:space="preserve"> de la evaluarea necesităților, planificarea lor, desfășurarea achizițiilor publice, primirea și înregistrarea bunurilor și serviciilor în evidența contabilă, analiza informațiilor financiare și nefinanciare, </w:t>
      </w:r>
      <w:r w:rsidR="00893B85">
        <w:rPr>
          <w:rFonts w:ascii="Times New Roman" w:hAnsi="Times New Roman" w:cs="Times New Roman"/>
          <w:color w:val="000000" w:themeColor="text1"/>
          <w:sz w:val="24"/>
          <w:szCs w:val="24"/>
        </w:rPr>
        <w:t xml:space="preserve">până la </w:t>
      </w:r>
      <w:r w:rsidRPr="00DD6A7A">
        <w:rPr>
          <w:rFonts w:ascii="Times New Roman" w:hAnsi="Times New Roman" w:cs="Times New Roman"/>
          <w:color w:val="000000" w:themeColor="text1"/>
          <w:sz w:val="24"/>
          <w:szCs w:val="24"/>
        </w:rPr>
        <w:t xml:space="preserve">recalcularea și reconcilierea datelor, observarea directă, precum și intervievarea persoanelor responsabile din cadrul  </w:t>
      </w:r>
      <w:r w:rsidR="00893B85">
        <w:rPr>
          <w:rFonts w:ascii="Times New Roman" w:hAnsi="Times New Roman" w:cs="Times New Roman"/>
          <w:color w:val="000000" w:themeColor="text1"/>
          <w:sz w:val="24"/>
          <w:szCs w:val="24"/>
        </w:rPr>
        <w:t>entității</w:t>
      </w:r>
      <w:r w:rsidRPr="00DD6A7A">
        <w:rPr>
          <w:rFonts w:ascii="Times New Roman" w:hAnsi="Times New Roman" w:cs="Times New Roman"/>
          <w:color w:val="000000" w:themeColor="text1"/>
          <w:sz w:val="24"/>
          <w:szCs w:val="24"/>
        </w:rPr>
        <w:t xml:space="preserve"> auditate.</w:t>
      </w:r>
    </w:p>
    <w:p w14:paraId="3D3BC600" w14:textId="77777777" w:rsidR="00963662" w:rsidRPr="00DD6A7A" w:rsidRDefault="00963662" w:rsidP="008C1B8F">
      <w:pPr>
        <w:spacing w:after="0" w:line="276" w:lineRule="auto"/>
        <w:jc w:val="both"/>
        <w:rPr>
          <w:rFonts w:ascii="Times New Roman" w:hAnsi="Times New Roman" w:cs="Times New Roman"/>
          <w:color w:val="000000" w:themeColor="text1"/>
          <w:sz w:val="24"/>
          <w:szCs w:val="24"/>
        </w:rPr>
      </w:pPr>
    </w:p>
    <w:tbl>
      <w:tblPr>
        <w:tblStyle w:val="TableGrid12"/>
        <w:tblW w:w="9805" w:type="dxa"/>
        <w:tblLayout w:type="fixed"/>
        <w:tblLook w:val="04A0" w:firstRow="1" w:lastRow="0" w:firstColumn="1" w:lastColumn="0" w:noHBand="0" w:noVBand="1"/>
      </w:tblPr>
      <w:tblGrid>
        <w:gridCol w:w="1975"/>
        <w:gridCol w:w="2970"/>
        <w:gridCol w:w="3060"/>
        <w:gridCol w:w="1800"/>
      </w:tblGrid>
      <w:tr w:rsidR="00D80C34" w:rsidRPr="00DD6A7A" w14:paraId="0428A837" w14:textId="77777777" w:rsidTr="000975E2">
        <w:trPr>
          <w:trHeight w:val="305"/>
        </w:trPr>
        <w:tc>
          <w:tcPr>
            <w:tcW w:w="1975" w:type="dxa"/>
            <w:shd w:val="clear" w:color="auto" w:fill="00B0F0"/>
            <w:vAlign w:val="center"/>
          </w:tcPr>
          <w:p w14:paraId="3927B868" w14:textId="77777777" w:rsidR="00D80C34" w:rsidRPr="00DD6A7A" w:rsidRDefault="00D80C34" w:rsidP="006246FC">
            <w:pPr>
              <w:spacing w:line="276" w:lineRule="auto"/>
              <w:jc w:val="center"/>
              <w:rPr>
                <w:rFonts w:ascii="Times New Roman" w:hAnsi="Times New Roman"/>
                <w:b/>
                <w:bCs/>
                <w:color w:val="000000" w:themeColor="text1"/>
                <w:sz w:val="18"/>
                <w:szCs w:val="18"/>
                <w:lang w:val="ro-RO"/>
              </w:rPr>
            </w:pPr>
            <w:r w:rsidRPr="00DD6A7A">
              <w:rPr>
                <w:rFonts w:ascii="Times New Roman" w:hAnsi="Times New Roman"/>
                <w:b/>
                <w:bCs/>
                <w:color w:val="000000" w:themeColor="text1"/>
                <w:sz w:val="18"/>
                <w:szCs w:val="18"/>
                <w:lang w:val="ro-RO"/>
              </w:rPr>
              <w:t>Referință la paragraful din Raport</w:t>
            </w:r>
          </w:p>
        </w:tc>
        <w:tc>
          <w:tcPr>
            <w:tcW w:w="2970" w:type="dxa"/>
            <w:shd w:val="clear" w:color="auto" w:fill="00B0F0"/>
            <w:vAlign w:val="center"/>
          </w:tcPr>
          <w:p w14:paraId="43DA2F6B" w14:textId="77777777" w:rsidR="00D80C34" w:rsidRPr="00DD6A7A" w:rsidRDefault="00D80C34" w:rsidP="006246FC">
            <w:pPr>
              <w:spacing w:line="276" w:lineRule="auto"/>
              <w:jc w:val="center"/>
              <w:rPr>
                <w:rFonts w:ascii="Times New Roman" w:hAnsi="Times New Roman"/>
                <w:b/>
                <w:bCs/>
                <w:color w:val="000000" w:themeColor="text1"/>
                <w:sz w:val="18"/>
                <w:szCs w:val="18"/>
                <w:lang w:val="ro-RO"/>
              </w:rPr>
            </w:pPr>
            <w:r w:rsidRPr="00DD6A7A">
              <w:rPr>
                <w:rFonts w:ascii="Times New Roman" w:hAnsi="Times New Roman"/>
                <w:b/>
                <w:bCs/>
                <w:color w:val="000000" w:themeColor="text1"/>
                <w:sz w:val="18"/>
                <w:szCs w:val="18"/>
                <w:lang w:val="ro-RO"/>
              </w:rPr>
              <w:t>Criteriile de audit</w:t>
            </w:r>
          </w:p>
        </w:tc>
        <w:tc>
          <w:tcPr>
            <w:tcW w:w="3060" w:type="dxa"/>
            <w:shd w:val="clear" w:color="auto" w:fill="00B0F0"/>
            <w:vAlign w:val="center"/>
          </w:tcPr>
          <w:p w14:paraId="2459FA35" w14:textId="77777777" w:rsidR="00D80C34" w:rsidRPr="00DD6A7A" w:rsidRDefault="00D80C34" w:rsidP="006246FC">
            <w:pPr>
              <w:spacing w:line="276" w:lineRule="auto"/>
              <w:ind w:right="35"/>
              <w:jc w:val="center"/>
              <w:rPr>
                <w:rFonts w:ascii="Times New Roman" w:hAnsi="Times New Roman"/>
                <w:b/>
                <w:bCs/>
                <w:color w:val="000000" w:themeColor="text1"/>
                <w:sz w:val="18"/>
                <w:szCs w:val="18"/>
                <w:lang w:val="ro-RO"/>
              </w:rPr>
            </w:pPr>
            <w:r w:rsidRPr="00DD6A7A">
              <w:rPr>
                <w:rFonts w:ascii="Times New Roman" w:hAnsi="Times New Roman"/>
                <w:b/>
                <w:bCs/>
                <w:color w:val="000000" w:themeColor="text1"/>
                <w:sz w:val="18"/>
                <w:szCs w:val="18"/>
                <w:lang w:val="ro-RO"/>
              </w:rPr>
              <w:t>Tehnicile de audit aplicate</w:t>
            </w:r>
          </w:p>
        </w:tc>
        <w:tc>
          <w:tcPr>
            <w:tcW w:w="1800" w:type="dxa"/>
            <w:shd w:val="clear" w:color="auto" w:fill="00B0F0"/>
            <w:vAlign w:val="center"/>
          </w:tcPr>
          <w:p w14:paraId="2AE09108" w14:textId="77777777" w:rsidR="00D80C34" w:rsidRPr="00DD6A7A" w:rsidRDefault="00D80C34" w:rsidP="006246FC">
            <w:pPr>
              <w:spacing w:line="276" w:lineRule="auto"/>
              <w:jc w:val="center"/>
              <w:rPr>
                <w:rFonts w:ascii="Times New Roman" w:hAnsi="Times New Roman"/>
                <w:b/>
                <w:bCs/>
                <w:color w:val="000000" w:themeColor="text1"/>
                <w:sz w:val="18"/>
                <w:szCs w:val="18"/>
                <w:lang w:val="ro-RO"/>
              </w:rPr>
            </w:pPr>
            <w:r w:rsidRPr="00DD6A7A">
              <w:rPr>
                <w:rFonts w:ascii="Times New Roman" w:hAnsi="Times New Roman"/>
                <w:b/>
                <w:bCs/>
                <w:color w:val="000000" w:themeColor="text1"/>
                <w:sz w:val="18"/>
                <w:szCs w:val="18"/>
                <w:lang w:val="ro-RO"/>
              </w:rPr>
              <w:t>Dimensiunea eșantionului</w:t>
            </w:r>
          </w:p>
        </w:tc>
      </w:tr>
      <w:tr w:rsidR="00D80C34" w:rsidRPr="00DD6A7A" w14:paraId="30D106B9" w14:textId="77777777" w:rsidTr="000975E2">
        <w:trPr>
          <w:trHeight w:val="249"/>
        </w:trPr>
        <w:tc>
          <w:tcPr>
            <w:tcW w:w="1975" w:type="dxa"/>
          </w:tcPr>
          <w:p w14:paraId="26CA0453" w14:textId="77777777" w:rsidR="00D80C34" w:rsidRPr="00DD6A7A" w:rsidRDefault="00D80C34" w:rsidP="006246FC">
            <w:pPr>
              <w:spacing w:line="276" w:lineRule="auto"/>
              <w:jc w:val="center"/>
              <w:rPr>
                <w:rFonts w:ascii="Times New Roman" w:hAnsi="Times New Roman"/>
                <w:bCs/>
                <w:i/>
                <w:color w:val="000000" w:themeColor="text1"/>
                <w:sz w:val="18"/>
                <w:szCs w:val="18"/>
                <w:lang w:val="ro-RO"/>
              </w:rPr>
            </w:pPr>
            <w:r w:rsidRPr="00DD6A7A">
              <w:rPr>
                <w:rFonts w:ascii="Times New Roman" w:hAnsi="Times New Roman"/>
                <w:bCs/>
                <w:i/>
                <w:color w:val="000000" w:themeColor="text1"/>
                <w:sz w:val="18"/>
                <w:szCs w:val="18"/>
                <w:lang w:val="ro-RO"/>
              </w:rPr>
              <w:t>1</w:t>
            </w:r>
          </w:p>
        </w:tc>
        <w:tc>
          <w:tcPr>
            <w:tcW w:w="2970" w:type="dxa"/>
          </w:tcPr>
          <w:p w14:paraId="2F149C6D" w14:textId="77777777" w:rsidR="00D80C34" w:rsidRPr="00DD6A7A" w:rsidRDefault="00224B66" w:rsidP="006246FC">
            <w:pPr>
              <w:spacing w:line="276" w:lineRule="auto"/>
              <w:jc w:val="center"/>
              <w:rPr>
                <w:rFonts w:ascii="Times New Roman" w:hAnsi="Times New Roman"/>
                <w:bCs/>
                <w:i/>
                <w:color w:val="000000" w:themeColor="text1"/>
                <w:sz w:val="18"/>
                <w:szCs w:val="18"/>
                <w:lang w:val="ro-RO"/>
              </w:rPr>
            </w:pPr>
            <w:r>
              <w:rPr>
                <w:rFonts w:ascii="Times New Roman" w:hAnsi="Times New Roman"/>
                <w:bCs/>
                <w:i/>
                <w:color w:val="000000" w:themeColor="text1"/>
                <w:sz w:val="18"/>
                <w:szCs w:val="18"/>
                <w:lang w:val="ro-RO"/>
              </w:rPr>
              <w:t>2</w:t>
            </w:r>
          </w:p>
        </w:tc>
        <w:tc>
          <w:tcPr>
            <w:tcW w:w="3060" w:type="dxa"/>
          </w:tcPr>
          <w:p w14:paraId="44C1C4E2" w14:textId="77777777" w:rsidR="00D80C34" w:rsidRPr="00DD6A7A" w:rsidRDefault="00224B66" w:rsidP="006246FC">
            <w:pPr>
              <w:spacing w:line="276" w:lineRule="auto"/>
              <w:jc w:val="center"/>
              <w:rPr>
                <w:rFonts w:ascii="Times New Roman" w:hAnsi="Times New Roman"/>
                <w:bCs/>
                <w:i/>
                <w:color w:val="000000" w:themeColor="text1"/>
                <w:sz w:val="18"/>
                <w:szCs w:val="18"/>
                <w:lang w:val="ro-RO"/>
              </w:rPr>
            </w:pPr>
            <w:r>
              <w:rPr>
                <w:rFonts w:ascii="Times New Roman" w:hAnsi="Times New Roman"/>
                <w:bCs/>
                <w:i/>
                <w:color w:val="000000" w:themeColor="text1"/>
                <w:sz w:val="18"/>
                <w:szCs w:val="18"/>
                <w:lang w:val="ro-RO"/>
              </w:rPr>
              <w:t>3</w:t>
            </w:r>
          </w:p>
        </w:tc>
        <w:tc>
          <w:tcPr>
            <w:tcW w:w="1800" w:type="dxa"/>
          </w:tcPr>
          <w:p w14:paraId="58AAF049" w14:textId="77777777" w:rsidR="00D80C34" w:rsidRPr="00DD6A7A" w:rsidRDefault="00224B66" w:rsidP="006246FC">
            <w:pPr>
              <w:spacing w:line="276" w:lineRule="auto"/>
              <w:jc w:val="center"/>
              <w:rPr>
                <w:rFonts w:ascii="Times New Roman" w:hAnsi="Times New Roman"/>
                <w:bCs/>
                <w:i/>
                <w:color w:val="000000" w:themeColor="text1"/>
                <w:sz w:val="18"/>
                <w:szCs w:val="18"/>
                <w:lang w:val="ro-RO"/>
              </w:rPr>
            </w:pPr>
            <w:r>
              <w:rPr>
                <w:rFonts w:ascii="Times New Roman" w:hAnsi="Times New Roman"/>
                <w:bCs/>
                <w:i/>
                <w:color w:val="000000" w:themeColor="text1"/>
                <w:sz w:val="18"/>
                <w:szCs w:val="18"/>
                <w:lang w:val="ro-RO"/>
              </w:rPr>
              <w:t>4</w:t>
            </w:r>
          </w:p>
        </w:tc>
      </w:tr>
      <w:tr w:rsidR="00D80C34" w:rsidRPr="00DD6A7A" w14:paraId="1CC54B12" w14:textId="77777777" w:rsidTr="000975E2">
        <w:trPr>
          <w:trHeight w:val="249"/>
        </w:trPr>
        <w:tc>
          <w:tcPr>
            <w:tcW w:w="9805" w:type="dxa"/>
            <w:gridSpan w:val="4"/>
          </w:tcPr>
          <w:p w14:paraId="5DFBB7C1" w14:textId="7A836C02" w:rsidR="00D80C34" w:rsidRPr="00DD6A7A" w:rsidRDefault="00D80C34" w:rsidP="00DC4D36">
            <w:pPr>
              <w:spacing w:line="276" w:lineRule="auto"/>
              <w:jc w:val="both"/>
              <w:rPr>
                <w:rFonts w:ascii="Times New Roman" w:eastAsiaTheme="majorEastAsia" w:hAnsi="Times New Roman"/>
                <w:b/>
                <w:color w:val="000000" w:themeColor="text1"/>
                <w:sz w:val="18"/>
                <w:szCs w:val="18"/>
              </w:rPr>
            </w:pPr>
            <w:r w:rsidRPr="00DD6A7A">
              <w:rPr>
                <w:rFonts w:ascii="Times New Roman" w:eastAsiaTheme="majorEastAsia" w:hAnsi="Times New Roman"/>
                <w:b/>
                <w:color w:val="000000" w:themeColor="text1"/>
                <w:sz w:val="18"/>
                <w:szCs w:val="18"/>
              </w:rPr>
              <w:lastRenderedPageBreak/>
              <w:t xml:space="preserve">OBIECTIVUL </w:t>
            </w:r>
            <w:r w:rsidRPr="00DC4D36">
              <w:rPr>
                <w:rFonts w:ascii="Times New Roman" w:eastAsiaTheme="majorEastAsia" w:hAnsi="Times New Roman"/>
                <w:b/>
                <w:color w:val="000000" w:themeColor="text1"/>
                <w:sz w:val="18"/>
                <w:szCs w:val="18"/>
              </w:rPr>
              <w:t>nr.1:</w:t>
            </w:r>
            <w:r w:rsidRPr="00DD6A7A">
              <w:rPr>
                <w:rFonts w:ascii="Times New Roman" w:eastAsiaTheme="majorEastAsia" w:hAnsi="Times New Roman"/>
                <w:b/>
                <w:color w:val="000000" w:themeColor="text1"/>
                <w:sz w:val="18"/>
                <w:szCs w:val="18"/>
              </w:rPr>
              <w:t xml:space="preserve"> CNPDCP a asigurat elaborarea bugetului instituției în conformitate cu regulile și procedurile bugetar-fiscale prestabilite?</w:t>
            </w:r>
          </w:p>
        </w:tc>
      </w:tr>
      <w:tr w:rsidR="00D80C34" w:rsidRPr="00DD6A7A" w14:paraId="2E01C1C4" w14:textId="77777777" w:rsidTr="000975E2">
        <w:trPr>
          <w:trHeight w:val="249"/>
        </w:trPr>
        <w:tc>
          <w:tcPr>
            <w:tcW w:w="1975" w:type="dxa"/>
          </w:tcPr>
          <w:p w14:paraId="57DDB0DA" w14:textId="0FDA0D7F" w:rsidR="00D80C34" w:rsidRPr="00DD6A7A" w:rsidRDefault="00D80C34" w:rsidP="006246FC">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4.1.1. Mecanismul de elaborare a proiectul</w:t>
            </w:r>
            <w:r w:rsidR="00893B85">
              <w:rPr>
                <w:rFonts w:ascii="Times New Roman" w:hAnsi="Times New Roman"/>
                <w:color w:val="000000" w:themeColor="text1"/>
                <w:sz w:val="18"/>
                <w:szCs w:val="18"/>
                <w:lang w:val="ro-RO"/>
              </w:rPr>
              <w:t>ui</w:t>
            </w:r>
            <w:r w:rsidRPr="00DD6A7A">
              <w:rPr>
                <w:rFonts w:ascii="Times New Roman" w:hAnsi="Times New Roman"/>
                <w:color w:val="000000" w:themeColor="text1"/>
                <w:sz w:val="18"/>
                <w:szCs w:val="18"/>
                <w:lang w:val="ro-RO"/>
              </w:rPr>
              <w:t xml:space="preserve"> de buget al </w:t>
            </w:r>
            <w:r w:rsidRPr="00DD6A7A">
              <w:rPr>
                <w:rFonts w:ascii="Times New Roman" w:hAnsi="Times New Roman"/>
                <w:color w:val="000000" w:themeColor="text1"/>
                <w:sz w:val="18"/>
                <w:szCs w:val="18"/>
              </w:rPr>
              <w:t>CNPDCP</w:t>
            </w:r>
            <w:r w:rsidRPr="00DD6A7A">
              <w:rPr>
                <w:rFonts w:ascii="Times New Roman" w:hAnsi="Times New Roman"/>
                <w:color w:val="000000" w:themeColor="text1"/>
                <w:sz w:val="18"/>
                <w:szCs w:val="18"/>
                <w:lang w:val="ro-RO"/>
              </w:rPr>
              <w:t xml:space="preserve">  nu este unul conformat prevederilor cadrului normativ.  </w:t>
            </w:r>
          </w:p>
          <w:p w14:paraId="6ED687B0" w14:textId="53AB392E" w:rsidR="00D80C34" w:rsidRPr="00DD6A7A" w:rsidRDefault="00D80C34" w:rsidP="006246FC">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rPr>
              <w:t>Se atestă unele deficiențe în procesul de estimare bugetară anuală a cheltuielilor pentru întreținerea CNPDCP</w:t>
            </w:r>
            <w:r w:rsidR="00893B85">
              <w:rPr>
                <w:rFonts w:ascii="Times New Roman" w:hAnsi="Times New Roman"/>
                <w:color w:val="000000" w:themeColor="text1"/>
                <w:sz w:val="18"/>
                <w:szCs w:val="18"/>
              </w:rPr>
              <w:t>.</w:t>
            </w:r>
            <w:r w:rsidRPr="00DD6A7A">
              <w:rPr>
                <w:rFonts w:ascii="Times New Roman" w:hAnsi="Times New Roman"/>
                <w:color w:val="000000" w:themeColor="text1"/>
                <w:sz w:val="18"/>
                <w:szCs w:val="18"/>
                <w:lang w:val="ro-RO"/>
              </w:rPr>
              <w:t xml:space="preserve"> </w:t>
            </w:r>
          </w:p>
          <w:p w14:paraId="37206BBD" w14:textId="77777777" w:rsidR="00D80C34" w:rsidRPr="00DD6A7A" w:rsidRDefault="00D80C34" w:rsidP="006246FC">
            <w:pPr>
              <w:tabs>
                <w:tab w:val="left" w:pos="1200"/>
              </w:tabs>
              <w:spacing w:line="276" w:lineRule="auto"/>
              <w:jc w:val="both"/>
              <w:rPr>
                <w:rFonts w:ascii="Times New Roman" w:hAnsi="Times New Roman"/>
                <w:color w:val="000000" w:themeColor="text1"/>
                <w:sz w:val="18"/>
                <w:szCs w:val="18"/>
                <w:lang w:val="ro-RO"/>
              </w:rPr>
            </w:pPr>
          </w:p>
          <w:p w14:paraId="71D214CA" w14:textId="0DEDE483" w:rsidR="00D80C34" w:rsidRPr="00DD6A7A" w:rsidRDefault="00D80C34" w:rsidP="006246FC">
            <w:pPr>
              <w:spacing w:line="276" w:lineRule="auto"/>
              <w:jc w:val="both"/>
              <w:rPr>
                <w:rFonts w:ascii="Times New Roman" w:hAnsi="Times New Roman"/>
                <w:color w:val="000000" w:themeColor="text1"/>
                <w:sz w:val="18"/>
                <w:szCs w:val="18"/>
              </w:rPr>
            </w:pPr>
            <w:r w:rsidRPr="00DD6A7A">
              <w:rPr>
                <w:rFonts w:ascii="Times New Roman" w:hAnsi="Times New Roman"/>
                <w:color w:val="000000" w:themeColor="text1"/>
                <w:sz w:val="18"/>
                <w:szCs w:val="18"/>
                <w:lang w:val="ro-RO"/>
              </w:rPr>
              <w:t xml:space="preserve">4.1.2. </w:t>
            </w:r>
            <w:r w:rsidRPr="00DD6A7A">
              <w:rPr>
                <w:rFonts w:ascii="Times New Roman" w:eastAsia="Times New Roman" w:hAnsi="Times New Roman"/>
                <w:color w:val="000000" w:themeColor="text1"/>
                <w:sz w:val="18"/>
                <w:szCs w:val="18"/>
              </w:rPr>
              <w:t xml:space="preserve">Unii indicatori de performanță </w:t>
            </w:r>
            <w:r w:rsidR="00893B85" w:rsidRPr="00DD6A7A">
              <w:rPr>
                <w:rFonts w:ascii="Times New Roman" w:eastAsia="Times New Roman" w:hAnsi="Times New Roman"/>
                <w:color w:val="000000" w:themeColor="text1"/>
                <w:sz w:val="18"/>
                <w:szCs w:val="18"/>
              </w:rPr>
              <w:t xml:space="preserve">planificați </w:t>
            </w:r>
            <w:r w:rsidRPr="00DD6A7A">
              <w:rPr>
                <w:rFonts w:ascii="Times New Roman" w:eastAsia="Times New Roman" w:hAnsi="Times New Roman"/>
                <w:color w:val="000000" w:themeColor="text1"/>
                <w:sz w:val="18"/>
                <w:szCs w:val="18"/>
              </w:rPr>
              <w:t xml:space="preserve">aferenți activității desfășurate de către CNPDCP </w:t>
            </w:r>
            <w:r w:rsidRPr="00DD6A7A">
              <w:rPr>
                <w:rFonts w:ascii="Times New Roman" w:hAnsi="Times New Roman"/>
                <w:color w:val="000000" w:themeColor="text1"/>
                <w:sz w:val="18"/>
                <w:szCs w:val="18"/>
              </w:rPr>
              <w:t>nu au fost executați, iar alții au fost supraestimați ori poartă un caracter formal, nu demonstrează implementarea obiectivelor asumate de entitate și</w:t>
            </w:r>
            <w:r w:rsidRPr="00DD6A7A">
              <w:rPr>
                <w:rFonts w:ascii="Times New Roman" w:eastAsia="Times New Roman" w:hAnsi="Times New Roman"/>
                <w:color w:val="000000" w:themeColor="text1"/>
                <w:sz w:val="18"/>
                <w:szCs w:val="18"/>
              </w:rPr>
              <w:t xml:space="preserve"> nu sunt </w:t>
            </w:r>
            <w:r w:rsidRPr="00DD6A7A">
              <w:rPr>
                <w:rFonts w:ascii="Times New Roman" w:hAnsi="Times New Roman"/>
                <w:color w:val="000000" w:themeColor="text1"/>
                <w:sz w:val="18"/>
                <w:szCs w:val="18"/>
              </w:rPr>
              <w:t>formulați în baza principiului SMART</w:t>
            </w:r>
            <w:r w:rsidR="00893B85">
              <w:rPr>
                <w:rFonts w:ascii="Times New Roman" w:hAnsi="Times New Roman"/>
                <w:color w:val="000000" w:themeColor="text1"/>
                <w:sz w:val="18"/>
                <w:szCs w:val="18"/>
              </w:rPr>
              <w:t>.</w:t>
            </w:r>
          </w:p>
          <w:p w14:paraId="23746F23" w14:textId="77777777" w:rsidR="00D80C34" w:rsidRPr="00DD6A7A" w:rsidRDefault="00D80C34" w:rsidP="006246FC">
            <w:pPr>
              <w:spacing w:line="276" w:lineRule="auto"/>
              <w:jc w:val="both"/>
              <w:rPr>
                <w:rFonts w:ascii="Times New Roman" w:hAnsi="Times New Roman"/>
                <w:color w:val="000000" w:themeColor="text1"/>
                <w:sz w:val="18"/>
                <w:szCs w:val="18"/>
              </w:rPr>
            </w:pPr>
          </w:p>
          <w:p w14:paraId="44D85EF7" w14:textId="7A643041" w:rsidR="00D80C34" w:rsidRPr="00DD6A7A" w:rsidRDefault="00D80C34" w:rsidP="00893B85">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rPr>
              <w:t>4.1.3.</w:t>
            </w:r>
            <w:r w:rsidRPr="00DD6A7A">
              <w:rPr>
                <w:rFonts w:ascii="Times New Roman" w:hAnsi="Times New Roman"/>
                <w:color w:val="000000" w:themeColor="text1"/>
                <w:sz w:val="18"/>
                <w:szCs w:val="18"/>
                <w:lang w:val="ro-RO"/>
              </w:rPr>
              <w:t xml:space="preserve"> Cadrul normativ-legislativ care reglementează activitatea CNPDCP privind protecția datelor cu caracter personal nu </w:t>
            </w:r>
            <w:r w:rsidR="00893B85">
              <w:rPr>
                <w:rFonts w:ascii="Times New Roman" w:hAnsi="Times New Roman"/>
                <w:color w:val="000000" w:themeColor="text1"/>
                <w:sz w:val="18"/>
                <w:szCs w:val="18"/>
                <w:lang w:val="ro-RO"/>
              </w:rPr>
              <w:t xml:space="preserve">a </w:t>
            </w:r>
            <w:r w:rsidRPr="00DD6A7A">
              <w:rPr>
                <w:rFonts w:ascii="Times New Roman" w:hAnsi="Times New Roman"/>
                <w:color w:val="000000" w:themeColor="text1"/>
                <w:sz w:val="18"/>
                <w:szCs w:val="18"/>
                <w:lang w:val="ro-RO"/>
              </w:rPr>
              <w:t>fost racordat la directivele și regulamentele Uniunii Europene; nu sunt implementate unele măsuri și indicatori de performanță stabili</w:t>
            </w:r>
            <w:r w:rsidR="00893B85">
              <w:rPr>
                <w:rFonts w:ascii="Times New Roman" w:hAnsi="Times New Roman"/>
                <w:color w:val="000000" w:themeColor="text1"/>
                <w:sz w:val="18"/>
                <w:szCs w:val="18"/>
                <w:lang w:val="ro-RO"/>
              </w:rPr>
              <w:t>ți</w:t>
            </w:r>
            <w:r w:rsidRPr="00DD6A7A">
              <w:rPr>
                <w:rFonts w:ascii="Times New Roman" w:hAnsi="Times New Roman"/>
                <w:color w:val="000000" w:themeColor="text1"/>
                <w:sz w:val="18"/>
                <w:szCs w:val="18"/>
                <w:lang w:val="ro-RO"/>
              </w:rPr>
              <w:t xml:space="preserve"> în Planurile naționale de acțiuni pentru implementarea Acordului de Asociere Republica Moldova –Uniunea Europeană</w:t>
            </w:r>
          </w:p>
        </w:tc>
        <w:tc>
          <w:tcPr>
            <w:tcW w:w="2970" w:type="dxa"/>
          </w:tcPr>
          <w:p w14:paraId="3BC00DFC" w14:textId="77777777" w:rsidR="00D80C34" w:rsidRPr="00DD6A7A" w:rsidRDefault="00D80C34" w:rsidP="006246FC">
            <w:pPr>
              <w:jc w:val="both"/>
              <w:rPr>
                <w:rFonts w:ascii="Times New Roman" w:hAnsi="Times New Roman"/>
                <w:color w:val="000000" w:themeColor="text1"/>
                <w:sz w:val="18"/>
                <w:szCs w:val="18"/>
                <w:shd w:val="clear" w:color="auto" w:fill="FFFFFF"/>
              </w:rPr>
            </w:pPr>
            <w:r w:rsidRPr="00DD6A7A">
              <w:rPr>
                <w:rFonts w:ascii="Times New Roman" w:hAnsi="Times New Roman"/>
                <w:color w:val="000000" w:themeColor="text1"/>
                <w:sz w:val="18"/>
                <w:szCs w:val="18"/>
                <w:shd w:val="clear" w:color="auto" w:fill="FFFFFF"/>
              </w:rPr>
              <w:t>a) Prevederile art.51</w:t>
            </w:r>
            <w:r w:rsidRPr="00DD6A7A">
              <w:rPr>
                <w:rFonts w:ascii="Times New Roman" w:hAnsi="Times New Roman"/>
                <w:color w:val="000000" w:themeColor="text1"/>
                <w:sz w:val="18"/>
                <w:szCs w:val="18"/>
                <w:shd w:val="clear" w:color="auto" w:fill="FFFFFF"/>
                <w:vertAlign w:val="superscript"/>
              </w:rPr>
              <w:t>1</w:t>
            </w:r>
            <w:r w:rsidR="00FC7C37">
              <w:rPr>
                <w:rFonts w:ascii="Times New Roman" w:hAnsi="Times New Roman"/>
                <w:color w:val="000000" w:themeColor="text1"/>
                <w:sz w:val="18"/>
                <w:szCs w:val="18"/>
                <w:shd w:val="clear" w:color="auto" w:fill="FFFFFF"/>
              </w:rPr>
              <w:t xml:space="preserve"> din Legea nr.181/2014</w:t>
            </w:r>
          </w:p>
          <w:p w14:paraId="51E557BC" w14:textId="77777777" w:rsidR="00D80C34" w:rsidRPr="00DD6A7A" w:rsidRDefault="00D80C34" w:rsidP="006246FC">
            <w:pPr>
              <w:spacing w:line="276" w:lineRule="auto"/>
              <w:contextualSpacing/>
              <w:jc w:val="both"/>
              <w:rPr>
                <w:rFonts w:ascii="Times New Roman" w:hAnsi="Times New Roman"/>
                <w:color w:val="000000" w:themeColor="text1"/>
                <w:sz w:val="18"/>
                <w:szCs w:val="18"/>
                <w:shd w:val="clear" w:color="auto" w:fill="FFFFFF"/>
              </w:rPr>
            </w:pPr>
            <w:r w:rsidRPr="00DD6A7A">
              <w:rPr>
                <w:rFonts w:ascii="Times New Roman" w:hAnsi="Times New Roman"/>
                <w:color w:val="000000" w:themeColor="text1"/>
                <w:sz w:val="18"/>
                <w:szCs w:val="18"/>
                <w:shd w:val="clear" w:color="auto" w:fill="FFFFFF"/>
              </w:rPr>
              <w:t>b) Setul metodologic privind elaborarea, aprobarea şi modificarea bugetului, aprobat prin  Ordinul  ministrului Finanțelor nr.209 din 24.12.2015 (cu modificările ulterioare).</w:t>
            </w:r>
          </w:p>
          <w:p w14:paraId="6663A34F" w14:textId="77777777" w:rsidR="00D80C34" w:rsidRPr="00DD6A7A" w:rsidRDefault="00D80C34" w:rsidP="006246FC">
            <w:pPr>
              <w:spacing w:line="276" w:lineRule="auto"/>
              <w:contextualSpacing/>
              <w:jc w:val="both"/>
              <w:rPr>
                <w:rFonts w:ascii="Times New Roman" w:hAnsi="Times New Roman"/>
                <w:color w:val="000000" w:themeColor="text1"/>
                <w:sz w:val="18"/>
                <w:szCs w:val="18"/>
                <w:shd w:val="clear" w:color="auto" w:fill="FFFFFF"/>
              </w:rPr>
            </w:pPr>
          </w:p>
          <w:p w14:paraId="177CE9A4" w14:textId="77777777" w:rsidR="00D80C34" w:rsidRPr="00DD6A7A" w:rsidRDefault="00D80C34" w:rsidP="006246FC">
            <w:pPr>
              <w:jc w:val="both"/>
              <w:rPr>
                <w:rFonts w:ascii="Times New Roman" w:hAnsi="Times New Roman"/>
                <w:color w:val="000000" w:themeColor="text1"/>
                <w:sz w:val="18"/>
                <w:szCs w:val="18"/>
              </w:rPr>
            </w:pPr>
          </w:p>
          <w:p w14:paraId="2E1BE72F" w14:textId="77777777" w:rsidR="00D80C34" w:rsidRPr="00DD6A7A" w:rsidRDefault="00D80C34" w:rsidP="006246FC">
            <w:pPr>
              <w:jc w:val="both"/>
              <w:rPr>
                <w:rFonts w:ascii="Times New Roman" w:hAnsi="Times New Roman"/>
                <w:color w:val="000000" w:themeColor="text1"/>
                <w:sz w:val="18"/>
                <w:szCs w:val="18"/>
              </w:rPr>
            </w:pPr>
          </w:p>
          <w:p w14:paraId="7F80CF29" w14:textId="77777777" w:rsidR="00D80C34" w:rsidRPr="00DD6A7A" w:rsidRDefault="00D80C34" w:rsidP="006246FC">
            <w:pPr>
              <w:jc w:val="both"/>
              <w:rPr>
                <w:rFonts w:ascii="Times New Roman" w:hAnsi="Times New Roman"/>
                <w:color w:val="000000" w:themeColor="text1"/>
                <w:sz w:val="18"/>
                <w:szCs w:val="18"/>
              </w:rPr>
            </w:pPr>
          </w:p>
          <w:p w14:paraId="0B9856FA" w14:textId="77777777" w:rsidR="00D80C34" w:rsidRPr="00DD6A7A" w:rsidRDefault="00D80C34" w:rsidP="006246FC">
            <w:pPr>
              <w:jc w:val="both"/>
              <w:rPr>
                <w:rFonts w:ascii="Times New Roman" w:hAnsi="Times New Roman"/>
                <w:color w:val="000000" w:themeColor="text1"/>
                <w:sz w:val="18"/>
                <w:szCs w:val="18"/>
              </w:rPr>
            </w:pPr>
          </w:p>
          <w:p w14:paraId="6E4D6AB1" w14:textId="77777777" w:rsidR="00D80C34" w:rsidRPr="00DD6A7A" w:rsidRDefault="00D80C34" w:rsidP="006246FC">
            <w:pPr>
              <w:jc w:val="both"/>
              <w:rPr>
                <w:rFonts w:ascii="Times New Roman" w:hAnsi="Times New Roman"/>
                <w:color w:val="000000" w:themeColor="text1"/>
                <w:sz w:val="18"/>
                <w:szCs w:val="18"/>
              </w:rPr>
            </w:pPr>
          </w:p>
          <w:p w14:paraId="2B02F925" w14:textId="30216E3D" w:rsidR="00D80C34" w:rsidRPr="00DD6A7A" w:rsidRDefault="00D80C34" w:rsidP="006246FC">
            <w:pPr>
              <w:jc w:val="both"/>
              <w:rPr>
                <w:rFonts w:ascii="Times New Roman" w:hAnsi="Times New Roman"/>
                <w:color w:val="000000" w:themeColor="text1"/>
                <w:sz w:val="18"/>
                <w:szCs w:val="18"/>
              </w:rPr>
            </w:pPr>
            <w:r w:rsidRPr="00DD6A7A">
              <w:rPr>
                <w:rFonts w:ascii="Times New Roman" w:hAnsi="Times New Roman"/>
                <w:color w:val="000000" w:themeColor="text1"/>
                <w:sz w:val="18"/>
                <w:szCs w:val="18"/>
              </w:rPr>
              <w:t xml:space="preserve">Ordinul ministrului Finanțelor nr. 189 din 05.11.2015 cu privire la aprobarea Standardelor naționale de control intern în sectorul public; </w:t>
            </w:r>
            <w:r w:rsidRPr="00DD6A7A">
              <w:rPr>
                <w:rStyle w:val="Strong"/>
                <w:rFonts w:ascii="Times New Roman" w:hAnsi="Times New Roman"/>
                <w:color w:val="000000" w:themeColor="text1"/>
                <w:sz w:val="18"/>
                <w:szCs w:val="18"/>
                <w:shd w:val="clear" w:color="auto" w:fill="FFFFFF"/>
              </w:rPr>
              <w:t>SNCI 7. Stabilirea obiectivelor; SNCI 8. Planificarea, monitorizarea şi raportarea privind performanțele</w:t>
            </w:r>
            <w:r w:rsidRPr="00DD6A7A">
              <w:rPr>
                <w:rFonts w:ascii="Times New Roman" w:hAnsi="Times New Roman"/>
                <w:color w:val="000000" w:themeColor="text1"/>
                <w:sz w:val="18"/>
                <w:szCs w:val="18"/>
              </w:rPr>
              <w:t>; pct.3.3. și pct.3.4 din Ghidul metodologic privind integrarea prevederilor Strategiei naționale de dezvoltare în documentele de planificare și documentele de politici publice la nivel național (obiective</w:t>
            </w:r>
            <w:r w:rsidR="00893B85">
              <w:rPr>
                <w:rFonts w:ascii="Times New Roman" w:hAnsi="Times New Roman"/>
                <w:color w:val="000000" w:themeColor="text1"/>
                <w:sz w:val="18"/>
                <w:szCs w:val="18"/>
              </w:rPr>
              <w:t>le</w:t>
            </w:r>
            <w:r w:rsidRPr="00DD6A7A">
              <w:rPr>
                <w:rFonts w:ascii="Times New Roman" w:hAnsi="Times New Roman"/>
                <w:color w:val="000000" w:themeColor="text1"/>
                <w:sz w:val="18"/>
                <w:szCs w:val="18"/>
              </w:rPr>
              <w:t xml:space="preserve"> principiul</w:t>
            </w:r>
            <w:r w:rsidR="00893B85">
              <w:rPr>
                <w:rFonts w:ascii="Times New Roman" w:hAnsi="Times New Roman"/>
                <w:color w:val="000000" w:themeColor="text1"/>
                <w:sz w:val="18"/>
                <w:szCs w:val="18"/>
              </w:rPr>
              <w:t>ui</w:t>
            </w:r>
            <w:r w:rsidRPr="00DD6A7A">
              <w:rPr>
                <w:rFonts w:ascii="Times New Roman" w:hAnsi="Times New Roman"/>
                <w:color w:val="000000" w:themeColor="text1"/>
                <w:sz w:val="18"/>
                <w:szCs w:val="18"/>
              </w:rPr>
              <w:t xml:space="preserve"> SMART: S – simple, M – măsurabile, A – acceptabile, R – realizabile, și T – fixate în timp).</w:t>
            </w:r>
          </w:p>
          <w:p w14:paraId="2C1CC933" w14:textId="77777777" w:rsidR="00D80C34" w:rsidRPr="00DD6A7A" w:rsidRDefault="00D80C34" w:rsidP="006246FC">
            <w:pPr>
              <w:jc w:val="both"/>
              <w:rPr>
                <w:rFonts w:ascii="Times New Roman" w:hAnsi="Times New Roman"/>
                <w:color w:val="000000" w:themeColor="text1"/>
                <w:sz w:val="18"/>
                <w:szCs w:val="18"/>
              </w:rPr>
            </w:pPr>
          </w:p>
          <w:p w14:paraId="675F6B50" w14:textId="77777777" w:rsidR="00D80C34" w:rsidRPr="00DD6A7A" w:rsidRDefault="00D80C34" w:rsidP="006246FC">
            <w:pPr>
              <w:jc w:val="both"/>
              <w:rPr>
                <w:rFonts w:ascii="Times New Roman" w:hAnsi="Times New Roman"/>
                <w:color w:val="000000" w:themeColor="text1"/>
                <w:sz w:val="18"/>
                <w:szCs w:val="18"/>
              </w:rPr>
            </w:pPr>
          </w:p>
          <w:p w14:paraId="52A4C855" w14:textId="7B0176F2" w:rsidR="00D80C34" w:rsidRPr="00DD6A7A" w:rsidRDefault="00D80C34" w:rsidP="006246FC">
            <w:pPr>
              <w:jc w:val="both"/>
              <w:rPr>
                <w:rFonts w:ascii="Times New Roman" w:hAnsi="Times New Roman"/>
                <w:bCs/>
                <w:color w:val="000000" w:themeColor="text1"/>
                <w:sz w:val="18"/>
                <w:szCs w:val="18"/>
                <w:lang w:val="ro-RO"/>
              </w:rPr>
            </w:pPr>
            <w:r w:rsidRPr="00DD6A7A">
              <w:rPr>
                <w:rFonts w:ascii="Times New Roman" w:hAnsi="Times New Roman"/>
                <w:bCs/>
                <w:color w:val="000000" w:themeColor="text1"/>
                <w:sz w:val="18"/>
                <w:szCs w:val="18"/>
                <w:lang w:val="ro-RO"/>
              </w:rPr>
              <w:t>Legea nr.133 din 08.07.2011 privind protecția datelor cu caracter personal</w:t>
            </w:r>
            <w:r w:rsidR="00893B85">
              <w:rPr>
                <w:rFonts w:ascii="Times New Roman" w:hAnsi="Times New Roman"/>
                <w:bCs/>
                <w:color w:val="000000" w:themeColor="text1"/>
                <w:sz w:val="18"/>
                <w:szCs w:val="18"/>
                <w:lang w:val="ro-RO"/>
              </w:rPr>
              <w:t>;</w:t>
            </w:r>
            <w:r w:rsidRPr="00DD6A7A">
              <w:rPr>
                <w:rFonts w:ascii="Times New Roman" w:hAnsi="Times New Roman"/>
                <w:bCs/>
                <w:color w:val="000000" w:themeColor="text1"/>
                <w:sz w:val="18"/>
                <w:szCs w:val="18"/>
                <w:lang w:val="ro-RO"/>
              </w:rPr>
              <w:t xml:space="preserve"> </w:t>
            </w:r>
          </w:p>
          <w:p w14:paraId="16A650C7" w14:textId="77777777" w:rsidR="00D80C34" w:rsidRPr="00DD6A7A" w:rsidRDefault="00D80C34" w:rsidP="006246FC">
            <w:pPr>
              <w:pStyle w:val="FootnoteText"/>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eastAsia="ro-RO" w:bidi="ro-RO"/>
              </w:rPr>
              <w:t xml:space="preserve">Acordul de Asociere la Uniunea Europeană </w:t>
            </w:r>
            <w:r w:rsidRPr="00DD6A7A">
              <w:rPr>
                <w:rFonts w:ascii="Times New Roman" w:hAnsi="Times New Roman"/>
                <w:color w:val="000000" w:themeColor="text1"/>
                <w:sz w:val="18"/>
                <w:szCs w:val="18"/>
                <w:lang w:val="ro-RO"/>
              </w:rPr>
              <w:t>şi Comunitatea Europeană a Energiei Atomice, ratificat prin Legea nr.112 din 02.07.2014.</w:t>
            </w:r>
          </w:p>
          <w:p w14:paraId="0575AB5A" w14:textId="55173A03" w:rsidR="00D80C34" w:rsidRPr="00DD6A7A" w:rsidRDefault="00D80C34" w:rsidP="006246FC">
            <w:pPr>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Titlul III Justiție, libertate și securitate, art. 13 „Protecția datelor cu caracter personal</w:t>
            </w:r>
            <w:r w:rsidR="00893B85">
              <w:rPr>
                <w:rFonts w:ascii="Times New Roman" w:hAnsi="Times New Roman"/>
                <w:color w:val="000000" w:themeColor="text1"/>
                <w:sz w:val="18"/>
                <w:szCs w:val="18"/>
                <w:lang w:val="ro-RO"/>
              </w:rPr>
              <w:t>”</w:t>
            </w:r>
            <w:r w:rsidRPr="00DD6A7A">
              <w:rPr>
                <w:rFonts w:ascii="Times New Roman" w:hAnsi="Times New Roman"/>
                <w:color w:val="000000" w:themeColor="text1"/>
                <w:sz w:val="18"/>
                <w:szCs w:val="18"/>
                <w:lang w:val="ro-RO"/>
              </w:rPr>
              <w:t xml:space="preserve">  din Planul național de acțiuni pentru implementarea Acordului de Asociere Republica Moldova - Uniunea Europeană în perioada 2014-2016, aprobat prin Hotărârea Guvernului nr.808 din 07.10.2014; Titlul III Justiție, libertate și securitate, art.13 „Protecția datelor cu caracter personal” din Planul național de acțiuni pentru implementarea Acordului de Asociere Republica Moldova - Uniunea Europeană în perioada 2017-2019, aprobat prin Hotărârea Guvernului nr.1472 din 30.12.2016.</w:t>
            </w:r>
          </w:p>
          <w:p w14:paraId="0E3B52FF" w14:textId="77777777" w:rsidR="00D80C34" w:rsidRPr="00DD6A7A" w:rsidRDefault="00D80C34" w:rsidP="006246FC">
            <w:pPr>
              <w:jc w:val="both"/>
              <w:rPr>
                <w:rFonts w:ascii="Times New Roman" w:hAnsi="Times New Roman"/>
                <w:color w:val="000000" w:themeColor="text1"/>
                <w:sz w:val="18"/>
                <w:szCs w:val="18"/>
              </w:rPr>
            </w:pPr>
            <w:r w:rsidRPr="00DD6A7A">
              <w:rPr>
                <w:rFonts w:ascii="Times New Roman" w:eastAsia="Times New Roman" w:hAnsi="Times New Roman"/>
                <w:bCs/>
                <w:color w:val="000000" w:themeColor="text1"/>
                <w:sz w:val="18"/>
                <w:szCs w:val="18"/>
                <w:lang w:val="ro-RO"/>
              </w:rPr>
              <w:t>Legea pentru aprobarea Strategiei naționale în domeniul protecției datelor cu caracter personal pentru anii 2013-2018 și a Planului de acțiuni privind implementarea acesteia nr.229  din  10.10.2013.</w:t>
            </w:r>
          </w:p>
          <w:p w14:paraId="14EBB610" w14:textId="709C366E" w:rsidR="00D80C34" w:rsidRPr="00DD6A7A" w:rsidRDefault="00D80C34" w:rsidP="006246FC">
            <w:pPr>
              <w:pStyle w:val="FootnoteText"/>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lastRenderedPageBreak/>
              <w:t>Regulamentul (UE) 679/2016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continuare - Regulamentul (UE) 679/2016 al Parlamentului European și al Consiliului din 27 aprilie 2016); Directiva (UE) 2016/680 a Parlamentului European și a Consiliului din 27 aprilie 2016 privind protecția persoanelor fizice referitoare la prelucrarea datelor cu caracter personal de către autoritățile competente în scopul prevenirii, depistării, investigării sau urmăririi penale a infracțiunilor sau al executării pedepselor și privind libera circulație a acestor date și de abrogare a Deciziei-Cadru 2008/977/JAI a Consiliului</w:t>
            </w:r>
            <w:r w:rsidR="00B11743">
              <w:rPr>
                <w:rFonts w:ascii="Times New Roman" w:hAnsi="Times New Roman"/>
                <w:color w:val="000000" w:themeColor="text1"/>
                <w:sz w:val="18"/>
                <w:szCs w:val="18"/>
                <w:lang w:val="ro-RO"/>
              </w:rPr>
              <w:t xml:space="preserve"> </w:t>
            </w:r>
            <w:r w:rsidRPr="00DD6A7A">
              <w:rPr>
                <w:rFonts w:ascii="Times New Roman" w:hAnsi="Times New Roman"/>
                <w:color w:val="000000" w:themeColor="text1"/>
                <w:sz w:val="18"/>
                <w:szCs w:val="18"/>
                <w:lang w:val="ro-RO"/>
              </w:rPr>
              <w:t>(în continuare -  Directiva (UE) 2016/680 a Parlamentului European și a Consiliului din 27 aprilie 2016).</w:t>
            </w:r>
          </w:p>
        </w:tc>
        <w:tc>
          <w:tcPr>
            <w:tcW w:w="3060" w:type="dxa"/>
          </w:tcPr>
          <w:p w14:paraId="31B44AD9" w14:textId="33E10DE0" w:rsidR="00D80C34" w:rsidRPr="00DD6A7A" w:rsidRDefault="00D80C34" w:rsidP="006246FC">
            <w:pPr>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lastRenderedPageBreak/>
              <w:t>-</w:t>
            </w:r>
            <w:r w:rsidR="00B11743">
              <w:rPr>
                <w:rFonts w:ascii="Times New Roman" w:hAnsi="Times New Roman"/>
                <w:color w:val="000000" w:themeColor="text1"/>
                <w:sz w:val="18"/>
                <w:szCs w:val="18"/>
                <w:lang w:val="ro-RO"/>
              </w:rPr>
              <w:t xml:space="preserve"> </w:t>
            </w:r>
            <w:r w:rsidRPr="00DD6A7A">
              <w:rPr>
                <w:rFonts w:ascii="Times New Roman" w:hAnsi="Times New Roman"/>
                <w:color w:val="000000" w:themeColor="text1"/>
                <w:sz w:val="18"/>
                <w:szCs w:val="18"/>
                <w:lang w:val="ro-RO"/>
              </w:rPr>
              <w:t xml:space="preserve">analiza  procesului de elaborare a proiectului de buget al </w:t>
            </w:r>
            <w:r w:rsidR="00804787" w:rsidRPr="00DD6A7A">
              <w:rPr>
                <w:rFonts w:ascii="Times New Roman" w:hAnsi="Times New Roman"/>
                <w:color w:val="000000" w:themeColor="text1"/>
                <w:sz w:val="18"/>
                <w:szCs w:val="18"/>
                <w:lang w:val="ro-RO"/>
              </w:rPr>
              <w:t>CNPDCP</w:t>
            </w:r>
            <w:r w:rsidRPr="00DD6A7A">
              <w:rPr>
                <w:rFonts w:ascii="Times New Roman" w:hAnsi="Times New Roman"/>
                <w:color w:val="000000" w:themeColor="text1"/>
                <w:sz w:val="18"/>
                <w:szCs w:val="18"/>
                <w:lang w:val="ro-RO"/>
              </w:rPr>
              <w:t>, în speță a:</w:t>
            </w:r>
          </w:p>
          <w:p w14:paraId="6CA821CC" w14:textId="5BDE2436" w:rsidR="00D80C34" w:rsidRPr="00DD6A7A" w:rsidRDefault="00D80C34" w:rsidP="006246FC">
            <w:pPr>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 xml:space="preserve">- documentelor care au stat la baza elaborării proiectului de buget al </w:t>
            </w:r>
            <w:r w:rsidRPr="00DD6A7A">
              <w:rPr>
                <w:rFonts w:ascii="Times New Roman" w:hAnsi="Times New Roman"/>
                <w:color w:val="000000" w:themeColor="text1"/>
                <w:sz w:val="18"/>
                <w:szCs w:val="18"/>
              </w:rPr>
              <w:t>CNPDCP</w:t>
            </w:r>
            <w:r w:rsidRPr="00DD6A7A">
              <w:rPr>
                <w:rFonts w:ascii="Times New Roman" w:hAnsi="Times New Roman"/>
                <w:color w:val="000000" w:themeColor="text1"/>
                <w:sz w:val="18"/>
                <w:szCs w:val="18"/>
                <w:lang w:val="ro-RO"/>
              </w:rPr>
              <w:t xml:space="preserve"> pe anii 2018-2022 și comunicarea instituției cu MF pe marginea acestuia; </w:t>
            </w:r>
          </w:p>
          <w:p w14:paraId="09258D71" w14:textId="77777777" w:rsidR="00D80C34" w:rsidRPr="00DD6A7A" w:rsidRDefault="00D80C34" w:rsidP="006246FC">
            <w:pPr>
              <w:spacing w:line="276" w:lineRule="auto"/>
              <w:ind w:right="35"/>
              <w:jc w:val="both"/>
              <w:rPr>
                <w:rFonts w:ascii="Times New Roman" w:hAnsi="Times New Roman"/>
                <w:color w:val="000000" w:themeColor="text1"/>
                <w:sz w:val="18"/>
                <w:szCs w:val="18"/>
                <w:lang w:val="ro-RO"/>
              </w:rPr>
            </w:pPr>
          </w:p>
          <w:p w14:paraId="00AFE51F" w14:textId="77777777" w:rsidR="00D80C34" w:rsidRPr="00DD6A7A" w:rsidRDefault="00D80C34" w:rsidP="006246FC">
            <w:pPr>
              <w:spacing w:line="276" w:lineRule="auto"/>
              <w:ind w:right="35"/>
              <w:jc w:val="both"/>
              <w:rPr>
                <w:rFonts w:ascii="Times New Roman" w:hAnsi="Times New Roman"/>
                <w:color w:val="000000" w:themeColor="text1"/>
                <w:sz w:val="18"/>
                <w:szCs w:val="18"/>
                <w:lang w:val="ro-RO"/>
              </w:rPr>
            </w:pPr>
          </w:p>
          <w:p w14:paraId="76F58B28" w14:textId="77777777" w:rsidR="00D80C34" w:rsidRPr="00DD6A7A" w:rsidRDefault="00D80C34" w:rsidP="006246FC">
            <w:pPr>
              <w:spacing w:line="276" w:lineRule="auto"/>
              <w:ind w:right="35"/>
              <w:jc w:val="both"/>
              <w:rPr>
                <w:rFonts w:ascii="Times New Roman" w:hAnsi="Times New Roman"/>
                <w:color w:val="000000" w:themeColor="text1"/>
                <w:sz w:val="18"/>
                <w:szCs w:val="18"/>
                <w:lang w:val="ro-RO"/>
              </w:rPr>
            </w:pPr>
          </w:p>
          <w:p w14:paraId="44E886E0" w14:textId="77777777" w:rsidR="00D80C34" w:rsidRPr="00DD6A7A" w:rsidRDefault="00D80C34" w:rsidP="006246FC">
            <w:pPr>
              <w:spacing w:line="276" w:lineRule="auto"/>
              <w:ind w:right="35"/>
              <w:jc w:val="both"/>
              <w:rPr>
                <w:rFonts w:ascii="Times New Roman" w:hAnsi="Times New Roman"/>
                <w:color w:val="000000" w:themeColor="text1"/>
                <w:sz w:val="18"/>
                <w:szCs w:val="18"/>
                <w:lang w:val="ro-RO"/>
              </w:rPr>
            </w:pPr>
          </w:p>
          <w:p w14:paraId="278B22CF" w14:textId="77777777" w:rsidR="00D80C34" w:rsidRPr="00DD6A7A" w:rsidRDefault="00D80C34" w:rsidP="006246FC">
            <w:pPr>
              <w:spacing w:line="276" w:lineRule="auto"/>
              <w:ind w:right="35"/>
              <w:jc w:val="both"/>
              <w:rPr>
                <w:rFonts w:ascii="Times New Roman" w:hAnsi="Times New Roman"/>
                <w:color w:val="000000" w:themeColor="text1"/>
                <w:sz w:val="18"/>
                <w:szCs w:val="18"/>
                <w:lang w:val="ro-RO"/>
              </w:rPr>
            </w:pPr>
          </w:p>
          <w:p w14:paraId="1FC3141A" w14:textId="5B967881" w:rsidR="00D80C34" w:rsidRPr="00DD6A7A" w:rsidRDefault="00D80C34" w:rsidP="006246FC">
            <w:pPr>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w:t>
            </w:r>
            <w:r w:rsidR="00B11743">
              <w:rPr>
                <w:rFonts w:ascii="Times New Roman" w:hAnsi="Times New Roman"/>
                <w:color w:val="000000" w:themeColor="text1"/>
                <w:sz w:val="18"/>
                <w:szCs w:val="18"/>
                <w:lang w:val="ro-RO"/>
              </w:rPr>
              <w:t xml:space="preserve"> </w:t>
            </w:r>
            <w:r w:rsidRPr="00DD6A7A">
              <w:rPr>
                <w:rFonts w:ascii="Times New Roman" w:hAnsi="Times New Roman"/>
                <w:color w:val="000000" w:themeColor="text1"/>
                <w:sz w:val="18"/>
                <w:szCs w:val="18"/>
                <w:lang w:val="ro-RO"/>
              </w:rPr>
              <w:t>analiza obiectivelor strategice și operaționale stabilite</w:t>
            </w:r>
            <w:r w:rsidR="00B11743">
              <w:rPr>
                <w:rFonts w:ascii="Times New Roman" w:hAnsi="Times New Roman"/>
                <w:color w:val="000000" w:themeColor="text1"/>
                <w:sz w:val="18"/>
                <w:szCs w:val="18"/>
                <w:lang w:val="ro-RO"/>
              </w:rPr>
              <w:t>;</w:t>
            </w:r>
          </w:p>
          <w:p w14:paraId="19E6E611" w14:textId="742023A6" w:rsidR="00D80C34" w:rsidRPr="00DD6A7A" w:rsidRDefault="00D80C34" w:rsidP="006246FC">
            <w:pPr>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w:t>
            </w:r>
            <w:r w:rsidR="00B11743">
              <w:rPr>
                <w:rFonts w:ascii="Times New Roman" w:hAnsi="Times New Roman"/>
                <w:color w:val="000000" w:themeColor="text1"/>
                <w:sz w:val="18"/>
                <w:szCs w:val="18"/>
                <w:lang w:val="ro-RO"/>
              </w:rPr>
              <w:t xml:space="preserve"> </w:t>
            </w:r>
            <w:r w:rsidRPr="00DD6A7A">
              <w:rPr>
                <w:rFonts w:ascii="Times New Roman" w:hAnsi="Times New Roman"/>
                <w:color w:val="000000" w:themeColor="text1"/>
                <w:sz w:val="18"/>
                <w:szCs w:val="18"/>
                <w:lang w:val="ro-RO"/>
              </w:rPr>
              <w:t>analiza indicatorilor de performanță aprobați și realizați, Raport de performanță Forma FD-053,  Rapoartele anuale de activitate</w:t>
            </w:r>
            <w:r w:rsidR="00B11743">
              <w:rPr>
                <w:rFonts w:ascii="Times New Roman" w:hAnsi="Times New Roman"/>
                <w:color w:val="000000" w:themeColor="text1"/>
                <w:sz w:val="18"/>
                <w:szCs w:val="18"/>
                <w:lang w:val="ro-RO"/>
              </w:rPr>
              <w:t>;</w:t>
            </w:r>
            <w:r w:rsidRPr="00DD6A7A">
              <w:rPr>
                <w:rFonts w:ascii="Times New Roman" w:hAnsi="Times New Roman"/>
                <w:color w:val="000000" w:themeColor="text1"/>
                <w:sz w:val="18"/>
                <w:szCs w:val="18"/>
                <w:lang w:val="ro-RO"/>
              </w:rPr>
              <w:t xml:space="preserve"> </w:t>
            </w:r>
          </w:p>
          <w:p w14:paraId="4A14CBA1" w14:textId="77777777" w:rsidR="00D80C34" w:rsidRPr="00DD6A7A" w:rsidRDefault="00D80C34" w:rsidP="006246FC">
            <w:pPr>
              <w:jc w:val="both"/>
              <w:rPr>
                <w:rFonts w:ascii="Times New Roman" w:hAnsi="Times New Roman"/>
                <w:color w:val="000000" w:themeColor="text1"/>
                <w:sz w:val="18"/>
                <w:szCs w:val="18"/>
                <w:lang w:val="ro-RO"/>
              </w:rPr>
            </w:pPr>
          </w:p>
          <w:p w14:paraId="1AD4B4D6" w14:textId="77777777" w:rsidR="00D80C34" w:rsidRPr="00DD6A7A" w:rsidRDefault="00D80C34" w:rsidP="006246FC">
            <w:pPr>
              <w:jc w:val="both"/>
              <w:rPr>
                <w:rFonts w:ascii="Times New Roman" w:hAnsi="Times New Roman"/>
                <w:color w:val="000000" w:themeColor="text1"/>
                <w:sz w:val="18"/>
                <w:szCs w:val="18"/>
                <w:lang w:val="ro-RO"/>
              </w:rPr>
            </w:pPr>
          </w:p>
          <w:p w14:paraId="6D2A24F2" w14:textId="77777777" w:rsidR="00D80C34" w:rsidRPr="00DD6A7A" w:rsidRDefault="00D80C34" w:rsidP="006246FC">
            <w:pPr>
              <w:jc w:val="both"/>
              <w:rPr>
                <w:rFonts w:ascii="Times New Roman" w:hAnsi="Times New Roman"/>
                <w:color w:val="000000" w:themeColor="text1"/>
                <w:sz w:val="18"/>
                <w:szCs w:val="18"/>
                <w:lang w:val="ro-RO"/>
              </w:rPr>
            </w:pPr>
          </w:p>
          <w:p w14:paraId="04D84264" w14:textId="77777777" w:rsidR="00D80C34" w:rsidRPr="00DD6A7A" w:rsidRDefault="00D80C34" w:rsidP="006246FC">
            <w:pPr>
              <w:jc w:val="both"/>
              <w:rPr>
                <w:rFonts w:ascii="Times New Roman" w:hAnsi="Times New Roman"/>
                <w:color w:val="000000" w:themeColor="text1"/>
                <w:sz w:val="18"/>
                <w:szCs w:val="18"/>
                <w:lang w:val="ro-RO"/>
              </w:rPr>
            </w:pPr>
          </w:p>
          <w:p w14:paraId="7777AE26" w14:textId="77777777" w:rsidR="00D80C34" w:rsidRPr="00DD6A7A" w:rsidRDefault="00D80C34" w:rsidP="006246FC">
            <w:pPr>
              <w:jc w:val="both"/>
              <w:rPr>
                <w:rFonts w:ascii="Times New Roman" w:hAnsi="Times New Roman"/>
                <w:color w:val="000000" w:themeColor="text1"/>
                <w:sz w:val="18"/>
                <w:szCs w:val="18"/>
                <w:lang w:val="ro-RO"/>
              </w:rPr>
            </w:pPr>
          </w:p>
          <w:p w14:paraId="4560CE02" w14:textId="77777777" w:rsidR="00D80C34" w:rsidRPr="00DD6A7A" w:rsidRDefault="00D80C34" w:rsidP="006246FC">
            <w:pPr>
              <w:jc w:val="both"/>
              <w:rPr>
                <w:rFonts w:ascii="Times New Roman" w:hAnsi="Times New Roman"/>
                <w:color w:val="000000" w:themeColor="text1"/>
                <w:sz w:val="18"/>
                <w:szCs w:val="18"/>
                <w:lang w:val="ro-RO"/>
              </w:rPr>
            </w:pPr>
          </w:p>
          <w:p w14:paraId="2DCBF347" w14:textId="77777777" w:rsidR="00D80C34" w:rsidRPr="00DD6A7A" w:rsidRDefault="00D80C34" w:rsidP="006246FC">
            <w:pPr>
              <w:jc w:val="both"/>
              <w:rPr>
                <w:rFonts w:ascii="Times New Roman" w:hAnsi="Times New Roman"/>
                <w:color w:val="000000" w:themeColor="text1"/>
                <w:sz w:val="18"/>
                <w:szCs w:val="18"/>
                <w:lang w:val="ro-RO"/>
              </w:rPr>
            </w:pPr>
          </w:p>
          <w:p w14:paraId="0440A863" w14:textId="77777777" w:rsidR="00D80C34" w:rsidRPr="00DD6A7A" w:rsidRDefault="00D80C34" w:rsidP="006246FC">
            <w:pPr>
              <w:jc w:val="both"/>
              <w:rPr>
                <w:rFonts w:ascii="Times New Roman" w:hAnsi="Times New Roman"/>
                <w:color w:val="000000" w:themeColor="text1"/>
                <w:sz w:val="18"/>
                <w:szCs w:val="18"/>
                <w:lang w:val="ro-RO"/>
              </w:rPr>
            </w:pPr>
          </w:p>
          <w:p w14:paraId="3F889D48" w14:textId="77777777" w:rsidR="00D80C34" w:rsidRPr="00DD6A7A" w:rsidRDefault="00D80C34" w:rsidP="006246FC">
            <w:pPr>
              <w:jc w:val="both"/>
              <w:rPr>
                <w:rFonts w:ascii="Times New Roman" w:hAnsi="Times New Roman"/>
                <w:color w:val="000000" w:themeColor="text1"/>
                <w:sz w:val="18"/>
                <w:szCs w:val="18"/>
                <w:lang w:val="ro-RO"/>
              </w:rPr>
            </w:pPr>
          </w:p>
          <w:p w14:paraId="77069949" w14:textId="77777777" w:rsidR="00D80C34" w:rsidRPr="00DD6A7A" w:rsidRDefault="00D80C34" w:rsidP="006246FC">
            <w:pPr>
              <w:jc w:val="both"/>
              <w:rPr>
                <w:rFonts w:ascii="Times New Roman" w:hAnsi="Times New Roman"/>
                <w:color w:val="000000" w:themeColor="text1"/>
                <w:sz w:val="18"/>
                <w:szCs w:val="18"/>
                <w:lang w:val="ro-RO"/>
              </w:rPr>
            </w:pPr>
          </w:p>
          <w:p w14:paraId="53338652" w14:textId="77777777" w:rsidR="00D80C34" w:rsidRPr="00DD6A7A" w:rsidRDefault="00D80C34" w:rsidP="006246FC">
            <w:pPr>
              <w:jc w:val="both"/>
              <w:rPr>
                <w:rFonts w:ascii="Times New Roman" w:hAnsi="Times New Roman"/>
                <w:color w:val="000000" w:themeColor="text1"/>
                <w:sz w:val="18"/>
                <w:szCs w:val="18"/>
                <w:lang w:val="ro-RO"/>
              </w:rPr>
            </w:pPr>
          </w:p>
          <w:p w14:paraId="7AB4DAEA" w14:textId="77777777" w:rsidR="00D80C34" w:rsidRPr="00DD6A7A" w:rsidRDefault="00D80C34" w:rsidP="006246FC">
            <w:pPr>
              <w:jc w:val="both"/>
              <w:rPr>
                <w:rFonts w:ascii="Times New Roman" w:hAnsi="Times New Roman"/>
                <w:color w:val="000000" w:themeColor="text1"/>
                <w:sz w:val="18"/>
                <w:szCs w:val="18"/>
                <w:lang w:val="ro-RO"/>
              </w:rPr>
            </w:pPr>
          </w:p>
          <w:p w14:paraId="073F4F21" w14:textId="1B23E8C0" w:rsidR="00D80C34" w:rsidRPr="0077171B" w:rsidRDefault="00B11743" w:rsidP="00B11743">
            <w:pPr>
              <w:jc w:val="both"/>
              <w:rPr>
                <w:rFonts w:ascii="Times New Roman" w:hAnsi="Times New Roman"/>
                <w:color w:val="000000" w:themeColor="text1"/>
                <w:sz w:val="18"/>
                <w:szCs w:val="18"/>
                <w:lang w:val="ro-RO"/>
              </w:rPr>
            </w:pPr>
            <w:r>
              <w:rPr>
                <w:rFonts w:ascii="Times New Roman" w:hAnsi="Times New Roman"/>
                <w:color w:val="000000" w:themeColor="text1"/>
                <w:sz w:val="18"/>
                <w:szCs w:val="18"/>
                <w:lang w:val="ro-RO"/>
              </w:rPr>
              <w:t xml:space="preserve"> </w:t>
            </w:r>
            <w:r w:rsidR="00D80C34" w:rsidRPr="0077171B">
              <w:rPr>
                <w:rFonts w:ascii="Times New Roman" w:hAnsi="Times New Roman"/>
                <w:color w:val="000000" w:themeColor="text1"/>
                <w:sz w:val="18"/>
                <w:szCs w:val="18"/>
                <w:lang w:val="ro-RO"/>
              </w:rPr>
              <w:t>analiza documentelor de politici,  cadrului legal național și internațional de reglementare a protecției datelor cu caracter personal, obiective asumate prin Acordul de asociere RM-UE în raport cu indicatorii  realiza</w:t>
            </w:r>
            <w:r>
              <w:rPr>
                <w:rFonts w:ascii="Times New Roman" w:hAnsi="Times New Roman"/>
                <w:color w:val="000000" w:themeColor="text1"/>
                <w:sz w:val="18"/>
                <w:szCs w:val="18"/>
                <w:lang w:val="ro-RO"/>
              </w:rPr>
              <w:t>ți</w:t>
            </w:r>
            <w:r w:rsidR="00D80C34" w:rsidRPr="0077171B">
              <w:rPr>
                <w:rFonts w:ascii="Times New Roman" w:hAnsi="Times New Roman"/>
                <w:color w:val="000000" w:themeColor="text1"/>
                <w:sz w:val="18"/>
                <w:szCs w:val="18"/>
                <w:lang w:val="ro-RO"/>
              </w:rPr>
              <w:t>.</w:t>
            </w:r>
          </w:p>
        </w:tc>
        <w:tc>
          <w:tcPr>
            <w:tcW w:w="1800" w:type="dxa"/>
          </w:tcPr>
          <w:p w14:paraId="22CB4BE1"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 xml:space="preserve"> 100% </w:t>
            </w:r>
          </w:p>
          <w:p w14:paraId="6C2AB4A0"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Toate documentele aferente propunerilor de buget, rectificările, redistribuirile, executarea alocațiilor pentru anii 2018-2022.</w:t>
            </w:r>
          </w:p>
          <w:p w14:paraId="3D605FAD" w14:textId="77777777" w:rsidR="00D80C34" w:rsidRPr="00DD6A7A" w:rsidRDefault="00D80C34" w:rsidP="006246FC">
            <w:pPr>
              <w:jc w:val="both"/>
              <w:rPr>
                <w:rFonts w:ascii="Times New Roman" w:hAnsi="Times New Roman"/>
                <w:color w:val="000000" w:themeColor="text1"/>
                <w:sz w:val="18"/>
                <w:szCs w:val="18"/>
                <w:lang w:val="ro-RO"/>
              </w:rPr>
            </w:pPr>
          </w:p>
          <w:p w14:paraId="35434BEF" w14:textId="77777777" w:rsidR="00D80C34" w:rsidRPr="00DD6A7A" w:rsidRDefault="00D80C34" w:rsidP="006246FC">
            <w:pPr>
              <w:jc w:val="both"/>
              <w:rPr>
                <w:rFonts w:ascii="Times New Roman" w:hAnsi="Times New Roman"/>
                <w:color w:val="000000" w:themeColor="text1"/>
                <w:sz w:val="18"/>
                <w:szCs w:val="18"/>
                <w:lang w:val="ro-RO"/>
              </w:rPr>
            </w:pPr>
          </w:p>
          <w:p w14:paraId="71C4F2BA" w14:textId="77777777" w:rsidR="00D80C34" w:rsidRPr="00DD6A7A" w:rsidRDefault="00D80C34" w:rsidP="006246FC">
            <w:pPr>
              <w:jc w:val="both"/>
              <w:rPr>
                <w:rFonts w:ascii="Times New Roman" w:hAnsi="Times New Roman"/>
                <w:color w:val="000000" w:themeColor="text1"/>
                <w:sz w:val="18"/>
                <w:szCs w:val="18"/>
                <w:lang w:val="ro-RO"/>
              </w:rPr>
            </w:pPr>
          </w:p>
          <w:p w14:paraId="2BA0C0C8" w14:textId="77777777" w:rsidR="00D80C34" w:rsidRPr="00DD6A7A" w:rsidRDefault="00D80C34" w:rsidP="006246FC">
            <w:pPr>
              <w:jc w:val="both"/>
              <w:rPr>
                <w:rFonts w:ascii="Times New Roman" w:hAnsi="Times New Roman"/>
                <w:color w:val="000000" w:themeColor="text1"/>
                <w:sz w:val="18"/>
                <w:szCs w:val="18"/>
                <w:lang w:val="ro-RO"/>
              </w:rPr>
            </w:pPr>
          </w:p>
          <w:p w14:paraId="51109232" w14:textId="77777777" w:rsidR="00D80C34" w:rsidRPr="00DD6A7A" w:rsidRDefault="00D80C34" w:rsidP="006246FC">
            <w:pPr>
              <w:jc w:val="both"/>
              <w:rPr>
                <w:rFonts w:ascii="Times New Roman" w:hAnsi="Times New Roman"/>
                <w:color w:val="000000" w:themeColor="text1"/>
                <w:sz w:val="18"/>
                <w:szCs w:val="18"/>
                <w:lang w:val="ro-RO"/>
              </w:rPr>
            </w:pPr>
          </w:p>
          <w:p w14:paraId="03C56454" w14:textId="77777777" w:rsidR="00D80C34" w:rsidRPr="00DD6A7A" w:rsidRDefault="00D80C34" w:rsidP="006246FC">
            <w:pPr>
              <w:jc w:val="both"/>
              <w:rPr>
                <w:rFonts w:ascii="Times New Roman" w:hAnsi="Times New Roman"/>
                <w:color w:val="000000" w:themeColor="text1"/>
                <w:sz w:val="18"/>
                <w:szCs w:val="18"/>
                <w:lang w:val="ro-RO"/>
              </w:rPr>
            </w:pPr>
          </w:p>
          <w:p w14:paraId="46A6AE07" w14:textId="1B0E66DF" w:rsidR="00D80C34" w:rsidRPr="00DD6A7A" w:rsidRDefault="00D80C34" w:rsidP="006246FC">
            <w:pPr>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100% din obiectivele și indicatorii de performanță aprobați și realizați.</w:t>
            </w:r>
          </w:p>
          <w:p w14:paraId="036F0F46" w14:textId="77777777" w:rsidR="00D80C34" w:rsidRPr="00DD6A7A" w:rsidRDefault="00D80C34" w:rsidP="006246FC">
            <w:pPr>
              <w:jc w:val="both"/>
              <w:rPr>
                <w:rFonts w:ascii="Times New Roman" w:hAnsi="Times New Roman"/>
                <w:color w:val="000000" w:themeColor="text1"/>
                <w:sz w:val="18"/>
                <w:szCs w:val="18"/>
                <w:lang w:val="ro-RO"/>
              </w:rPr>
            </w:pPr>
          </w:p>
          <w:p w14:paraId="56A9A3E8" w14:textId="77777777" w:rsidR="00D80C34" w:rsidRPr="00DD6A7A" w:rsidRDefault="00D80C34" w:rsidP="006246FC">
            <w:pPr>
              <w:jc w:val="both"/>
              <w:rPr>
                <w:rFonts w:ascii="Times New Roman" w:hAnsi="Times New Roman"/>
                <w:color w:val="000000" w:themeColor="text1"/>
                <w:sz w:val="18"/>
                <w:szCs w:val="18"/>
                <w:lang w:val="ro-RO"/>
              </w:rPr>
            </w:pPr>
          </w:p>
          <w:p w14:paraId="4501CCF4" w14:textId="77777777" w:rsidR="00D80C34" w:rsidRPr="00DD6A7A" w:rsidRDefault="00D80C34" w:rsidP="006246FC">
            <w:pPr>
              <w:jc w:val="both"/>
              <w:rPr>
                <w:rFonts w:ascii="Times New Roman" w:hAnsi="Times New Roman"/>
                <w:color w:val="000000" w:themeColor="text1"/>
                <w:sz w:val="18"/>
                <w:szCs w:val="18"/>
                <w:lang w:val="ro-RO"/>
              </w:rPr>
            </w:pPr>
          </w:p>
          <w:p w14:paraId="71208607" w14:textId="77777777" w:rsidR="00D80C34" w:rsidRPr="00DD6A7A" w:rsidRDefault="00D80C34" w:rsidP="006246FC">
            <w:pPr>
              <w:jc w:val="both"/>
              <w:rPr>
                <w:rFonts w:ascii="Times New Roman" w:hAnsi="Times New Roman"/>
                <w:color w:val="000000" w:themeColor="text1"/>
                <w:sz w:val="18"/>
                <w:szCs w:val="18"/>
                <w:lang w:val="ro-RO"/>
              </w:rPr>
            </w:pPr>
          </w:p>
          <w:p w14:paraId="07C2AF23" w14:textId="77777777" w:rsidR="00D80C34" w:rsidRPr="00DD6A7A" w:rsidRDefault="00D80C34" w:rsidP="006246FC">
            <w:pPr>
              <w:jc w:val="both"/>
              <w:rPr>
                <w:rFonts w:ascii="Times New Roman" w:hAnsi="Times New Roman"/>
                <w:color w:val="000000" w:themeColor="text1"/>
                <w:sz w:val="18"/>
                <w:szCs w:val="18"/>
                <w:lang w:val="ro-RO"/>
              </w:rPr>
            </w:pPr>
          </w:p>
          <w:p w14:paraId="52C5771A" w14:textId="77777777" w:rsidR="00D80C34" w:rsidRPr="00DD6A7A" w:rsidRDefault="00D80C34" w:rsidP="006246FC">
            <w:pPr>
              <w:jc w:val="both"/>
              <w:rPr>
                <w:rFonts w:ascii="Times New Roman" w:hAnsi="Times New Roman"/>
                <w:color w:val="000000" w:themeColor="text1"/>
                <w:sz w:val="18"/>
                <w:szCs w:val="18"/>
                <w:lang w:val="ro-RO"/>
              </w:rPr>
            </w:pPr>
          </w:p>
          <w:p w14:paraId="7C7712C8" w14:textId="77777777" w:rsidR="00D80C34" w:rsidRPr="00DD6A7A" w:rsidRDefault="00D80C34" w:rsidP="006246FC">
            <w:pPr>
              <w:jc w:val="both"/>
              <w:rPr>
                <w:rFonts w:ascii="Times New Roman" w:hAnsi="Times New Roman"/>
                <w:color w:val="000000" w:themeColor="text1"/>
                <w:sz w:val="18"/>
                <w:szCs w:val="18"/>
                <w:lang w:val="ro-RO"/>
              </w:rPr>
            </w:pPr>
          </w:p>
          <w:p w14:paraId="7F1889E6" w14:textId="77777777" w:rsidR="00D80C34" w:rsidRPr="00DD6A7A" w:rsidRDefault="00D80C34" w:rsidP="006246FC">
            <w:pPr>
              <w:jc w:val="both"/>
              <w:rPr>
                <w:rFonts w:ascii="Times New Roman" w:hAnsi="Times New Roman"/>
                <w:color w:val="000000" w:themeColor="text1"/>
                <w:sz w:val="18"/>
                <w:szCs w:val="18"/>
                <w:lang w:val="ro-RO"/>
              </w:rPr>
            </w:pPr>
          </w:p>
          <w:p w14:paraId="6B6F3782" w14:textId="77777777" w:rsidR="00D80C34" w:rsidRPr="00DD6A7A" w:rsidRDefault="00D80C34" w:rsidP="006246FC">
            <w:pPr>
              <w:jc w:val="both"/>
              <w:rPr>
                <w:rFonts w:ascii="Times New Roman" w:hAnsi="Times New Roman"/>
                <w:color w:val="000000" w:themeColor="text1"/>
                <w:sz w:val="18"/>
                <w:szCs w:val="18"/>
                <w:lang w:val="ro-RO"/>
              </w:rPr>
            </w:pPr>
          </w:p>
          <w:p w14:paraId="24B17947" w14:textId="77777777" w:rsidR="00D80C34" w:rsidRPr="00DD6A7A" w:rsidRDefault="00D80C34" w:rsidP="006246FC">
            <w:pPr>
              <w:jc w:val="both"/>
              <w:rPr>
                <w:rFonts w:ascii="Times New Roman" w:hAnsi="Times New Roman"/>
                <w:color w:val="000000" w:themeColor="text1"/>
                <w:sz w:val="18"/>
                <w:szCs w:val="18"/>
                <w:lang w:val="ro-RO"/>
              </w:rPr>
            </w:pPr>
          </w:p>
          <w:p w14:paraId="478666CB" w14:textId="77777777" w:rsidR="00D80C34" w:rsidRPr="00DD6A7A" w:rsidRDefault="00D80C34" w:rsidP="006246FC">
            <w:pPr>
              <w:jc w:val="both"/>
              <w:rPr>
                <w:rFonts w:ascii="Times New Roman" w:hAnsi="Times New Roman"/>
                <w:color w:val="000000" w:themeColor="text1"/>
                <w:sz w:val="18"/>
                <w:szCs w:val="18"/>
                <w:lang w:val="ro-RO"/>
              </w:rPr>
            </w:pPr>
          </w:p>
          <w:p w14:paraId="0A2256F6" w14:textId="77777777" w:rsidR="00D80C34" w:rsidRPr="00DD6A7A" w:rsidRDefault="00D80C34" w:rsidP="006246FC">
            <w:pPr>
              <w:jc w:val="both"/>
              <w:rPr>
                <w:rFonts w:ascii="Times New Roman" w:hAnsi="Times New Roman"/>
                <w:color w:val="000000" w:themeColor="text1"/>
                <w:sz w:val="18"/>
                <w:szCs w:val="18"/>
                <w:lang w:val="ro-RO"/>
              </w:rPr>
            </w:pPr>
          </w:p>
          <w:p w14:paraId="626ECD58" w14:textId="77777777" w:rsidR="00D80C34" w:rsidRPr="00DD6A7A" w:rsidRDefault="00D80C34" w:rsidP="006246FC">
            <w:pPr>
              <w:jc w:val="both"/>
              <w:rPr>
                <w:rFonts w:ascii="Times New Roman" w:hAnsi="Times New Roman"/>
                <w:color w:val="000000" w:themeColor="text1"/>
                <w:sz w:val="18"/>
                <w:szCs w:val="18"/>
                <w:lang w:val="ro-RO"/>
              </w:rPr>
            </w:pPr>
          </w:p>
          <w:p w14:paraId="4FC888BA" w14:textId="77777777" w:rsidR="00D80C34" w:rsidRPr="00DD6A7A" w:rsidRDefault="00D80C34" w:rsidP="006246FC">
            <w:pPr>
              <w:jc w:val="both"/>
              <w:rPr>
                <w:rFonts w:ascii="Times New Roman" w:hAnsi="Times New Roman"/>
                <w:color w:val="000000" w:themeColor="text1"/>
                <w:sz w:val="18"/>
                <w:szCs w:val="18"/>
                <w:lang w:val="ro-RO"/>
              </w:rPr>
            </w:pPr>
          </w:p>
          <w:p w14:paraId="5B3226A7" w14:textId="2A79332E" w:rsidR="00D80C34" w:rsidRPr="00DD6A7A" w:rsidRDefault="00D80C34" w:rsidP="00DC4D36">
            <w:pPr>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100% acte normative relevante pentru implementarea Acordului de asociere RM-UE pe segmentul protecției datelor cu caracter personal</w:t>
            </w:r>
          </w:p>
        </w:tc>
      </w:tr>
      <w:tr w:rsidR="00D80C34" w:rsidRPr="00DD6A7A" w14:paraId="24AAD8D9" w14:textId="77777777" w:rsidTr="000975E2">
        <w:trPr>
          <w:trHeight w:val="683"/>
        </w:trPr>
        <w:tc>
          <w:tcPr>
            <w:tcW w:w="9805" w:type="dxa"/>
            <w:gridSpan w:val="4"/>
            <w:vAlign w:val="center"/>
          </w:tcPr>
          <w:p w14:paraId="147341AA" w14:textId="49D091D2" w:rsidR="00D80C34" w:rsidRPr="00DD6A7A" w:rsidRDefault="00D80C34" w:rsidP="00DC4D36">
            <w:pPr>
              <w:spacing w:line="276" w:lineRule="auto"/>
              <w:jc w:val="both"/>
              <w:rPr>
                <w:rFonts w:ascii="Times New Roman" w:hAnsi="Times New Roman"/>
                <w:b/>
                <w:bCs/>
                <w:color w:val="000000" w:themeColor="text1"/>
                <w:sz w:val="18"/>
                <w:szCs w:val="18"/>
                <w:lang w:val="ro-RO"/>
              </w:rPr>
            </w:pPr>
            <w:r w:rsidRPr="00DD6A7A">
              <w:rPr>
                <w:rFonts w:ascii="Times New Roman" w:eastAsiaTheme="majorEastAsia" w:hAnsi="Times New Roman"/>
                <w:b/>
                <w:color w:val="000000" w:themeColor="text1"/>
                <w:sz w:val="18"/>
                <w:szCs w:val="18"/>
              </w:rPr>
              <w:t xml:space="preserve">OBIECTIVUL nr.2: CNPDCP </w:t>
            </w:r>
            <w:r w:rsidR="00B11743">
              <w:rPr>
                <w:rFonts w:ascii="Times New Roman" w:eastAsiaTheme="majorEastAsia" w:hAnsi="Times New Roman"/>
                <w:b/>
                <w:color w:val="000000" w:themeColor="text1"/>
                <w:sz w:val="18"/>
                <w:szCs w:val="18"/>
              </w:rPr>
              <w:t xml:space="preserve">dispune </w:t>
            </w:r>
            <w:r w:rsidRPr="00DD6A7A">
              <w:rPr>
                <w:rFonts w:ascii="Times New Roman" w:eastAsiaTheme="majorEastAsia" w:hAnsi="Times New Roman"/>
                <w:b/>
                <w:color w:val="000000" w:themeColor="text1"/>
                <w:sz w:val="18"/>
                <w:szCs w:val="18"/>
              </w:rPr>
              <w:t>de procese operaționale funcționale care să asigure valorificarea mijloacelor bugetare alocate instituției în conformitate cu principiile bunei guvernări?</w:t>
            </w:r>
          </w:p>
        </w:tc>
      </w:tr>
      <w:tr w:rsidR="00D80C34" w:rsidRPr="00DD6A7A" w14:paraId="2EB92E3E" w14:textId="77777777" w:rsidTr="000975E2">
        <w:trPr>
          <w:trHeight w:val="3779"/>
        </w:trPr>
        <w:tc>
          <w:tcPr>
            <w:tcW w:w="1975" w:type="dxa"/>
          </w:tcPr>
          <w:p w14:paraId="494DB840" w14:textId="443FC189" w:rsidR="00D80C34" w:rsidRPr="00DD6A7A" w:rsidRDefault="00D80C34" w:rsidP="006246FC">
            <w:pPr>
              <w:pStyle w:val="Default"/>
              <w:spacing w:after="120" w:line="276" w:lineRule="auto"/>
              <w:jc w:val="both"/>
              <w:rPr>
                <w:color w:val="000000" w:themeColor="text1"/>
                <w:sz w:val="18"/>
                <w:szCs w:val="18"/>
                <w:lang w:val="ro-RO"/>
              </w:rPr>
            </w:pPr>
            <w:bookmarkStart w:id="46" w:name="_Toc153442335"/>
            <w:r w:rsidRPr="00DD6A7A">
              <w:rPr>
                <w:color w:val="000000" w:themeColor="text1"/>
                <w:sz w:val="18"/>
                <w:szCs w:val="18"/>
                <w:lang w:val="ro-RO"/>
              </w:rPr>
              <w:t>4.2.1. CNPDCP în calitate de autoritate contractantă nu a asigurat respectarea condițiilor și principiilor de bază aplicate la planificarea achizițiilor publice</w:t>
            </w:r>
            <w:r w:rsidR="00B11743">
              <w:rPr>
                <w:color w:val="000000" w:themeColor="text1"/>
                <w:sz w:val="18"/>
                <w:szCs w:val="18"/>
                <w:lang w:val="ro-RO"/>
              </w:rPr>
              <w:t>,</w:t>
            </w:r>
            <w:r w:rsidRPr="00DD6A7A">
              <w:rPr>
                <w:bCs/>
                <w:noProof/>
                <w:color w:val="000000" w:themeColor="text1"/>
                <w:sz w:val="18"/>
                <w:szCs w:val="18"/>
                <w:lang w:val="ro-RO"/>
              </w:rPr>
              <w:t xml:space="preserve"> fiind atestate neconformități la </w:t>
            </w:r>
            <w:r w:rsidRPr="00DD6A7A">
              <w:rPr>
                <w:rFonts w:eastAsia="Times New Roman"/>
                <w:bCs/>
                <w:color w:val="000000" w:themeColor="text1"/>
                <w:sz w:val="18"/>
                <w:szCs w:val="18"/>
              </w:rPr>
              <w:t>utilizarea transparentă și eficientă a mijloacelor bugetare pentru achiziția bunurilor și serviciilor</w:t>
            </w:r>
            <w:r w:rsidRPr="00DD6A7A">
              <w:rPr>
                <w:color w:val="000000" w:themeColor="text1"/>
                <w:sz w:val="18"/>
                <w:szCs w:val="18"/>
                <w:lang w:val="ro-RO"/>
              </w:rPr>
              <w:t>.</w:t>
            </w:r>
            <w:bookmarkEnd w:id="46"/>
            <w:r w:rsidRPr="00DD6A7A">
              <w:rPr>
                <w:color w:val="000000" w:themeColor="text1"/>
                <w:sz w:val="18"/>
                <w:szCs w:val="18"/>
                <w:lang w:val="ro-RO"/>
              </w:rPr>
              <w:t xml:space="preserve"> </w:t>
            </w:r>
          </w:p>
          <w:p w14:paraId="45A24AAA"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7E17264F"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59259AA3"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12AA3576"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26D1A5F8"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53D8D41D"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404E3F24"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14D9236B"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69308374"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052FF334"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1B91C13F"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41AF5FEF"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000029B2"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214C4B49"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06F0FD27"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662C62F5"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4FDD4E22"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780B553A"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65D17AF8"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30676153"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090D6FD8"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638857E8"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00A14018"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45247FE8"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244BC10C"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0939BF88"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0775738A"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3FDE3246"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4A3B89A9"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691CF740"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174650CF"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7F96C0A7"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5569D45B"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5804937B"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429AA927"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42582458"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4A772261"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576EB7FB"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4D9502BB" w14:textId="77777777" w:rsidR="00D80C34" w:rsidRDefault="00D80C34" w:rsidP="006246FC">
            <w:pPr>
              <w:spacing w:line="276" w:lineRule="auto"/>
              <w:jc w:val="both"/>
              <w:rPr>
                <w:rFonts w:ascii="Times New Roman" w:hAnsi="Times New Roman"/>
                <w:color w:val="000000" w:themeColor="text1"/>
                <w:sz w:val="18"/>
                <w:szCs w:val="18"/>
                <w:lang w:val="ro-RO"/>
              </w:rPr>
            </w:pPr>
          </w:p>
          <w:p w14:paraId="6896A502" w14:textId="77777777" w:rsidR="00626ED2" w:rsidRDefault="00626ED2" w:rsidP="006246FC">
            <w:pPr>
              <w:spacing w:line="276" w:lineRule="auto"/>
              <w:jc w:val="both"/>
              <w:rPr>
                <w:rFonts w:ascii="Times New Roman" w:hAnsi="Times New Roman"/>
                <w:color w:val="000000" w:themeColor="text1"/>
                <w:sz w:val="18"/>
                <w:szCs w:val="18"/>
                <w:lang w:val="ro-RO"/>
              </w:rPr>
            </w:pPr>
          </w:p>
          <w:p w14:paraId="76453F33" w14:textId="77777777" w:rsidR="00626ED2" w:rsidRDefault="00626ED2" w:rsidP="006246FC">
            <w:pPr>
              <w:spacing w:line="276" w:lineRule="auto"/>
              <w:jc w:val="both"/>
              <w:rPr>
                <w:rFonts w:ascii="Times New Roman" w:hAnsi="Times New Roman"/>
                <w:color w:val="000000" w:themeColor="text1"/>
                <w:sz w:val="18"/>
                <w:szCs w:val="18"/>
                <w:lang w:val="ro-RO"/>
              </w:rPr>
            </w:pPr>
          </w:p>
          <w:p w14:paraId="599682EF" w14:textId="77777777" w:rsidR="00626ED2" w:rsidRPr="00DD6A7A" w:rsidRDefault="00626ED2" w:rsidP="006246FC">
            <w:pPr>
              <w:spacing w:line="276" w:lineRule="auto"/>
              <w:jc w:val="both"/>
              <w:rPr>
                <w:rFonts w:ascii="Times New Roman" w:hAnsi="Times New Roman"/>
                <w:color w:val="000000" w:themeColor="text1"/>
                <w:sz w:val="18"/>
                <w:szCs w:val="18"/>
                <w:lang w:val="ro-RO"/>
              </w:rPr>
            </w:pPr>
          </w:p>
          <w:p w14:paraId="7E29EAF4"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29279491" w14:textId="7D2340BB" w:rsidR="00D80C34" w:rsidRPr="00DD6A7A" w:rsidRDefault="00D80C34" w:rsidP="006246FC">
            <w:pPr>
              <w:spacing w:line="276" w:lineRule="auto"/>
              <w:jc w:val="both"/>
              <w:rPr>
                <w:rFonts w:ascii="Times New Roman" w:hAnsi="Times New Roman"/>
                <w:color w:val="000000" w:themeColor="text1"/>
                <w:sz w:val="18"/>
                <w:szCs w:val="18"/>
                <w:lang w:eastAsia="ru-RU"/>
              </w:rPr>
            </w:pPr>
            <w:r w:rsidRPr="00DD6A7A">
              <w:rPr>
                <w:rFonts w:ascii="Times New Roman" w:hAnsi="Times New Roman"/>
                <w:color w:val="000000" w:themeColor="text1"/>
                <w:sz w:val="18"/>
                <w:szCs w:val="18"/>
                <w:lang w:val="ro-RO"/>
              </w:rPr>
              <w:t xml:space="preserve">4.2.2. </w:t>
            </w:r>
            <w:r w:rsidRPr="00DD6A7A">
              <w:rPr>
                <w:rFonts w:ascii="Times New Roman" w:hAnsi="Times New Roman"/>
                <w:color w:val="000000" w:themeColor="text1"/>
                <w:sz w:val="18"/>
                <w:szCs w:val="18"/>
              </w:rPr>
              <w:t xml:space="preserve">La remunerarea muncii angajaților </w:t>
            </w:r>
            <w:r w:rsidRPr="00DD6A7A">
              <w:rPr>
                <w:rFonts w:ascii="Times New Roman" w:hAnsi="Times New Roman"/>
                <w:color w:val="000000" w:themeColor="text1"/>
                <w:sz w:val="18"/>
                <w:szCs w:val="18"/>
                <w:lang w:eastAsia="ru-RU"/>
              </w:rPr>
              <w:t xml:space="preserve">Centrului Național </w:t>
            </w:r>
            <w:r w:rsidR="003D45BE">
              <w:rPr>
                <w:rFonts w:ascii="Times New Roman" w:hAnsi="Times New Roman"/>
                <w:color w:val="000000" w:themeColor="text1"/>
                <w:sz w:val="18"/>
                <w:szCs w:val="18"/>
                <w:lang w:eastAsia="ru-RU"/>
              </w:rPr>
              <w:t>p</w:t>
            </w:r>
            <w:r w:rsidRPr="00DD6A7A">
              <w:rPr>
                <w:rFonts w:ascii="Times New Roman" w:hAnsi="Times New Roman"/>
                <w:color w:val="000000" w:themeColor="text1"/>
                <w:sz w:val="18"/>
                <w:szCs w:val="18"/>
                <w:lang w:eastAsia="ru-RU"/>
              </w:rPr>
              <w:t>entru Protecția Datelor cu Caracter Personal au fost admise unele neconformități.</w:t>
            </w:r>
          </w:p>
          <w:p w14:paraId="6E7B5750" w14:textId="77777777" w:rsidR="00D80C34" w:rsidRPr="00DD6A7A" w:rsidRDefault="00D80C34" w:rsidP="006246FC">
            <w:pPr>
              <w:spacing w:line="276" w:lineRule="auto"/>
              <w:jc w:val="both"/>
              <w:rPr>
                <w:rFonts w:ascii="Times New Roman" w:hAnsi="Times New Roman"/>
                <w:color w:val="000000" w:themeColor="text1"/>
                <w:sz w:val="18"/>
                <w:szCs w:val="18"/>
                <w:lang w:eastAsia="ru-RU"/>
              </w:rPr>
            </w:pPr>
          </w:p>
          <w:p w14:paraId="0CD193B3" w14:textId="77777777" w:rsidR="00D80C34" w:rsidRPr="00DD6A7A" w:rsidRDefault="00D80C34" w:rsidP="006246FC">
            <w:pPr>
              <w:spacing w:line="276" w:lineRule="auto"/>
              <w:jc w:val="both"/>
              <w:rPr>
                <w:rFonts w:ascii="Times New Roman" w:hAnsi="Times New Roman"/>
                <w:color w:val="000000" w:themeColor="text1"/>
                <w:sz w:val="18"/>
                <w:szCs w:val="18"/>
                <w:lang w:eastAsia="ru-RU"/>
              </w:rPr>
            </w:pPr>
          </w:p>
          <w:p w14:paraId="5F1BE26A" w14:textId="77777777" w:rsidR="00D80C34" w:rsidRPr="00DD6A7A" w:rsidRDefault="00D80C34" w:rsidP="006246FC">
            <w:pPr>
              <w:spacing w:line="276" w:lineRule="auto"/>
              <w:jc w:val="both"/>
              <w:rPr>
                <w:rFonts w:ascii="Times New Roman" w:hAnsi="Times New Roman"/>
                <w:color w:val="000000" w:themeColor="text1"/>
                <w:sz w:val="18"/>
                <w:szCs w:val="18"/>
                <w:lang w:eastAsia="ru-RU"/>
              </w:rPr>
            </w:pPr>
          </w:p>
          <w:p w14:paraId="4BC9D2AD" w14:textId="77777777" w:rsidR="00D80C34" w:rsidRPr="00DD6A7A" w:rsidRDefault="00D80C34" w:rsidP="006246FC">
            <w:pPr>
              <w:spacing w:line="276" w:lineRule="auto"/>
              <w:jc w:val="both"/>
              <w:rPr>
                <w:rFonts w:ascii="Times New Roman" w:hAnsi="Times New Roman"/>
                <w:color w:val="000000" w:themeColor="text1"/>
                <w:sz w:val="18"/>
                <w:szCs w:val="18"/>
                <w:lang w:eastAsia="ru-RU"/>
              </w:rPr>
            </w:pPr>
          </w:p>
          <w:p w14:paraId="18A40C58" w14:textId="77777777" w:rsidR="00D80C34" w:rsidRPr="00DD6A7A" w:rsidRDefault="00D80C34" w:rsidP="006246FC">
            <w:pPr>
              <w:spacing w:line="276" w:lineRule="auto"/>
              <w:jc w:val="both"/>
              <w:rPr>
                <w:rFonts w:ascii="Times New Roman" w:hAnsi="Times New Roman"/>
                <w:color w:val="000000" w:themeColor="text1"/>
                <w:sz w:val="18"/>
                <w:szCs w:val="18"/>
                <w:lang w:eastAsia="ru-RU"/>
              </w:rPr>
            </w:pPr>
          </w:p>
          <w:p w14:paraId="687A491C" w14:textId="77777777" w:rsidR="00D80C34" w:rsidRPr="00DD6A7A" w:rsidRDefault="00D80C34" w:rsidP="006246FC">
            <w:pPr>
              <w:spacing w:line="276" w:lineRule="auto"/>
              <w:jc w:val="both"/>
              <w:rPr>
                <w:rFonts w:ascii="Times New Roman" w:hAnsi="Times New Roman"/>
                <w:color w:val="000000" w:themeColor="text1"/>
                <w:sz w:val="18"/>
                <w:szCs w:val="18"/>
                <w:lang w:eastAsia="ru-RU"/>
              </w:rPr>
            </w:pPr>
          </w:p>
          <w:p w14:paraId="36539967" w14:textId="77777777" w:rsidR="00D80C34" w:rsidRPr="00DD6A7A" w:rsidRDefault="00D80C34" w:rsidP="006246FC">
            <w:pPr>
              <w:spacing w:line="276" w:lineRule="auto"/>
              <w:jc w:val="both"/>
              <w:rPr>
                <w:rFonts w:ascii="Times New Roman" w:hAnsi="Times New Roman"/>
                <w:color w:val="000000" w:themeColor="text1"/>
                <w:sz w:val="18"/>
                <w:szCs w:val="18"/>
                <w:lang w:eastAsia="ru-RU"/>
              </w:rPr>
            </w:pPr>
          </w:p>
          <w:p w14:paraId="4030E347" w14:textId="77777777" w:rsidR="00D80C34" w:rsidRPr="00DD6A7A" w:rsidRDefault="00D80C34" w:rsidP="006246FC">
            <w:pPr>
              <w:spacing w:line="276" w:lineRule="auto"/>
              <w:jc w:val="both"/>
              <w:rPr>
                <w:rFonts w:ascii="Times New Roman" w:hAnsi="Times New Roman"/>
                <w:color w:val="000000" w:themeColor="text1"/>
                <w:sz w:val="18"/>
                <w:szCs w:val="18"/>
                <w:lang w:eastAsia="ru-RU"/>
              </w:rPr>
            </w:pPr>
          </w:p>
          <w:p w14:paraId="2E8BF2FC" w14:textId="77777777" w:rsidR="00D80C34" w:rsidRPr="00DD6A7A" w:rsidRDefault="00D80C34" w:rsidP="006246FC">
            <w:pPr>
              <w:spacing w:line="276" w:lineRule="auto"/>
              <w:jc w:val="both"/>
              <w:rPr>
                <w:rFonts w:ascii="Times New Roman" w:hAnsi="Times New Roman"/>
                <w:color w:val="000000" w:themeColor="text1"/>
                <w:sz w:val="18"/>
                <w:szCs w:val="18"/>
                <w:lang w:eastAsia="ru-RU"/>
              </w:rPr>
            </w:pPr>
          </w:p>
          <w:p w14:paraId="49F57F5E" w14:textId="77777777" w:rsidR="00D80C34" w:rsidRPr="00DD6A7A" w:rsidRDefault="00D80C34" w:rsidP="006246FC">
            <w:pPr>
              <w:spacing w:line="276" w:lineRule="auto"/>
              <w:jc w:val="both"/>
              <w:rPr>
                <w:rFonts w:ascii="Times New Roman" w:hAnsi="Times New Roman"/>
                <w:color w:val="000000" w:themeColor="text1"/>
                <w:sz w:val="18"/>
                <w:szCs w:val="18"/>
                <w:lang w:eastAsia="ru-RU"/>
              </w:rPr>
            </w:pPr>
          </w:p>
          <w:p w14:paraId="6A242079" w14:textId="77777777" w:rsidR="00D80C34" w:rsidRPr="00DD6A7A" w:rsidRDefault="00D80C34" w:rsidP="006246FC">
            <w:pPr>
              <w:spacing w:line="276" w:lineRule="auto"/>
              <w:jc w:val="both"/>
              <w:rPr>
                <w:rFonts w:ascii="Times New Roman" w:hAnsi="Times New Roman"/>
                <w:color w:val="000000" w:themeColor="text1"/>
                <w:sz w:val="18"/>
                <w:szCs w:val="18"/>
                <w:lang w:eastAsia="ru-RU"/>
              </w:rPr>
            </w:pPr>
          </w:p>
          <w:p w14:paraId="06FEAE4F" w14:textId="77777777" w:rsidR="00D80C34" w:rsidRPr="00DD6A7A" w:rsidRDefault="00D80C34" w:rsidP="006246FC">
            <w:pPr>
              <w:spacing w:line="276" w:lineRule="auto"/>
              <w:jc w:val="both"/>
              <w:rPr>
                <w:rFonts w:ascii="Times New Roman" w:hAnsi="Times New Roman"/>
                <w:color w:val="000000" w:themeColor="text1"/>
                <w:sz w:val="18"/>
                <w:szCs w:val="18"/>
                <w:lang w:eastAsia="ru-RU"/>
              </w:rPr>
            </w:pPr>
          </w:p>
          <w:p w14:paraId="7371B2D6" w14:textId="77777777" w:rsidR="00D80C34" w:rsidRPr="00DD6A7A" w:rsidRDefault="00D80C34" w:rsidP="006246FC">
            <w:pPr>
              <w:spacing w:after="120"/>
              <w:jc w:val="both"/>
              <w:rPr>
                <w:rFonts w:ascii="Times New Roman" w:hAnsi="Times New Roman"/>
                <w:color w:val="000000" w:themeColor="text1"/>
                <w:sz w:val="18"/>
                <w:szCs w:val="18"/>
                <w:lang w:val="ro-RO"/>
              </w:rPr>
            </w:pPr>
            <w:bookmarkStart w:id="47" w:name="_Toc153442337"/>
            <w:r w:rsidRPr="00DD6A7A">
              <w:rPr>
                <w:rFonts w:ascii="Times New Roman" w:hAnsi="Times New Roman"/>
                <w:color w:val="000000" w:themeColor="text1"/>
                <w:sz w:val="18"/>
                <w:szCs w:val="18"/>
              </w:rPr>
              <w:t xml:space="preserve">4.2.3 </w:t>
            </w:r>
            <w:r w:rsidRPr="00DD6A7A">
              <w:rPr>
                <w:rFonts w:ascii="Times New Roman" w:hAnsi="Times New Roman"/>
                <w:color w:val="000000" w:themeColor="text1"/>
                <w:sz w:val="18"/>
                <w:szCs w:val="18"/>
                <w:lang w:val="ro-RO"/>
              </w:rPr>
              <w:t xml:space="preserve">Se atestă nerespectarea cadrului legal în vederea planificării, </w:t>
            </w:r>
            <w:r w:rsidRPr="00DD6A7A">
              <w:rPr>
                <w:rFonts w:ascii="Times New Roman" w:hAnsi="Times New Roman"/>
                <w:bCs/>
                <w:iCs/>
                <w:color w:val="000000" w:themeColor="text1"/>
                <w:sz w:val="18"/>
                <w:szCs w:val="18"/>
                <w:lang w:val="ro-RO"/>
              </w:rPr>
              <w:t xml:space="preserve">achitării, decontării și raportării unor </w:t>
            </w:r>
            <w:r w:rsidRPr="00DD6A7A">
              <w:rPr>
                <w:rFonts w:ascii="Times New Roman" w:hAnsi="Times New Roman"/>
                <w:color w:val="000000" w:themeColor="text1"/>
                <w:sz w:val="18"/>
                <w:szCs w:val="18"/>
                <w:lang w:val="ro-RO"/>
              </w:rPr>
              <w:t>cheltuieli aferente delegării salariaților CNPDCP în deplasări de serviciu.</w:t>
            </w:r>
            <w:bookmarkEnd w:id="47"/>
            <w:r w:rsidRPr="00DD6A7A">
              <w:rPr>
                <w:rFonts w:ascii="Times New Roman" w:hAnsi="Times New Roman"/>
                <w:color w:val="000000" w:themeColor="text1"/>
                <w:sz w:val="18"/>
                <w:szCs w:val="18"/>
                <w:lang w:val="ro-RO"/>
              </w:rPr>
              <w:t xml:space="preserve"> </w:t>
            </w:r>
          </w:p>
          <w:p w14:paraId="6BE6A70A" w14:textId="77777777" w:rsidR="00D80C34" w:rsidRPr="00DD6A7A" w:rsidRDefault="00D80C34" w:rsidP="006246FC">
            <w:pPr>
              <w:spacing w:after="120"/>
              <w:jc w:val="both"/>
              <w:rPr>
                <w:rFonts w:ascii="Times New Roman" w:hAnsi="Times New Roman"/>
                <w:color w:val="000000" w:themeColor="text1"/>
                <w:sz w:val="18"/>
                <w:szCs w:val="18"/>
                <w:lang w:val="ro-RO"/>
              </w:rPr>
            </w:pPr>
          </w:p>
          <w:p w14:paraId="0AA308AC" w14:textId="77777777" w:rsidR="00D80C34" w:rsidRPr="00DD6A7A" w:rsidRDefault="00D80C34" w:rsidP="006246FC">
            <w:pPr>
              <w:spacing w:after="120"/>
              <w:jc w:val="both"/>
              <w:rPr>
                <w:rFonts w:ascii="Times New Roman" w:hAnsi="Times New Roman"/>
                <w:color w:val="000000" w:themeColor="text1"/>
                <w:sz w:val="18"/>
                <w:szCs w:val="18"/>
                <w:lang w:val="ro-RO"/>
              </w:rPr>
            </w:pPr>
          </w:p>
          <w:p w14:paraId="2B906077" w14:textId="77777777" w:rsidR="00D80C34" w:rsidRPr="00DD6A7A" w:rsidRDefault="00D80C34" w:rsidP="006246FC">
            <w:pPr>
              <w:spacing w:line="276" w:lineRule="auto"/>
              <w:jc w:val="both"/>
              <w:rPr>
                <w:rFonts w:ascii="Times New Roman" w:hAnsi="Times New Roman"/>
                <w:color w:val="000000" w:themeColor="text1"/>
                <w:sz w:val="18"/>
                <w:szCs w:val="18"/>
              </w:rPr>
            </w:pPr>
            <w:r w:rsidRPr="00DD6A7A">
              <w:rPr>
                <w:rFonts w:ascii="Times New Roman" w:hAnsi="Times New Roman"/>
                <w:color w:val="000000" w:themeColor="text1"/>
                <w:sz w:val="18"/>
                <w:szCs w:val="18"/>
              </w:rPr>
              <w:lastRenderedPageBreak/>
              <w:t>4.2.4. Se atestă nerespectarea normelor prestabilite la efectuarea cheltuielilor privind utilizarea carburanților și lubrifianților, precum și a cheltuielilor pentru reparația curentă a mijloacelor de transport</w:t>
            </w:r>
          </w:p>
          <w:p w14:paraId="5CD16EA0" w14:textId="77777777" w:rsidR="00D80C34" w:rsidRPr="00DD6A7A" w:rsidRDefault="00D80C34" w:rsidP="006246FC">
            <w:pPr>
              <w:jc w:val="both"/>
              <w:rPr>
                <w:rFonts w:ascii="Times New Roman" w:hAnsi="Times New Roman"/>
                <w:color w:val="000000" w:themeColor="text1"/>
                <w:sz w:val="18"/>
                <w:szCs w:val="18"/>
                <w:lang w:val="ro-RO"/>
              </w:rPr>
            </w:pPr>
          </w:p>
        </w:tc>
        <w:tc>
          <w:tcPr>
            <w:tcW w:w="2970" w:type="dxa"/>
          </w:tcPr>
          <w:p w14:paraId="698DCF35" w14:textId="5470A4E8" w:rsidR="00D80C34" w:rsidRPr="00DD6A7A" w:rsidRDefault="00D80C34" w:rsidP="006246FC">
            <w:pPr>
              <w:spacing w:line="276" w:lineRule="auto"/>
              <w:contextualSpacing/>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rPr>
              <w:lastRenderedPageBreak/>
              <w:t>Legea privind controlul financiar public intern nr.229 din 23.09.2010</w:t>
            </w:r>
            <w:r w:rsidR="00B11743">
              <w:rPr>
                <w:rFonts w:ascii="Times New Roman" w:hAnsi="Times New Roman"/>
                <w:color w:val="000000" w:themeColor="text1"/>
                <w:sz w:val="18"/>
                <w:szCs w:val="18"/>
              </w:rPr>
              <w:t>;</w:t>
            </w:r>
          </w:p>
          <w:p w14:paraId="0053115B" w14:textId="77777777" w:rsidR="00D80C34" w:rsidRPr="00DD6A7A" w:rsidRDefault="00D80C34" w:rsidP="006246FC">
            <w:pPr>
              <w:spacing w:line="276" w:lineRule="auto"/>
              <w:contextualSpacing/>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 xml:space="preserve">Legea nr.131/2015 privind achizițiile publice; </w:t>
            </w:r>
          </w:p>
          <w:p w14:paraId="0DCD6F28" w14:textId="081C4C8D" w:rsidR="00D80C34" w:rsidRPr="00DD6A7A" w:rsidRDefault="00D80C34" w:rsidP="006246FC">
            <w:pPr>
              <w:spacing w:line="276" w:lineRule="auto"/>
              <w:contextualSpacing/>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Regulamentul cu privire la modul de planificare a contractelor de achiziții publice, aprobat prin HG nr.1419 din 28.12.2016</w:t>
            </w:r>
            <w:r w:rsidR="00B11743">
              <w:rPr>
                <w:rFonts w:ascii="Times New Roman" w:hAnsi="Times New Roman"/>
                <w:color w:val="000000" w:themeColor="text1"/>
                <w:sz w:val="18"/>
                <w:szCs w:val="18"/>
                <w:lang w:val="ro-RO"/>
              </w:rPr>
              <w:t>;</w:t>
            </w:r>
          </w:p>
          <w:p w14:paraId="1D2E139F" w14:textId="4C773799" w:rsidR="00D80C34" w:rsidRPr="00DD6A7A" w:rsidRDefault="00D80C34" w:rsidP="006246FC">
            <w:pPr>
              <w:jc w:val="both"/>
              <w:rPr>
                <w:rFonts w:ascii="Times New Roman" w:hAnsi="Times New Roman"/>
                <w:color w:val="000000" w:themeColor="text1"/>
                <w:sz w:val="18"/>
                <w:szCs w:val="18"/>
              </w:rPr>
            </w:pPr>
            <w:r w:rsidRPr="00DD6A7A">
              <w:rPr>
                <w:rFonts w:ascii="Times New Roman" w:hAnsi="Times New Roman"/>
                <w:color w:val="000000" w:themeColor="text1"/>
                <w:sz w:val="18"/>
                <w:szCs w:val="18"/>
              </w:rPr>
              <w:t>Regulamentului cu privire la achizițiile publice de valoare mică, aprobat prin Hotărârea Guvernului  nr.665 din 27.05.2016 pentru aprobarea Regulamentului cu privire la achizițiile publice de valoare mică .</w:t>
            </w:r>
          </w:p>
          <w:p w14:paraId="0BB3848D" w14:textId="77777777" w:rsidR="00D80C34" w:rsidRPr="00DD6A7A" w:rsidRDefault="00D80C34" w:rsidP="006246FC">
            <w:pPr>
              <w:spacing w:line="276" w:lineRule="auto"/>
              <w:contextualSpacing/>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Hotărârea Guvernului nr.986 din 10.10.2018 „Cu privire la aprobarea Regulamentului privind modul de ținere a Registrului de stat al achizițiilor publice format de Sistemul informațional automatizat „Registrul de stat al achizițiilor publice” (MTender)”. Hotărârea Guvernului nr.705 din 11.07.2018 „Cu privire la aprobarea Conceptului tehnic al Sistemului informațional automatizat „Registrul de stat al achizițiilor publice” (MTender)”.</w:t>
            </w:r>
          </w:p>
          <w:p w14:paraId="00F0CD59" w14:textId="77777777" w:rsidR="00D80C34" w:rsidRPr="00DD6A7A" w:rsidRDefault="00D80C34" w:rsidP="006246FC">
            <w:pPr>
              <w:spacing w:line="276" w:lineRule="auto"/>
              <w:contextualSpacing/>
              <w:jc w:val="both"/>
              <w:rPr>
                <w:rFonts w:ascii="Times New Roman" w:hAnsi="Times New Roman"/>
                <w:color w:val="000000" w:themeColor="text1"/>
                <w:sz w:val="18"/>
                <w:szCs w:val="18"/>
              </w:rPr>
            </w:pPr>
            <w:r w:rsidRPr="00DD6A7A">
              <w:rPr>
                <w:rFonts w:ascii="Times New Roman" w:hAnsi="Times New Roman"/>
                <w:color w:val="000000" w:themeColor="text1"/>
                <w:sz w:val="18"/>
                <w:szCs w:val="18"/>
              </w:rPr>
              <w:t>Regulamentul cu privire la achizițiile publice folosind procedura de negociere, aprobat prin Hotărârea Guvernului nr. 668  din  27.05.2016;</w:t>
            </w:r>
          </w:p>
          <w:p w14:paraId="310284AF" w14:textId="77777777" w:rsidR="00D80C34" w:rsidRPr="00DD6A7A" w:rsidRDefault="00D80C34" w:rsidP="006246FC">
            <w:pPr>
              <w:jc w:val="both"/>
              <w:rPr>
                <w:rFonts w:ascii="Times New Roman" w:hAnsi="Times New Roman"/>
                <w:color w:val="000000" w:themeColor="text1"/>
                <w:sz w:val="18"/>
                <w:szCs w:val="18"/>
              </w:rPr>
            </w:pPr>
            <w:r w:rsidRPr="00DD6A7A">
              <w:rPr>
                <w:rFonts w:ascii="Times New Roman" w:hAnsi="Times New Roman"/>
                <w:color w:val="000000" w:themeColor="text1"/>
                <w:sz w:val="18"/>
                <w:szCs w:val="18"/>
              </w:rPr>
              <w:lastRenderedPageBreak/>
              <w:t>Hotărârea Guvernului nr.599 din 12.08.2020 „P</w:t>
            </w:r>
            <w:r w:rsidRPr="00DD6A7A">
              <w:rPr>
                <w:rFonts w:ascii="Times New Roman" w:eastAsia="Times New Roman" w:hAnsi="Times New Roman"/>
                <w:bCs/>
                <w:color w:val="000000" w:themeColor="text1"/>
                <w:sz w:val="18"/>
                <w:szCs w:val="18"/>
              </w:rPr>
              <w:t>entru aprobarea Regulamentului cu privire la achizițiile publice folosind procedura de negociere”.</w:t>
            </w:r>
          </w:p>
          <w:p w14:paraId="48A8EDA4" w14:textId="7735BAEC" w:rsidR="00D80C34" w:rsidRPr="00DD6A7A" w:rsidRDefault="00D80C34" w:rsidP="006246FC">
            <w:pPr>
              <w:spacing w:line="276" w:lineRule="auto"/>
              <w:contextualSpacing/>
              <w:jc w:val="both"/>
              <w:rPr>
                <w:rFonts w:ascii="Times New Roman" w:hAnsi="Times New Roman"/>
                <w:color w:val="000000" w:themeColor="text1"/>
                <w:sz w:val="18"/>
                <w:szCs w:val="18"/>
              </w:rPr>
            </w:pPr>
            <w:r w:rsidRPr="00DD6A7A">
              <w:rPr>
                <w:rFonts w:ascii="Times New Roman" w:hAnsi="Times New Roman"/>
                <w:color w:val="000000" w:themeColor="text1"/>
                <w:sz w:val="18"/>
                <w:szCs w:val="18"/>
              </w:rPr>
              <w:t>Ordinul Ministrului Finanțelor nr. 115  din  15.09.2021 „Cu privire la aprobarea Documentației standard pentru realizarea achizițiilor publice de bunuri și servicii”; Ordinul Ministrului Finanțelor  nr.173  din  05.10.2018 Cu privire la aprobarea Documentației standard pentru realizarea achizițiilor publice de bunuri”; Ordinul Ministrului Finanțelor nr. 159  din  26.11.2014 „Cu privire la aprobarea Documentației de atribuire pentru realizarea achizițiilor publice de produse petroliere”.</w:t>
            </w:r>
          </w:p>
          <w:p w14:paraId="13B1772C" w14:textId="3411705A" w:rsidR="00D80C34" w:rsidRPr="00DD6A7A" w:rsidRDefault="00D80C34" w:rsidP="006246FC">
            <w:pPr>
              <w:pStyle w:val="FootnoteText"/>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Ordinul Ministrului Finanțelor nr.115  din  15.09.2021 cu privire la aprobarea Documentației standard pentru realizarea achizițiilor publice de bunuri și servicii.</w:t>
            </w:r>
          </w:p>
          <w:p w14:paraId="1A3592D3" w14:textId="77777777" w:rsidR="00D80C34" w:rsidRPr="00DD6A7A" w:rsidRDefault="00D80C34" w:rsidP="006246FC">
            <w:pPr>
              <w:pStyle w:val="FootnoteText"/>
              <w:jc w:val="both"/>
              <w:rPr>
                <w:rFonts w:ascii="Times New Roman" w:hAnsi="Times New Roman"/>
                <w:color w:val="000000" w:themeColor="text1"/>
                <w:sz w:val="18"/>
                <w:szCs w:val="18"/>
                <w:lang w:val="ro-RO"/>
              </w:rPr>
            </w:pPr>
          </w:p>
          <w:p w14:paraId="144E7934" w14:textId="77777777" w:rsidR="00D80C34" w:rsidRPr="00DD6A7A" w:rsidRDefault="00D80C34" w:rsidP="006246FC">
            <w:pPr>
              <w:pStyle w:val="FootnoteText"/>
              <w:jc w:val="both"/>
              <w:rPr>
                <w:rFonts w:ascii="Times New Roman" w:hAnsi="Times New Roman"/>
                <w:color w:val="000000" w:themeColor="text1"/>
                <w:sz w:val="18"/>
                <w:szCs w:val="18"/>
                <w:lang w:val="ro-RO"/>
              </w:rPr>
            </w:pPr>
          </w:p>
          <w:p w14:paraId="218C7D7C" w14:textId="77777777" w:rsidR="00967AA9" w:rsidRPr="00DD6A7A" w:rsidRDefault="00967AA9" w:rsidP="006246FC">
            <w:pPr>
              <w:spacing w:line="276" w:lineRule="auto"/>
              <w:contextualSpacing/>
              <w:jc w:val="both"/>
              <w:rPr>
                <w:rFonts w:ascii="Times New Roman" w:hAnsi="Times New Roman"/>
                <w:color w:val="000000" w:themeColor="text1"/>
                <w:sz w:val="18"/>
                <w:szCs w:val="18"/>
                <w:lang w:val="ro-RO"/>
              </w:rPr>
            </w:pPr>
          </w:p>
          <w:p w14:paraId="25B6BD5D" w14:textId="77777777" w:rsidR="00D80C34" w:rsidRPr="00DD6A7A" w:rsidRDefault="00D80C34" w:rsidP="006246FC">
            <w:pPr>
              <w:spacing w:line="276" w:lineRule="auto"/>
              <w:contextualSpacing/>
              <w:jc w:val="both"/>
              <w:rPr>
                <w:rFonts w:ascii="Times New Roman" w:eastAsia="Times New Roman" w:hAnsi="Times New Roman"/>
                <w:bCs/>
                <w:color w:val="000000" w:themeColor="text1"/>
                <w:sz w:val="18"/>
                <w:szCs w:val="18"/>
                <w:lang w:val="ro-RO"/>
              </w:rPr>
            </w:pPr>
            <w:r w:rsidRPr="00DD6A7A">
              <w:rPr>
                <w:rFonts w:ascii="Times New Roman" w:hAnsi="Times New Roman"/>
                <w:color w:val="000000" w:themeColor="text1"/>
                <w:sz w:val="18"/>
                <w:szCs w:val="18"/>
                <w:lang w:val="ro-RO"/>
              </w:rPr>
              <w:t>Legea nr.355 din 23.12.2005 cu privire la sistemul de salarizare în sectorul bugetar pentru perioada 01.01.2018-30.11.2018.</w:t>
            </w:r>
          </w:p>
          <w:p w14:paraId="6E8B5EEA" w14:textId="77777777" w:rsidR="00D80C34" w:rsidRPr="00DD6A7A" w:rsidRDefault="00D80C34" w:rsidP="006246FC">
            <w:pPr>
              <w:pStyle w:val="FootnoteText"/>
              <w:jc w:val="both"/>
              <w:rPr>
                <w:rFonts w:ascii="Times New Roman" w:hAnsi="Times New Roman"/>
                <w:color w:val="000000" w:themeColor="text1"/>
                <w:sz w:val="18"/>
                <w:szCs w:val="18"/>
              </w:rPr>
            </w:pPr>
            <w:r w:rsidRPr="00DD6A7A">
              <w:rPr>
                <w:rFonts w:ascii="Times New Roman" w:hAnsi="Times New Roman"/>
                <w:color w:val="000000" w:themeColor="text1"/>
                <w:sz w:val="18"/>
                <w:szCs w:val="18"/>
                <w:lang w:val="ro-RO"/>
              </w:rPr>
              <w:t>Legea nr.270 din 23.11.2018 privind sistemul unitar de salarizare în sectorul bugetar.</w:t>
            </w:r>
          </w:p>
          <w:p w14:paraId="73C537CF" w14:textId="155EE0C8" w:rsidR="00D80C34" w:rsidRPr="00DD6A7A" w:rsidRDefault="00D80C34" w:rsidP="006246FC">
            <w:pPr>
              <w:spacing w:line="276" w:lineRule="auto"/>
              <w:contextualSpacing/>
              <w:jc w:val="both"/>
              <w:rPr>
                <w:rFonts w:ascii="Times New Roman" w:eastAsia="Times New Roman" w:hAnsi="Times New Roman"/>
                <w:bCs/>
                <w:color w:val="000000" w:themeColor="text1"/>
                <w:sz w:val="18"/>
                <w:szCs w:val="18"/>
              </w:rPr>
            </w:pPr>
            <w:r w:rsidRPr="00DD6A7A">
              <w:rPr>
                <w:rFonts w:ascii="Times New Roman" w:eastAsia="Times New Roman" w:hAnsi="Times New Roman"/>
                <w:bCs/>
                <w:color w:val="000000" w:themeColor="text1"/>
                <w:sz w:val="18"/>
                <w:szCs w:val="18"/>
              </w:rPr>
              <w:t xml:space="preserve">Hotărârea Guvernului </w:t>
            </w:r>
            <w:r w:rsidR="003D45BE">
              <w:rPr>
                <w:rFonts w:ascii="Times New Roman" w:eastAsia="Times New Roman" w:hAnsi="Times New Roman"/>
                <w:bCs/>
                <w:color w:val="000000" w:themeColor="text1"/>
                <w:sz w:val="18"/>
                <w:szCs w:val="18"/>
              </w:rPr>
              <w:t>nr.</w:t>
            </w:r>
            <w:r w:rsidRPr="00DD6A7A">
              <w:rPr>
                <w:rFonts w:ascii="Times New Roman" w:eastAsia="Times New Roman" w:hAnsi="Times New Roman"/>
                <w:bCs/>
                <w:color w:val="000000" w:themeColor="text1"/>
                <w:sz w:val="18"/>
                <w:szCs w:val="18"/>
              </w:rPr>
              <w:t xml:space="preserve">1231 din 12.12.2018 </w:t>
            </w:r>
          </w:p>
          <w:p w14:paraId="6FFAE354" w14:textId="77777777" w:rsidR="00D80C34" w:rsidRPr="00DD6A7A" w:rsidRDefault="00D80C34" w:rsidP="006246FC">
            <w:pPr>
              <w:spacing w:line="276" w:lineRule="auto"/>
              <w:contextualSpacing/>
              <w:jc w:val="both"/>
              <w:rPr>
                <w:rFonts w:ascii="Times New Roman" w:eastAsia="Times New Roman" w:hAnsi="Times New Roman"/>
                <w:bCs/>
                <w:color w:val="000000" w:themeColor="text1"/>
                <w:sz w:val="18"/>
                <w:szCs w:val="18"/>
              </w:rPr>
            </w:pPr>
          </w:p>
          <w:p w14:paraId="06EFF359" w14:textId="77777777" w:rsidR="00D80C34" w:rsidRPr="00DD6A7A" w:rsidRDefault="00D80C34" w:rsidP="006246FC">
            <w:pPr>
              <w:spacing w:line="276" w:lineRule="auto"/>
              <w:contextualSpacing/>
              <w:jc w:val="both"/>
              <w:rPr>
                <w:rFonts w:ascii="Times New Roman" w:eastAsia="Times New Roman" w:hAnsi="Times New Roman"/>
                <w:bCs/>
                <w:color w:val="000000" w:themeColor="text1"/>
                <w:sz w:val="18"/>
                <w:szCs w:val="18"/>
              </w:rPr>
            </w:pPr>
          </w:p>
          <w:p w14:paraId="3E574B1D" w14:textId="77777777" w:rsidR="00D80C34" w:rsidRPr="00DD6A7A" w:rsidRDefault="00D80C34" w:rsidP="006246FC">
            <w:pPr>
              <w:spacing w:line="276" w:lineRule="auto"/>
              <w:contextualSpacing/>
              <w:jc w:val="both"/>
              <w:rPr>
                <w:rFonts w:ascii="Times New Roman" w:eastAsia="Times New Roman" w:hAnsi="Times New Roman"/>
                <w:bCs/>
                <w:color w:val="000000" w:themeColor="text1"/>
                <w:sz w:val="18"/>
                <w:szCs w:val="18"/>
              </w:rPr>
            </w:pPr>
          </w:p>
          <w:p w14:paraId="35E970B3" w14:textId="77777777" w:rsidR="00D80C34" w:rsidRPr="00DD6A7A" w:rsidRDefault="00D80C34" w:rsidP="006246FC">
            <w:pPr>
              <w:spacing w:line="276" w:lineRule="auto"/>
              <w:contextualSpacing/>
              <w:jc w:val="both"/>
              <w:rPr>
                <w:rFonts w:ascii="Times New Roman" w:eastAsia="Times New Roman" w:hAnsi="Times New Roman"/>
                <w:bCs/>
                <w:color w:val="000000" w:themeColor="text1"/>
                <w:sz w:val="18"/>
                <w:szCs w:val="18"/>
              </w:rPr>
            </w:pPr>
          </w:p>
          <w:p w14:paraId="579562B6" w14:textId="77777777" w:rsidR="00D80C34" w:rsidRPr="00DD6A7A" w:rsidRDefault="00D80C34" w:rsidP="006246FC">
            <w:pPr>
              <w:spacing w:line="276" w:lineRule="auto"/>
              <w:contextualSpacing/>
              <w:jc w:val="both"/>
              <w:rPr>
                <w:rFonts w:ascii="Times New Roman" w:eastAsia="Times New Roman" w:hAnsi="Times New Roman"/>
                <w:bCs/>
                <w:color w:val="000000" w:themeColor="text1"/>
                <w:sz w:val="18"/>
                <w:szCs w:val="18"/>
              </w:rPr>
            </w:pPr>
          </w:p>
          <w:p w14:paraId="18F8B83C" w14:textId="77777777" w:rsidR="00D80C34" w:rsidRPr="00DD6A7A" w:rsidRDefault="00D80C34" w:rsidP="006246FC">
            <w:pPr>
              <w:spacing w:line="276" w:lineRule="auto"/>
              <w:contextualSpacing/>
              <w:jc w:val="both"/>
              <w:rPr>
                <w:rFonts w:ascii="Times New Roman" w:eastAsia="Times New Roman" w:hAnsi="Times New Roman"/>
                <w:bCs/>
                <w:color w:val="000000" w:themeColor="text1"/>
                <w:sz w:val="18"/>
                <w:szCs w:val="18"/>
              </w:rPr>
            </w:pPr>
          </w:p>
          <w:p w14:paraId="18C0A0A7" w14:textId="77777777" w:rsidR="00D80C34" w:rsidRPr="00DD6A7A" w:rsidRDefault="00D80C34" w:rsidP="006246FC">
            <w:pPr>
              <w:spacing w:line="276" w:lineRule="auto"/>
              <w:contextualSpacing/>
              <w:jc w:val="both"/>
              <w:rPr>
                <w:rFonts w:ascii="Times New Roman" w:eastAsia="Times New Roman" w:hAnsi="Times New Roman"/>
                <w:bCs/>
                <w:color w:val="000000" w:themeColor="text1"/>
                <w:sz w:val="18"/>
                <w:szCs w:val="18"/>
              </w:rPr>
            </w:pPr>
          </w:p>
          <w:p w14:paraId="30DFEBC1" w14:textId="77777777" w:rsidR="00626ED2" w:rsidRDefault="00626ED2" w:rsidP="006246FC">
            <w:pPr>
              <w:spacing w:line="276" w:lineRule="auto"/>
              <w:contextualSpacing/>
              <w:jc w:val="both"/>
              <w:rPr>
                <w:rFonts w:ascii="Times New Roman" w:eastAsia="Times New Roman" w:hAnsi="Times New Roman"/>
                <w:bCs/>
                <w:color w:val="000000" w:themeColor="text1"/>
                <w:sz w:val="18"/>
                <w:szCs w:val="18"/>
                <w:lang w:val="ro-RO"/>
              </w:rPr>
            </w:pPr>
          </w:p>
          <w:p w14:paraId="196410B9" w14:textId="77777777" w:rsidR="00626ED2" w:rsidRDefault="00626ED2" w:rsidP="006246FC">
            <w:pPr>
              <w:spacing w:line="276" w:lineRule="auto"/>
              <w:contextualSpacing/>
              <w:jc w:val="both"/>
              <w:rPr>
                <w:rFonts w:ascii="Times New Roman" w:eastAsia="Times New Roman" w:hAnsi="Times New Roman"/>
                <w:bCs/>
                <w:color w:val="000000" w:themeColor="text1"/>
                <w:sz w:val="18"/>
                <w:szCs w:val="18"/>
                <w:lang w:val="ro-RO"/>
              </w:rPr>
            </w:pPr>
          </w:p>
          <w:p w14:paraId="2EE2593B" w14:textId="77777777" w:rsidR="00626ED2" w:rsidRDefault="00626ED2" w:rsidP="006246FC">
            <w:pPr>
              <w:spacing w:line="276" w:lineRule="auto"/>
              <w:contextualSpacing/>
              <w:jc w:val="both"/>
              <w:rPr>
                <w:rFonts w:ascii="Times New Roman" w:eastAsia="Times New Roman" w:hAnsi="Times New Roman"/>
                <w:bCs/>
                <w:color w:val="000000" w:themeColor="text1"/>
                <w:sz w:val="18"/>
                <w:szCs w:val="18"/>
                <w:lang w:val="ro-RO"/>
              </w:rPr>
            </w:pPr>
          </w:p>
          <w:p w14:paraId="3C8605F9" w14:textId="77777777" w:rsidR="00FC7C37" w:rsidRDefault="00FC7C37" w:rsidP="006246FC">
            <w:pPr>
              <w:spacing w:line="276" w:lineRule="auto"/>
              <w:contextualSpacing/>
              <w:jc w:val="both"/>
              <w:rPr>
                <w:rFonts w:ascii="Times New Roman" w:eastAsia="Times New Roman" w:hAnsi="Times New Roman"/>
                <w:bCs/>
                <w:color w:val="000000" w:themeColor="text1"/>
                <w:sz w:val="18"/>
                <w:szCs w:val="18"/>
                <w:lang w:val="ro-RO"/>
              </w:rPr>
            </w:pPr>
          </w:p>
          <w:p w14:paraId="7C9FFD9E" w14:textId="77777777" w:rsidR="00D80C34" w:rsidRPr="00DD6A7A" w:rsidRDefault="00D80C34" w:rsidP="006246FC">
            <w:pPr>
              <w:spacing w:line="276" w:lineRule="auto"/>
              <w:contextualSpacing/>
              <w:jc w:val="both"/>
              <w:rPr>
                <w:rFonts w:ascii="Times New Roman" w:eastAsia="Times New Roman" w:hAnsi="Times New Roman"/>
                <w:color w:val="000000" w:themeColor="text1"/>
                <w:sz w:val="18"/>
                <w:szCs w:val="18"/>
                <w:lang w:val="ro-RO"/>
              </w:rPr>
            </w:pPr>
            <w:r w:rsidRPr="00DD6A7A">
              <w:rPr>
                <w:rFonts w:ascii="Times New Roman" w:eastAsia="Times New Roman" w:hAnsi="Times New Roman"/>
                <w:bCs/>
                <w:color w:val="000000" w:themeColor="text1"/>
                <w:sz w:val="18"/>
                <w:szCs w:val="18"/>
                <w:lang w:val="ro-RO"/>
              </w:rPr>
              <w:t xml:space="preserve">Hotărârea Guvernului  </w:t>
            </w:r>
            <w:r w:rsidRPr="00DD6A7A">
              <w:rPr>
                <w:rFonts w:ascii="Times New Roman" w:hAnsi="Times New Roman"/>
                <w:color w:val="000000" w:themeColor="text1"/>
                <w:sz w:val="18"/>
                <w:szCs w:val="18"/>
                <w:lang w:val="ro-RO"/>
              </w:rPr>
              <w:t>nr.10 din 05.01.2012 „P</w:t>
            </w:r>
            <w:r w:rsidRPr="00DD6A7A">
              <w:rPr>
                <w:rFonts w:ascii="Times New Roman" w:eastAsia="Times New Roman" w:hAnsi="Times New Roman"/>
                <w:bCs/>
                <w:color w:val="000000" w:themeColor="text1"/>
                <w:sz w:val="18"/>
                <w:szCs w:val="18"/>
                <w:lang w:val="ro-RO"/>
              </w:rPr>
              <w:t xml:space="preserve">entru aprobarea Regulamentului cu privire la delegarea </w:t>
            </w:r>
            <w:r w:rsidRPr="00DD6A7A">
              <w:rPr>
                <w:rFonts w:ascii="Times New Roman" w:eastAsia="Times New Roman" w:hAnsi="Times New Roman"/>
                <w:color w:val="000000" w:themeColor="text1"/>
                <w:sz w:val="18"/>
                <w:szCs w:val="18"/>
                <w:lang w:val="ro-RO"/>
              </w:rPr>
              <w:t xml:space="preserve">salariaților entităților din Republica Moldova” (în continuare - Regulamentul </w:t>
            </w:r>
            <w:r w:rsidRPr="00DD6A7A">
              <w:rPr>
                <w:rFonts w:ascii="Times New Roman" w:hAnsi="Times New Roman"/>
                <w:color w:val="000000" w:themeColor="text1"/>
                <w:sz w:val="18"/>
                <w:szCs w:val="18"/>
              </w:rPr>
              <w:t>cu privire la delegarea salariaților entităților din Republica Moldova)</w:t>
            </w:r>
            <w:r w:rsidRPr="00DD6A7A">
              <w:rPr>
                <w:rFonts w:ascii="Times New Roman" w:eastAsia="Times New Roman" w:hAnsi="Times New Roman"/>
                <w:color w:val="000000" w:themeColor="text1"/>
                <w:sz w:val="18"/>
                <w:szCs w:val="18"/>
                <w:lang w:val="ro-RO"/>
              </w:rPr>
              <w:t>.</w:t>
            </w:r>
          </w:p>
          <w:p w14:paraId="20D18046" w14:textId="77777777" w:rsidR="00D80C34" w:rsidRPr="00DD6A7A" w:rsidRDefault="00D80C34" w:rsidP="006246FC">
            <w:pPr>
              <w:spacing w:line="276" w:lineRule="auto"/>
              <w:contextualSpacing/>
              <w:jc w:val="both"/>
              <w:rPr>
                <w:rFonts w:ascii="Times New Roman" w:eastAsia="Times New Roman" w:hAnsi="Times New Roman"/>
                <w:color w:val="000000" w:themeColor="text1"/>
                <w:sz w:val="18"/>
                <w:szCs w:val="18"/>
                <w:lang w:val="ro-RO"/>
              </w:rPr>
            </w:pPr>
          </w:p>
          <w:p w14:paraId="2032CA3C" w14:textId="77777777" w:rsidR="00D80C34" w:rsidRPr="00DD6A7A" w:rsidRDefault="00D80C34" w:rsidP="006246FC">
            <w:pPr>
              <w:spacing w:line="276" w:lineRule="auto"/>
              <w:contextualSpacing/>
              <w:jc w:val="both"/>
              <w:rPr>
                <w:rFonts w:ascii="Times New Roman" w:eastAsia="Times New Roman" w:hAnsi="Times New Roman"/>
                <w:bCs/>
                <w:color w:val="000000" w:themeColor="text1"/>
                <w:sz w:val="18"/>
                <w:szCs w:val="18"/>
                <w:lang w:val="ro-RO"/>
              </w:rPr>
            </w:pPr>
          </w:p>
          <w:p w14:paraId="57851A3D" w14:textId="77777777" w:rsidR="00D80C34" w:rsidRPr="00DD6A7A" w:rsidRDefault="00D80C34" w:rsidP="006246FC">
            <w:pPr>
              <w:spacing w:line="276" w:lineRule="auto"/>
              <w:jc w:val="both"/>
              <w:rPr>
                <w:rFonts w:ascii="Times New Roman" w:hAnsi="Times New Roman"/>
                <w:color w:val="000000" w:themeColor="text1"/>
                <w:sz w:val="18"/>
                <w:szCs w:val="18"/>
              </w:rPr>
            </w:pPr>
          </w:p>
          <w:p w14:paraId="284C8A13" w14:textId="77777777" w:rsidR="00D80C34" w:rsidRPr="00DD6A7A" w:rsidRDefault="00D80C34" w:rsidP="006246FC">
            <w:pPr>
              <w:spacing w:line="276" w:lineRule="auto"/>
              <w:jc w:val="both"/>
              <w:rPr>
                <w:rFonts w:ascii="Times New Roman" w:eastAsia="Times New Roman" w:hAnsi="Times New Roman"/>
                <w:bCs/>
                <w:color w:val="000000" w:themeColor="text1"/>
                <w:sz w:val="18"/>
                <w:szCs w:val="18"/>
                <w:lang w:val="ro-RO"/>
              </w:rPr>
            </w:pPr>
            <w:r w:rsidRPr="00DD6A7A">
              <w:rPr>
                <w:rFonts w:ascii="Times New Roman" w:eastAsia="Times New Roman" w:hAnsi="Times New Roman"/>
                <w:bCs/>
                <w:color w:val="000000" w:themeColor="text1"/>
                <w:sz w:val="18"/>
                <w:szCs w:val="18"/>
                <w:lang w:val="ro-RO"/>
              </w:rPr>
              <w:lastRenderedPageBreak/>
              <w:t>Hotărârea Guvernului nr. 449 din 29.04.2004 „Despre aprobarea Nomenclatoarelor funcțiilor deținute și lucrărilor executate de către salariații cu care angajatorul poate încheia contracte scrise cu privire la răspunderea materială individuală sau colectivă (de brigadă) deplină, precum şi a contractelor-tip cu privire la răspunderea materială deplină”.</w:t>
            </w:r>
          </w:p>
          <w:p w14:paraId="1B59D4AB" w14:textId="77777777" w:rsidR="00D80C34" w:rsidRPr="00DD6A7A" w:rsidRDefault="00D80C34" w:rsidP="006246FC">
            <w:pPr>
              <w:pStyle w:val="FootnoteText"/>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Instrucțiunea privind completarea şi prelucrarea foii de parcurs pentru autoturisme, aprobată prin ordinul Departamentului Analize Statistice şi Sociologice al Republicii Moldova nr.108 din 17.12.1998.</w:t>
            </w:r>
          </w:p>
          <w:p w14:paraId="60406ED3" w14:textId="77777777" w:rsidR="00D80C34" w:rsidRPr="00DD6A7A" w:rsidRDefault="00D80C34" w:rsidP="006246FC">
            <w:pPr>
              <w:pStyle w:val="FootnoteText"/>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Anexa nr.1 la Hotărârea Guvernului nr.1404 din 30.12.2005 „Privind reglementarea utilizării autoturismelor de serviciu de către autoritățile administrației publice” (în continuare - Hotărârea Guvernului nr.1404 din 30.12.2005)</w:t>
            </w:r>
          </w:p>
          <w:p w14:paraId="22E8722A" w14:textId="77777777" w:rsidR="00D80C34" w:rsidRPr="00DD6A7A" w:rsidRDefault="00D80C34" w:rsidP="006246FC">
            <w:pPr>
              <w:pStyle w:val="FootnoteText"/>
              <w:jc w:val="both"/>
              <w:rPr>
                <w:rFonts w:ascii="Times New Roman" w:hAnsi="Times New Roman"/>
                <w:color w:val="000000" w:themeColor="text1"/>
                <w:sz w:val="18"/>
                <w:szCs w:val="18"/>
              </w:rPr>
            </w:pPr>
            <w:r w:rsidRPr="00DD6A7A">
              <w:rPr>
                <w:rFonts w:ascii="Times New Roman" w:hAnsi="Times New Roman"/>
                <w:color w:val="000000" w:themeColor="text1"/>
                <w:sz w:val="18"/>
                <w:szCs w:val="18"/>
              </w:rPr>
              <w:t>Pct.3.3.1; pct.3.8.25 din Ordinul ministrului Finanțelor nr.216 din 28.12.2015 cu privire la aprobarea Planului de conturi contabile în sistemul bugetar şi a Normelor metodologice privind evidența contabilă și raportarea financiară în sistemul bugetar.</w:t>
            </w:r>
          </w:p>
          <w:p w14:paraId="4A70831C" w14:textId="075D9471" w:rsidR="00D80C34" w:rsidRPr="00DD6A7A" w:rsidRDefault="00D80C34" w:rsidP="006246FC">
            <w:pPr>
              <w:pStyle w:val="FootnoteText"/>
              <w:jc w:val="both"/>
              <w:rPr>
                <w:rFonts w:ascii="Times New Roman" w:hAnsi="Times New Roman"/>
                <w:color w:val="000000" w:themeColor="text1"/>
                <w:sz w:val="18"/>
                <w:szCs w:val="18"/>
              </w:rPr>
            </w:pPr>
            <w:r w:rsidRPr="00DD6A7A">
              <w:rPr>
                <w:rFonts w:ascii="Times New Roman" w:hAnsi="Times New Roman"/>
                <w:color w:val="000000" w:themeColor="text1"/>
                <w:sz w:val="18"/>
                <w:szCs w:val="18"/>
                <w:lang w:val="ro-RO"/>
              </w:rPr>
              <w:t xml:space="preserve">Ordinul Ministerului Transporturilor și Gospodăriei Drumurilor nr.172 din 09.12.2005 cu privire la aprobarea Normelor de consum de </w:t>
            </w:r>
            <w:r w:rsidR="00F81701">
              <w:rPr>
                <w:rFonts w:ascii="Times New Roman" w:hAnsi="Times New Roman"/>
                <w:color w:val="000000" w:themeColor="text1"/>
                <w:sz w:val="18"/>
                <w:szCs w:val="18"/>
                <w:lang w:val="ro-RO"/>
              </w:rPr>
              <w:t>carburanți</w:t>
            </w:r>
            <w:r w:rsidRPr="00DD6A7A">
              <w:rPr>
                <w:rFonts w:ascii="Times New Roman" w:hAnsi="Times New Roman"/>
                <w:color w:val="000000" w:themeColor="text1"/>
                <w:sz w:val="18"/>
                <w:szCs w:val="18"/>
                <w:lang w:val="ro-RO"/>
              </w:rPr>
              <w:t xml:space="preserve"> și lubrifianți</w:t>
            </w:r>
            <w:r w:rsidR="00B52B95" w:rsidRPr="00DD6A7A">
              <w:rPr>
                <w:rFonts w:ascii="Times New Roman" w:hAnsi="Times New Roman"/>
                <w:color w:val="000000" w:themeColor="text1"/>
                <w:sz w:val="18"/>
                <w:szCs w:val="18"/>
                <w:lang w:val="ro-RO"/>
              </w:rPr>
              <w:t>.</w:t>
            </w:r>
          </w:p>
        </w:tc>
        <w:tc>
          <w:tcPr>
            <w:tcW w:w="3060" w:type="dxa"/>
          </w:tcPr>
          <w:p w14:paraId="59629872" w14:textId="1C0FF095" w:rsidR="00D80C34" w:rsidRPr="00DD6A7A" w:rsidRDefault="00D80C34" w:rsidP="006246FC">
            <w:pPr>
              <w:pStyle w:val="ListParagraph"/>
              <w:tabs>
                <w:tab w:val="left" w:pos="426"/>
              </w:tabs>
              <w:spacing w:line="276" w:lineRule="auto"/>
              <w:ind w:left="0"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lastRenderedPageBreak/>
              <w:t>Analiza bugetelor aprobate/executate, a Planurilor anuale de achiziții  și argumentarea necesităților de achiziție, a procedurilor de achiziții publice realizate, dările de seamă privind rezultatele procedurilor de achiziții, contractele încheiate între părți, ordinele de instituire a grupurilor de lucru pentru achiziții;</w:t>
            </w:r>
          </w:p>
          <w:p w14:paraId="367F2DFF" w14:textId="77777777" w:rsidR="00D80C34" w:rsidRPr="00DD6A7A" w:rsidRDefault="00D80C34" w:rsidP="006246FC">
            <w:pPr>
              <w:pStyle w:val="ListParagraph"/>
              <w:numPr>
                <w:ilvl w:val="0"/>
                <w:numId w:val="8"/>
              </w:numPr>
              <w:tabs>
                <w:tab w:val="left" w:pos="426"/>
              </w:tabs>
              <w:spacing w:line="276" w:lineRule="auto"/>
              <w:ind w:left="0" w:right="35" w:firstLine="0"/>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contrapunerea datelor din documentele de primire-predare a bunurilor și serviciilor efectiv recepționate cu cele înregistrate în evidența contabilă și cele stabilite în clauzele contractuale, contrapunerea documentelor primare cu NC nr2, NC nr.6.</w:t>
            </w:r>
          </w:p>
          <w:p w14:paraId="48146EA5"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52E59611"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4CBAFA1E"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3C1A38F9"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55088DC2"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44333B7F"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7C7E3FD0"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1263161C"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7E53FA46"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76B541EB"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22AEC331"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2582FB28"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2CE9E488"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23F0F552"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6E00224E"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1630EA2C"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6D9459BF"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6F43E454"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1A9B52BE"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53C20FF9"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56EBB233"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2B203A33"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0E65910B"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697A16A7"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0BC405B3"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7A1B4F42"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04BC8FC4"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50E3FE2F"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559B42D0"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405F1B6D"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1BABF3B9"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2EB1D2DB"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76F2DC72"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5DFFE6CA"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3D45CA72"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397442F1"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3C38F4FD" w14:textId="77777777" w:rsidR="00D80C34"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701B54CA" w14:textId="77777777" w:rsidR="00626ED2" w:rsidRDefault="00626ED2" w:rsidP="006246FC">
            <w:pPr>
              <w:tabs>
                <w:tab w:val="left" w:pos="426"/>
              </w:tabs>
              <w:spacing w:line="276" w:lineRule="auto"/>
              <w:ind w:right="35"/>
              <w:jc w:val="both"/>
              <w:rPr>
                <w:rFonts w:ascii="Times New Roman" w:hAnsi="Times New Roman"/>
                <w:color w:val="000000" w:themeColor="text1"/>
                <w:sz w:val="18"/>
                <w:szCs w:val="18"/>
                <w:lang w:val="ro-RO"/>
              </w:rPr>
            </w:pPr>
          </w:p>
          <w:p w14:paraId="6390C324" w14:textId="77777777" w:rsidR="00626ED2" w:rsidRDefault="00626ED2" w:rsidP="006246FC">
            <w:pPr>
              <w:tabs>
                <w:tab w:val="left" w:pos="426"/>
              </w:tabs>
              <w:spacing w:line="276" w:lineRule="auto"/>
              <w:ind w:right="35"/>
              <w:jc w:val="both"/>
              <w:rPr>
                <w:rFonts w:ascii="Times New Roman" w:hAnsi="Times New Roman"/>
                <w:color w:val="000000" w:themeColor="text1"/>
                <w:sz w:val="18"/>
                <w:szCs w:val="18"/>
                <w:lang w:val="ro-RO"/>
              </w:rPr>
            </w:pPr>
          </w:p>
          <w:p w14:paraId="439B1C5C" w14:textId="77777777" w:rsidR="00626ED2" w:rsidRPr="00DD6A7A" w:rsidRDefault="00626ED2" w:rsidP="006246FC">
            <w:pPr>
              <w:tabs>
                <w:tab w:val="left" w:pos="426"/>
              </w:tabs>
              <w:spacing w:line="276" w:lineRule="auto"/>
              <w:ind w:right="35"/>
              <w:jc w:val="both"/>
              <w:rPr>
                <w:rFonts w:ascii="Times New Roman" w:hAnsi="Times New Roman"/>
                <w:color w:val="000000" w:themeColor="text1"/>
                <w:sz w:val="18"/>
                <w:szCs w:val="18"/>
                <w:lang w:val="ro-RO"/>
              </w:rPr>
            </w:pPr>
          </w:p>
          <w:p w14:paraId="309BDEEC"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-analiza ordinelor conducerii privind salarizarea angajaților (stabilirea treptelor de salarizare, gradelor de calificare, sporului de performanță, cumulare de funcții, premiului anual, premiilor unice, concedii anuale, concedii medicale, pentru studii, alte plăți), alte documente justificative care au stat la baza calculării salariilor, inclusiv  a contribuțiilor obligatorii și impozitului pe venit</w:t>
            </w:r>
          </w:p>
          <w:p w14:paraId="66C3D3FB"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-contrapunerea datelor din documente primare cu Cartea de salariu, Lista de plată îndreptată spre achitare, lista angajaților, fișele personale, NC nr.5, NC nr.2, Nota justificativă la salariu.</w:t>
            </w:r>
          </w:p>
          <w:p w14:paraId="01A832A2"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2CAB1A4A"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3B1C4D85" w14:textId="77777777" w:rsidR="003A7EBF" w:rsidRPr="00DD6A7A" w:rsidRDefault="003A7EBF" w:rsidP="006246FC">
            <w:pPr>
              <w:tabs>
                <w:tab w:val="left" w:pos="426"/>
              </w:tabs>
              <w:spacing w:line="276" w:lineRule="auto"/>
              <w:ind w:right="35"/>
              <w:jc w:val="both"/>
              <w:rPr>
                <w:rFonts w:ascii="Times New Roman" w:hAnsi="Times New Roman"/>
                <w:color w:val="000000" w:themeColor="text1"/>
                <w:sz w:val="18"/>
                <w:szCs w:val="18"/>
                <w:lang w:val="ro-RO"/>
              </w:rPr>
            </w:pPr>
          </w:p>
          <w:p w14:paraId="47D6B4FB"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-analiza Ordinelor conducerii privind deplasarea angajaților, a deconturilor de avans, justificarea cheltuielilor, informației/rapoarte privind deplasările peste hotare</w:t>
            </w:r>
          </w:p>
          <w:p w14:paraId="12E9D242"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Contrapunerea sumei diurnei achitate cu reglementările plafonate prin hotărârea guvernului nr.10/2012</w:t>
            </w:r>
          </w:p>
          <w:p w14:paraId="2F33F5FC"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77708D60"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33EC8AFF" w14:textId="77777777" w:rsidR="00D80C34" w:rsidRPr="00DD6A7A" w:rsidRDefault="00D80C34" w:rsidP="006246FC">
            <w:pPr>
              <w:tabs>
                <w:tab w:val="left" w:pos="426"/>
              </w:tabs>
              <w:spacing w:line="276" w:lineRule="auto"/>
              <w:ind w:right="35"/>
              <w:jc w:val="both"/>
              <w:rPr>
                <w:rFonts w:ascii="Times New Roman" w:hAnsi="Times New Roman"/>
                <w:color w:val="000000" w:themeColor="text1"/>
                <w:sz w:val="18"/>
                <w:szCs w:val="18"/>
                <w:lang w:val="ro-RO"/>
              </w:rPr>
            </w:pPr>
          </w:p>
          <w:p w14:paraId="149D1A80" w14:textId="77777777" w:rsidR="00D80C34" w:rsidRPr="00DD6A7A" w:rsidRDefault="00D80C34" w:rsidP="006246FC">
            <w:pPr>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lastRenderedPageBreak/>
              <w:t xml:space="preserve">Analiza normelor de consum al  carburanților aplicate de </w:t>
            </w:r>
            <w:r w:rsidRPr="00DD6A7A">
              <w:rPr>
                <w:rFonts w:ascii="Times New Roman" w:eastAsiaTheme="majorEastAsia" w:hAnsi="Times New Roman"/>
                <w:color w:val="000000" w:themeColor="text1"/>
                <w:sz w:val="18"/>
                <w:szCs w:val="18"/>
              </w:rPr>
              <w:t>CNPDCP</w:t>
            </w:r>
            <w:r w:rsidRPr="00DD6A7A">
              <w:rPr>
                <w:rFonts w:ascii="Times New Roman" w:hAnsi="Times New Roman"/>
                <w:color w:val="000000" w:themeColor="text1"/>
                <w:sz w:val="18"/>
                <w:szCs w:val="18"/>
                <w:lang w:val="ro-RO"/>
              </w:rPr>
              <w:t xml:space="preserve">  la utilizarea unităților de transport, comparativ cu cele reglementate de Ordinul nr.172/2005;</w:t>
            </w:r>
          </w:p>
          <w:p w14:paraId="6A0E6D60" w14:textId="77777777" w:rsidR="00D80C34" w:rsidRPr="00DD6A7A" w:rsidRDefault="00D80C34" w:rsidP="006246FC">
            <w:pPr>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 xml:space="preserve">- recalculul supraconsumului   de carburanți, aferente majorării neregulamentare a normelor de consum </w:t>
            </w:r>
          </w:p>
          <w:p w14:paraId="4686E3A7" w14:textId="269F8FDA" w:rsidR="00D80C34" w:rsidRPr="00DD6A7A" w:rsidRDefault="00D80C34" w:rsidP="006246FC">
            <w:pPr>
              <w:tabs>
                <w:tab w:val="left" w:pos="246"/>
              </w:tabs>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 xml:space="preserve">- observarea fizică la fața locului a autoturismelor, confruntarea datelor vitezometrului, soldului de </w:t>
            </w:r>
            <w:r w:rsidR="00F81701">
              <w:rPr>
                <w:rFonts w:ascii="Times New Roman" w:hAnsi="Times New Roman"/>
                <w:color w:val="000000" w:themeColor="text1"/>
                <w:sz w:val="18"/>
                <w:szCs w:val="18"/>
                <w:lang w:val="ro-RO"/>
              </w:rPr>
              <w:t>carburanți</w:t>
            </w:r>
            <w:r w:rsidRPr="00DD6A7A">
              <w:rPr>
                <w:rFonts w:ascii="Times New Roman" w:hAnsi="Times New Roman"/>
                <w:color w:val="000000" w:themeColor="text1"/>
                <w:sz w:val="18"/>
                <w:szCs w:val="18"/>
                <w:lang w:val="ro-RO"/>
              </w:rPr>
              <w:t xml:space="preserve"> real cu datele evidenței contabile, </w:t>
            </w:r>
          </w:p>
          <w:p w14:paraId="3FD84719" w14:textId="77777777" w:rsidR="00D80C34" w:rsidRPr="00DD6A7A" w:rsidRDefault="00D80C34" w:rsidP="006246FC">
            <w:pPr>
              <w:tabs>
                <w:tab w:val="left" w:pos="246"/>
              </w:tabs>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 analiza cheltuielilor de reparații  curente, de asigurare a unitățile de transport.</w:t>
            </w:r>
          </w:p>
        </w:tc>
        <w:tc>
          <w:tcPr>
            <w:tcW w:w="1800" w:type="dxa"/>
          </w:tcPr>
          <w:p w14:paraId="672C6438"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lastRenderedPageBreak/>
              <w:t xml:space="preserve">Testate 100% din valoarea contractelor de achiziție publică încheiate </w:t>
            </w:r>
          </w:p>
          <w:p w14:paraId="2D0DA5E4"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7FA1E4BB"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00D0D006"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65C933D8"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72D6D21D"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36479660"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7360B3D1"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5FDF5C0C"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16DB33C5"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725DC642"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128BCCF0"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1841C983"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2EDC7484"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5A6EC232"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661CD4A0"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7B15DD81"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10DFA6D6"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6F1014B7"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56F79A6E"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73EC41CE"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49A55F7E"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684D2EBA"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74067A1F"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3787EE53"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74CEB1C1"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38861D85"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0C273A15"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57EBE509"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0FBE66F6"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168092EF"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5D918AB4"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3382F7DA"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426B4594"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2859215F"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7E6214D9"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13C6B2C9"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48C57680"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5A5FF027"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2D8CF856"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141FD1DD"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23C2BDDD"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00FA9211"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27C2544B"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65288AFA"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5F6873F8"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4535DCD7"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3E660596"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6AF13164"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4200CABB"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336E3616"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261DAEC7" w14:textId="77777777" w:rsidR="00D80C34" w:rsidRDefault="00D80C34" w:rsidP="006246FC">
            <w:pPr>
              <w:spacing w:line="276" w:lineRule="auto"/>
              <w:jc w:val="both"/>
              <w:rPr>
                <w:rFonts w:ascii="Times New Roman" w:hAnsi="Times New Roman"/>
                <w:color w:val="000000" w:themeColor="text1"/>
                <w:sz w:val="18"/>
                <w:szCs w:val="18"/>
                <w:lang w:val="ro-RO"/>
              </w:rPr>
            </w:pPr>
          </w:p>
          <w:p w14:paraId="5BC6D864" w14:textId="77777777" w:rsidR="00626ED2" w:rsidRDefault="00626ED2" w:rsidP="006246FC">
            <w:pPr>
              <w:spacing w:line="276" w:lineRule="auto"/>
              <w:jc w:val="both"/>
              <w:rPr>
                <w:rFonts w:ascii="Times New Roman" w:hAnsi="Times New Roman"/>
                <w:color w:val="000000" w:themeColor="text1"/>
                <w:sz w:val="18"/>
                <w:szCs w:val="18"/>
                <w:lang w:val="ro-RO"/>
              </w:rPr>
            </w:pPr>
          </w:p>
          <w:p w14:paraId="766854D5" w14:textId="77777777" w:rsidR="00626ED2" w:rsidRPr="00DD6A7A" w:rsidRDefault="00626ED2" w:rsidP="006246FC">
            <w:pPr>
              <w:spacing w:line="276" w:lineRule="auto"/>
              <w:jc w:val="both"/>
              <w:rPr>
                <w:rFonts w:ascii="Times New Roman" w:hAnsi="Times New Roman"/>
                <w:color w:val="000000" w:themeColor="text1"/>
                <w:sz w:val="18"/>
                <w:szCs w:val="18"/>
                <w:lang w:val="ro-RO"/>
              </w:rPr>
            </w:pPr>
          </w:p>
          <w:p w14:paraId="1B8B6DC9" w14:textId="659D8E68" w:rsidR="00D80C34" w:rsidRPr="00DD6A7A" w:rsidRDefault="00D80C34" w:rsidP="006246FC">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100% din valoarea cheltuielilor de personal testate</w:t>
            </w:r>
          </w:p>
          <w:p w14:paraId="4EFF7BFB"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3A441C5C"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6200B688"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506779B0"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2CB43F90"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19F73D00"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3CEBD9A1"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3F08CAE8"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4F5D02D1"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3E41F247"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02F86C48"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0F5EBB82"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404C2A4B"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44FF5557"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1279B922"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62C00E9D"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7CFD7EE3"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100% din cheltuieli pentru deplasarea angajaților peste hotarele RM</w:t>
            </w:r>
          </w:p>
          <w:p w14:paraId="23F9D336" w14:textId="77777777" w:rsidR="00D80C34" w:rsidRPr="00DD6A7A" w:rsidRDefault="00D80C34" w:rsidP="006246FC">
            <w:pPr>
              <w:jc w:val="both"/>
              <w:rPr>
                <w:rFonts w:ascii="Times New Roman" w:hAnsi="Times New Roman"/>
                <w:color w:val="000000" w:themeColor="text1"/>
                <w:sz w:val="18"/>
                <w:szCs w:val="18"/>
                <w:lang w:val="ro-RO"/>
              </w:rPr>
            </w:pPr>
          </w:p>
          <w:p w14:paraId="42288520" w14:textId="77777777" w:rsidR="00D80C34" w:rsidRPr="00DD6A7A" w:rsidRDefault="00D80C34" w:rsidP="006246FC">
            <w:pPr>
              <w:jc w:val="both"/>
              <w:rPr>
                <w:rFonts w:ascii="Times New Roman" w:hAnsi="Times New Roman"/>
                <w:color w:val="000000" w:themeColor="text1"/>
                <w:sz w:val="18"/>
                <w:szCs w:val="18"/>
                <w:lang w:val="ro-RO"/>
              </w:rPr>
            </w:pPr>
          </w:p>
          <w:p w14:paraId="2787F38B" w14:textId="77777777" w:rsidR="00D80C34" w:rsidRPr="00DD6A7A" w:rsidRDefault="00D80C34" w:rsidP="006246FC">
            <w:pPr>
              <w:jc w:val="both"/>
              <w:rPr>
                <w:rFonts w:ascii="Times New Roman" w:hAnsi="Times New Roman"/>
                <w:color w:val="000000" w:themeColor="text1"/>
                <w:sz w:val="18"/>
                <w:szCs w:val="18"/>
                <w:lang w:val="ro-RO"/>
              </w:rPr>
            </w:pPr>
          </w:p>
          <w:p w14:paraId="2596E9F3" w14:textId="77777777" w:rsidR="00D80C34" w:rsidRPr="00DD6A7A" w:rsidRDefault="00D80C34" w:rsidP="006246FC">
            <w:pPr>
              <w:jc w:val="both"/>
              <w:rPr>
                <w:rFonts w:ascii="Times New Roman" w:hAnsi="Times New Roman"/>
                <w:color w:val="000000" w:themeColor="text1"/>
                <w:sz w:val="18"/>
                <w:szCs w:val="18"/>
                <w:lang w:val="ro-RO"/>
              </w:rPr>
            </w:pPr>
          </w:p>
          <w:p w14:paraId="2999C993" w14:textId="77777777" w:rsidR="00D80C34" w:rsidRPr="00DD6A7A" w:rsidRDefault="00D80C34" w:rsidP="006246FC">
            <w:pPr>
              <w:jc w:val="both"/>
              <w:rPr>
                <w:rFonts w:ascii="Times New Roman" w:hAnsi="Times New Roman"/>
                <w:color w:val="000000" w:themeColor="text1"/>
                <w:sz w:val="18"/>
                <w:szCs w:val="18"/>
                <w:lang w:val="ro-RO"/>
              </w:rPr>
            </w:pPr>
          </w:p>
          <w:p w14:paraId="0BD6CC05" w14:textId="77777777" w:rsidR="00D80C34" w:rsidRPr="00DD6A7A" w:rsidRDefault="00D80C34" w:rsidP="006246FC">
            <w:pPr>
              <w:jc w:val="both"/>
              <w:rPr>
                <w:rFonts w:ascii="Times New Roman" w:hAnsi="Times New Roman"/>
                <w:color w:val="000000" w:themeColor="text1"/>
                <w:sz w:val="18"/>
                <w:szCs w:val="18"/>
                <w:lang w:val="ro-RO"/>
              </w:rPr>
            </w:pPr>
          </w:p>
          <w:p w14:paraId="4A5D9776" w14:textId="77777777" w:rsidR="00D80C34" w:rsidRPr="00DD6A7A" w:rsidRDefault="00D80C34" w:rsidP="006246FC">
            <w:pPr>
              <w:jc w:val="both"/>
              <w:rPr>
                <w:rFonts w:ascii="Times New Roman" w:hAnsi="Times New Roman"/>
                <w:color w:val="000000" w:themeColor="text1"/>
                <w:sz w:val="18"/>
                <w:szCs w:val="18"/>
                <w:lang w:val="ro-RO"/>
              </w:rPr>
            </w:pPr>
          </w:p>
          <w:p w14:paraId="038853D3" w14:textId="77777777" w:rsidR="00D80C34" w:rsidRPr="00DD6A7A" w:rsidRDefault="00D80C34" w:rsidP="006246FC">
            <w:pPr>
              <w:jc w:val="both"/>
              <w:rPr>
                <w:rFonts w:ascii="Times New Roman" w:hAnsi="Times New Roman"/>
                <w:color w:val="000000" w:themeColor="text1"/>
                <w:sz w:val="18"/>
                <w:szCs w:val="18"/>
                <w:lang w:val="ro-RO"/>
              </w:rPr>
            </w:pPr>
          </w:p>
          <w:p w14:paraId="200483D8" w14:textId="0CFC0546" w:rsidR="00D80C34" w:rsidRPr="00DD6A7A" w:rsidRDefault="00D80C34" w:rsidP="006246FC">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lastRenderedPageBreak/>
              <w:t xml:space="preserve">100% din valoarea cheltuielilor privind utilizarea </w:t>
            </w:r>
            <w:r w:rsidR="00F81701">
              <w:rPr>
                <w:rFonts w:ascii="Times New Roman" w:hAnsi="Times New Roman"/>
                <w:color w:val="000000" w:themeColor="text1"/>
                <w:sz w:val="18"/>
                <w:szCs w:val="18"/>
                <w:lang w:val="ro-RO"/>
              </w:rPr>
              <w:t>carburanți</w:t>
            </w:r>
            <w:r w:rsidRPr="00DD6A7A">
              <w:rPr>
                <w:rFonts w:ascii="Times New Roman" w:hAnsi="Times New Roman"/>
                <w:color w:val="000000" w:themeColor="text1"/>
                <w:sz w:val="18"/>
                <w:szCs w:val="18"/>
                <w:lang w:val="ro-RO"/>
              </w:rPr>
              <w:t xml:space="preserve">ului; </w:t>
            </w:r>
          </w:p>
          <w:p w14:paraId="6842C62A"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p w14:paraId="64B92B26" w14:textId="77777777" w:rsidR="00D80C34" w:rsidRPr="00DD6A7A" w:rsidRDefault="00D80C34" w:rsidP="006246FC">
            <w:pPr>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100 % din valoarea totală a cheltuielilor de întreținere a unităților de transport.</w:t>
            </w:r>
          </w:p>
        </w:tc>
      </w:tr>
      <w:tr w:rsidR="00D80C34" w:rsidRPr="00DD6A7A" w14:paraId="7101B42C" w14:textId="77777777" w:rsidTr="000975E2">
        <w:trPr>
          <w:trHeight w:val="499"/>
        </w:trPr>
        <w:tc>
          <w:tcPr>
            <w:tcW w:w="9805" w:type="dxa"/>
            <w:gridSpan w:val="4"/>
            <w:vAlign w:val="center"/>
          </w:tcPr>
          <w:p w14:paraId="112FC769" w14:textId="2A8D4D56" w:rsidR="00D80C34" w:rsidRPr="00DD6A7A" w:rsidRDefault="00D80C34" w:rsidP="003D45BE">
            <w:pPr>
              <w:spacing w:line="276" w:lineRule="auto"/>
              <w:jc w:val="both"/>
              <w:rPr>
                <w:rFonts w:ascii="Times New Roman" w:hAnsi="Times New Roman"/>
                <w:b/>
                <w:color w:val="000000" w:themeColor="text1"/>
                <w:sz w:val="18"/>
                <w:szCs w:val="18"/>
                <w:lang w:val="ro-RO"/>
              </w:rPr>
            </w:pPr>
            <w:r w:rsidRPr="00DD6A7A">
              <w:rPr>
                <w:rFonts w:ascii="Times New Roman" w:eastAsiaTheme="majorEastAsia" w:hAnsi="Times New Roman"/>
                <w:b/>
                <w:color w:val="000000" w:themeColor="text1"/>
                <w:sz w:val="18"/>
                <w:szCs w:val="18"/>
              </w:rPr>
              <w:lastRenderedPageBreak/>
              <w:t>OBIECTIVUL nr.</w:t>
            </w:r>
            <w:r w:rsidR="003D45BE" w:rsidRPr="00DD6A7A" w:rsidDel="003D45BE">
              <w:rPr>
                <w:rFonts w:ascii="Times New Roman" w:eastAsiaTheme="majorEastAsia" w:hAnsi="Times New Roman"/>
                <w:b/>
                <w:color w:val="000000" w:themeColor="text1"/>
                <w:sz w:val="18"/>
                <w:szCs w:val="18"/>
              </w:rPr>
              <w:t xml:space="preserve"> </w:t>
            </w:r>
            <w:r w:rsidRPr="00DD6A7A">
              <w:rPr>
                <w:rFonts w:ascii="Times New Roman" w:eastAsiaTheme="majorEastAsia" w:hAnsi="Times New Roman"/>
                <w:b/>
                <w:color w:val="000000" w:themeColor="text1"/>
                <w:sz w:val="18"/>
                <w:szCs w:val="18"/>
              </w:rPr>
              <w:t>3: CNPDCP a asigurat un management prudent și conformat rigorilor privind gestionarea patrimoniului entității?</w:t>
            </w:r>
          </w:p>
        </w:tc>
      </w:tr>
      <w:tr w:rsidR="00D80C34" w:rsidRPr="00DD6A7A" w14:paraId="417B0A1D" w14:textId="77777777" w:rsidTr="000975E2">
        <w:trPr>
          <w:trHeight w:val="249"/>
        </w:trPr>
        <w:tc>
          <w:tcPr>
            <w:tcW w:w="1975" w:type="dxa"/>
          </w:tcPr>
          <w:p w14:paraId="696A028E" w14:textId="5394446E" w:rsidR="00D80C34" w:rsidRPr="00DD6A7A" w:rsidRDefault="003B6E4B" w:rsidP="003D45BE">
            <w:pPr>
              <w:spacing w:after="120"/>
              <w:jc w:val="both"/>
              <w:rPr>
                <w:rFonts w:ascii="Times New Roman" w:hAnsi="Times New Roman"/>
                <w:color w:val="000000" w:themeColor="text1"/>
                <w:sz w:val="18"/>
                <w:szCs w:val="18"/>
              </w:rPr>
            </w:pPr>
            <w:r w:rsidRPr="00DD6A7A">
              <w:rPr>
                <w:rFonts w:ascii="Times New Roman" w:hAnsi="Times New Roman"/>
                <w:color w:val="000000" w:themeColor="text1"/>
                <w:sz w:val="18"/>
                <w:szCs w:val="18"/>
              </w:rPr>
              <w:t xml:space="preserve">4.3.1. Este necesară îmbunătățirea activităților aferente monitoringului economico-financiar al patrimoniului aflat în administrarea/gestiunea instituției.  </w:t>
            </w:r>
          </w:p>
        </w:tc>
        <w:tc>
          <w:tcPr>
            <w:tcW w:w="2970" w:type="dxa"/>
          </w:tcPr>
          <w:p w14:paraId="22F0E41E" w14:textId="77777777" w:rsidR="00D80C34" w:rsidRPr="00DD6A7A" w:rsidRDefault="00D80C34" w:rsidP="006246FC">
            <w:pPr>
              <w:jc w:val="both"/>
              <w:rPr>
                <w:rFonts w:ascii="Times New Roman" w:eastAsia="Times New Roman" w:hAnsi="Times New Roman"/>
                <w:color w:val="000000" w:themeColor="text1"/>
                <w:sz w:val="18"/>
                <w:szCs w:val="18"/>
                <w:lang w:eastAsia="ru-RU"/>
              </w:rPr>
            </w:pPr>
            <w:r w:rsidRPr="00DD6A7A">
              <w:rPr>
                <w:rFonts w:ascii="Times New Roman" w:eastAsia="Times New Roman" w:hAnsi="Times New Roman"/>
                <w:bCs/>
                <w:color w:val="000000" w:themeColor="text1"/>
                <w:sz w:val="18"/>
                <w:szCs w:val="18"/>
              </w:rPr>
              <w:t>Regulamentul privind inventarierea</w:t>
            </w:r>
            <w:r w:rsidRPr="00DD6A7A">
              <w:rPr>
                <w:rFonts w:ascii="Times New Roman" w:eastAsia="Times New Roman" w:hAnsi="Times New Roman"/>
                <w:color w:val="000000" w:themeColor="text1"/>
                <w:sz w:val="18"/>
                <w:szCs w:val="18"/>
                <w:lang w:eastAsia="ru-RU"/>
              </w:rPr>
              <w:t>, aprobat prin Ordinul ministrului Finanțelor nr.60 din 29.05.2012.</w:t>
            </w:r>
          </w:p>
          <w:p w14:paraId="0E6C2745" w14:textId="77777777" w:rsidR="00D80C34" w:rsidRPr="00DD6A7A" w:rsidRDefault="00D80C34" w:rsidP="006246FC">
            <w:pPr>
              <w:jc w:val="both"/>
              <w:rPr>
                <w:rFonts w:ascii="Times New Roman" w:eastAsia="Times New Roman" w:hAnsi="Times New Roman"/>
                <w:bCs/>
                <w:color w:val="000000" w:themeColor="text1"/>
                <w:sz w:val="18"/>
                <w:szCs w:val="18"/>
                <w:lang w:val="ro-RO"/>
              </w:rPr>
            </w:pPr>
            <w:r w:rsidRPr="00DD6A7A">
              <w:rPr>
                <w:rFonts w:ascii="Times New Roman" w:hAnsi="Times New Roman"/>
                <w:color w:val="000000" w:themeColor="text1"/>
                <w:sz w:val="18"/>
                <w:szCs w:val="18"/>
                <w:lang w:val="ro-RO"/>
              </w:rPr>
              <w:t>Ordinul ministrului finanțelor nr.216 din 28.12.2015; Ordinul MF nr.71 din 29.06.2022 cu privire la aprobarea Catalogului MF și AN pentru autorități/instituții bugetare,</w:t>
            </w:r>
            <w:r w:rsidRPr="00DD6A7A">
              <w:rPr>
                <w:rFonts w:ascii="Times New Roman" w:hAnsi="Times New Roman"/>
                <w:color w:val="000000" w:themeColor="text1"/>
                <w:sz w:val="18"/>
                <w:szCs w:val="18"/>
                <w:lang w:val="ro-RO"/>
              </w:rPr>
              <w:br/>
              <w:t>Hotărârea Guvernului nr.883 din 25.11.2011 cu privire la aprobarea Conceptului tehnic al SIA ,,</w:t>
            </w:r>
            <w:r w:rsidRPr="00DD6A7A">
              <w:rPr>
                <w:rFonts w:ascii="Times New Roman" w:eastAsia="Times New Roman" w:hAnsi="Times New Roman"/>
                <w:bCs/>
                <w:color w:val="000000" w:themeColor="text1"/>
                <w:sz w:val="18"/>
                <w:szCs w:val="18"/>
                <w:lang w:val="ro-RO"/>
              </w:rPr>
              <w:t xml:space="preserve"> Regulamentului Registrului de evidentă a operatorilor de date cu caracter personal”.</w:t>
            </w:r>
          </w:p>
          <w:p w14:paraId="662B49C5" w14:textId="77777777" w:rsidR="00D80C34" w:rsidRPr="00DD6A7A" w:rsidRDefault="00D80C34" w:rsidP="006246FC">
            <w:pPr>
              <w:pStyle w:val="FootnoteText"/>
              <w:jc w:val="both"/>
              <w:rPr>
                <w:rFonts w:ascii="Times New Roman" w:hAnsi="Times New Roman"/>
                <w:color w:val="000000" w:themeColor="text1"/>
                <w:sz w:val="18"/>
                <w:szCs w:val="18"/>
                <w:lang w:val="ro-RO"/>
              </w:rPr>
            </w:pPr>
            <w:r w:rsidRPr="00DD6A7A">
              <w:rPr>
                <w:rFonts w:ascii="Times New Roman" w:eastAsia="Times New Roman" w:hAnsi="Times New Roman"/>
                <w:bCs/>
                <w:color w:val="000000" w:themeColor="text1"/>
                <w:sz w:val="18"/>
                <w:szCs w:val="18"/>
              </w:rPr>
              <w:t>A</w:t>
            </w:r>
            <w:r w:rsidRPr="00DD6A7A">
              <w:rPr>
                <w:rFonts w:ascii="Times New Roman" w:eastAsia="Times New Roman" w:hAnsi="Times New Roman"/>
                <w:bCs/>
                <w:color w:val="000000" w:themeColor="text1"/>
                <w:sz w:val="18"/>
                <w:szCs w:val="18"/>
                <w:lang w:val="ro-RO"/>
              </w:rPr>
              <w:t xml:space="preserve">rt.21 din Directiva 95/46/CE a </w:t>
            </w:r>
            <w:r w:rsidRPr="00DD6A7A">
              <w:rPr>
                <w:rFonts w:ascii="Times New Roman" w:eastAsia="Times New Roman" w:hAnsi="Times New Roman"/>
                <w:color w:val="000000" w:themeColor="text1"/>
                <w:sz w:val="18"/>
                <w:szCs w:val="18"/>
                <w:lang w:val="ro-RO"/>
              </w:rPr>
              <w:t>Parlamentului European și a Consiliului</w:t>
            </w:r>
            <w:r w:rsidRPr="00DD6A7A">
              <w:rPr>
                <w:rFonts w:ascii="Times New Roman" w:eastAsia="Times New Roman" w:hAnsi="Times New Roman"/>
                <w:bCs/>
                <w:color w:val="000000" w:themeColor="text1"/>
                <w:sz w:val="18"/>
                <w:szCs w:val="18"/>
                <w:lang w:val="ro-RO"/>
              </w:rPr>
              <w:t xml:space="preserve"> din 24 octombrie 1995 privind protecția persoanelor fizice în ceea ce privește prelucrarea datelor cu caracter personal și libera circulație a acestora.</w:t>
            </w:r>
          </w:p>
          <w:p w14:paraId="25BA0440" w14:textId="77777777" w:rsidR="00D80C34" w:rsidRPr="00DD6A7A" w:rsidRDefault="00D80C34" w:rsidP="006246FC">
            <w:pPr>
              <w:jc w:val="both"/>
              <w:rPr>
                <w:rFonts w:ascii="Times New Roman" w:eastAsia="Times New Roman" w:hAnsi="Times New Roman"/>
                <w:bCs/>
                <w:color w:val="000000" w:themeColor="text1"/>
                <w:sz w:val="18"/>
                <w:szCs w:val="18"/>
                <w:lang w:val="ro-RO"/>
              </w:rPr>
            </w:pPr>
            <w:r w:rsidRPr="00DD6A7A">
              <w:rPr>
                <w:rFonts w:ascii="Times New Roman" w:hAnsi="Times New Roman"/>
                <w:color w:val="000000" w:themeColor="text1"/>
                <w:sz w:val="18"/>
                <w:szCs w:val="18"/>
                <w:lang w:val="ro-RO"/>
              </w:rPr>
              <w:t>Hotărârea Guvernului nr. 296 din 15.05.2012 „P</w:t>
            </w:r>
            <w:r w:rsidRPr="00DD6A7A">
              <w:rPr>
                <w:rFonts w:ascii="Times New Roman" w:eastAsia="Times New Roman" w:hAnsi="Times New Roman"/>
                <w:bCs/>
                <w:color w:val="000000" w:themeColor="text1"/>
                <w:sz w:val="18"/>
                <w:szCs w:val="18"/>
                <w:lang w:val="ro-RO"/>
              </w:rPr>
              <w:t>rivind aprobarea Regulamentului Registrului de evidentă a operatorilor de date cu caracter personal;</w:t>
            </w:r>
          </w:p>
          <w:p w14:paraId="6C41E47D" w14:textId="77777777" w:rsidR="00D80C34" w:rsidRPr="00DD6A7A" w:rsidRDefault="00D80C34" w:rsidP="006246FC">
            <w:pPr>
              <w:spacing w:line="276" w:lineRule="auto"/>
              <w:contextualSpacing/>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lastRenderedPageBreak/>
              <w:t>Hotărârea Guvernului nr.624 din 23 iulie 2014.</w:t>
            </w:r>
          </w:p>
        </w:tc>
        <w:tc>
          <w:tcPr>
            <w:tcW w:w="3060" w:type="dxa"/>
          </w:tcPr>
          <w:p w14:paraId="36E77610" w14:textId="77777777" w:rsidR="00D80C34" w:rsidRPr="00DD6A7A" w:rsidRDefault="00D80C34" w:rsidP="006246FC">
            <w:pPr>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lastRenderedPageBreak/>
              <w:t>-analiza Informației privind mișcarea mijloacelor fixe, stocurilor de materiale circulante, documentelor primare, casarea activelor/decontarea materialelor, Registru prind calcularea uzurii, informație cu privire la inventarierea patrimoniului public, fișele mijloacelor fixe, reparațiile mijloacelor fixe,</w:t>
            </w:r>
          </w:p>
          <w:p w14:paraId="68A917F4" w14:textId="77777777" w:rsidR="00D80C34" w:rsidRPr="00DD6A7A" w:rsidRDefault="00D80C34" w:rsidP="006246FC">
            <w:pPr>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-recalcularea uzurii/amortizării MF/AN,</w:t>
            </w:r>
          </w:p>
          <w:p w14:paraId="3A08EB2B" w14:textId="77777777" w:rsidR="00D80C34" w:rsidRPr="00DD6A7A" w:rsidRDefault="00D80C34" w:rsidP="006246FC">
            <w:pPr>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-observarea fizică  soldurilor de mijloace fixe și stocurilor de materiale la depozit</w:t>
            </w:r>
          </w:p>
          <w:p w14:paraId="0332B04F" w14:textId="77777777" w:rsidR="00D80C34" w:rsidRPr="00DD6A7A" w:rsidRDefault="00D80C34" w:rsidP="006246FC">
            <w:pPr>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-reconcilierea datelor privind mijloacele fixe înregistrate în evidenta contabilă cu datele din Dările d</w:t>
            </w:r>
            <w:r w:rsidR="00640CFF" w:rsidRPr="00DD6A7A">
              <w:rPr>
                <w:rFonts w:ascii="Times New Roman" w:hAnsi="Times New Roman"/>
                <w:color w:val="000000" w:themeColor="text1"/>
                <w:sz w:val="18"/>
                <w:szCs w:val="18"/>
                <w:lang w:val="ro-RO"/>
              </w:rPr>
              <w:t>e</w:t>
            </w:r>
            <w:r w:rsidRPr="00DD6A7A">
              <w:rPr>
                <w:rFonts w:ascii="Times New Roman" w:hAnsi="Times New Roman"/>
                <w:color w:val="000000" w:themeColor="text1"/>
                <w:sz w:val="18"/>
                <w:szCs w:val="18"/>
                <w:lang w:val="ro-RO"/>
              </w:rPr>
              <w:t xml:space="preserve"> seamă prezentate APP.</w:t>
            </w:r>
          </w:p>
        </w:tc>
        <w:tc>
          <w:tcPr>
            <w:tcW w:w="1800" w:type="dxa"/>
          </w:tcPr>
          <w:p w14:paraId="4AA27874"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100% soldurile mijloacelor fixe, activelor nemateriale, uzura MF /amortizarea AN, casarea activelor, cheltuieli privind întreținerea și reparațiile activelor,</w:t>
            </w:r>
          </w:p>
          <w:p w14:paraId="55F3C4FF"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100% soldurile stocurilor de materiale circulante, decontarea materialelor</w:t>
            </w:r>
          </w:p>
          <w:p w14:paraId="03D946BA" w14:textId="77777777" w:rsidR="00D80C34" w:rsidRPr="00DD6A7A" w:rsidRDefault="00D80C34" w:rsidP="006246FC">
            <w:pPr>
              <w:spacing w:line="276" w:lineRule="auto"/>
              <w:jc w:val="both"/>
              <w:rPr>
                <w:rFonts w:ascii="Times New Roman" w:hAnsi="Times New Roman"/>
                <w:color w:val="000000" w:themeColor="text1"/>
                <w:sz w:val="18"/>
                <w:szCs w:val="18"/>
                <w:lang w:val="ro-RO"/>
              </w:rPr>
            </w:pPr>
          </w:p>
        </w:tc>
      </w:tr>
      <w:tr w:rsidR="00D80C34" w:rsidRPr="00DD6A7A" w14:paraId="326A4811" w14:textId="77777777" w:rsidTr="000975E2">
        <w:trPr>
          <w:trHeight w:val="249"/>
        </w:trPr>
        <w:tc>
          <w:tcPr>
            <w:tcW w:w="9805" w:type="dxa"/>
            <w:gridSpan w:val="4"/>
          </w:tcPr>
          <w:p w14:paraId="283FCB62" w14:textId="4260E71B" w:rsidR="00D80C34" w:rsidRPr="00DD6A7A" w:rsidRDefault="00D80C34" w:rsidP="003D45BE">
            <w:pPr>
              <w:keepNext/>
              <w:keepLines/>
              <w:tabs>
                <w:tab w:val="left" w:pos="426"/>
              </w:tabs>
              <w:spacing w:line="276" w:lineRule="auto"/>
              <w:jc w:val="both"/>
              <w:rPr>
                <w:rFonts w:ascii="Times New Roman" w:eastAsiaTheme="majorEastAsia" w:hAnsi="Times New Roman"/>
                <w:b/>
                <w:color w:val="000000" w:themeColor="text1"/>
                <w:sz w:val="18"/>
                <w:szCs w:val="18"/>
              </w:rPr>
            </w:pPr>
            <w:bookmarkStart w:id="48" w:name="_Toc153442341"/>
            <w:r w:rsidRPr="00DD6A7A">
              <w:rPr>
                <w:rFonts w:ascii="Times New Roman" w:eastAsiaTheme="majorEastAsia" w:hAnsi="Times New Roman"/>
                <w:b/>
                <w:color w:val="000000" w:themeColor="text1"/>
                <w:sz w:val="18"/>
                <w:szCs w:val="18"/>
              </w:rPr>
              <w:t xml:space="preserve">OBIECTIVUL nr.4: CNPDCP, în calitate de autoritate publică, </w:t>
            </w:r>
            <w:r w:rsidR="00FB3277">
              <w:rPr>
                <w:rFonts w:ascii="Times New Roman" w:eastAsiaTheme="majorEastAsia" w:hAnsi="Times New Roman"/>
                <w:b/>
                <w:color w:val="000000" w:themeColor="text1"/>
                <w:sz w:val="18"/>
                <w:szCs w:val="18"/>
              </w:rPr>
              <w:t>a implementat</w:t>
            </w:r>
            <w:r w:rsidRPr="00DD6A7A">
              <w:rPr>
                <w:rFonts w:ascii="Times New Roman" w:eastAsiaTheme="majorEastAsia" w:hAnsi="Times New Roman"/>
                <w:b/>
                <w:color w:val="000000" w:themeColor="text1"/>
                <w:sz w:val="18"/>
                <w:szCs w:val="18"/>
              </w:rPr>
              <w:t xml:space="preserve"> un sistem de control intern managerial funcțional?</w:t>
            </w:r>
            <w:bookmarkEnd w:id="48"/>
          </w:p>
        </w:tc>
      </w:tr>
      <w:tr w:rsidR="00D80C34" w:rsidRPr="00DD6A7A" w14:paraId="2680ED44" w14:textId="77777777" w:rsidTr="000975E2">
        <w:trPr>
          <w:trHeight w:val="249"/>
        </w:trPr>
        <w:tc>
          <w:tcPr>
            <w:tcW w:w="1975" w:type="dxa"/>
          </w:tcPr>
          <w:p w14:paraId="325B895F" w14:textId="229C62D2" w:rsidR="00D80C34" w:rsidRPr="00DD6A7A" w:rsidRDefault="003A7EBF" w:rsidP="006F59D3">
            <w:pPr>
              <w:pStyle w:val="ListParagraph"/>
              <w:numPr>
                <w:ilvl w:val="2"/>
                <w:numId w:val="16"/>
              </w:numPr>
              <w:tabs>
                <w:tab w:val="left" w:pos="459"/>
              </w:tabs>
              <w:spacing w:after="120"/>
              <w:ind w:left="-108" w:firstLine="108"/>
              <w:jc w:val="both"/>
              <w:rPr>
                <w:rFonts w:ascii="Times New Roman" w:hAnsi="Times New Roman"/>
                <w:color w:val="000000" w:themeColor="text1"/>
                <w:sz w:val="18"/>
                <w:szCs w:val="18"/>
              </w:rPr>
            </w:pPr>
            <w:r w:rsidRPr="00DD6A7A">
              <w:rPr>
                <w:rFonts w:ascii="Times New Roman" w:hAnsi="Times New Roman"/>
                <w:color w:val="000000" w:themeColor="text1"/>
                <w:sz w:val="18"/>
                <w:szCs w:val="18"/>
              </w:rPr>
              <w:t>Componentele</w:t>
            </w:r>
            <w:r w:rsidR="006F59D3" w:rsidRPr="00DD6A7A">
              <w:rPr>
                <w:rFonts w:ascii="Times New Roman" w:hAnsi="Times New Roman"/>
                <w:color w:val="000000" w:themeColor="text1"/>
                <w:sz w:val="18"/>
                <w:szCs w:val="18"/>
              </w:rPr>
              <w:t xml:space="preserve"> controlului  intern managerial în cadrul CNPDCP necesită a fi fortificate</w:t>
            </w:r>
            <w:r w:rsidR="003D45BE">
              <w:rPr>
                <w:rFonts w:ascii="Times New Roman" w:hAnsi="Times New Roman"/>
                <w:color w:val="000000" w:themeColor="text1"/>
                <w:sz w:val="18"/>
                <w:szCs w:val="18"/>
              </w:rPr>
              <w:t>.</w:t>
            </w:r>
          </w:p>
        </w:tc>
        <w:tc>
          <w:tcPr>
            <w:tcW w:w="2970" w:type="dxa"/>
          </w:tcPr>
          <w:p w14:paraId="7CB1C924" w14:textId="3588E037" w:rsidR="00D80C34" w:rsidRPr="00DD6A7A" w:rsidRDefault="00D80C34" w:rsidP="006246FC">
            <w:pPr>
              <w:pStyle w:val="10"/>
              <w:rPr>
                <w:rFonts w:ascii="Times New Roman" w:hAnsi="Times New Roman" w:cs="Times New Roman"/>
                <w:color w:val="000000" w:themeColor="text1"/>
                <w:sz w:val="18"/>
                <w:szCs w:val="18"/>
              </w:rPr>
            </w:pPr>
            <w:r w:rsidRPr="00DD6A7A">
              <w:rPr>
                <w:rFonts w:ascii="Times New Roman" w:hAnsi="Times New Roman" w:cs="Times New Roman"/>
                <w:color w:val="000000" w:themeColor="text1"/>
                <w:sz w:val="18"/>
                <w:szCs w:val="18"/>
              </w:rPr>
              <w:t>Legea nr.229 din 23.09.2010 privind controlul financiar public intern; Ordinele ministrului Finanțelor nr.189 din 05.11.2015 „Cu privire la aprobarea Standardelor naționale de control intern în sectorul public” și nr.4 din 09.01.2019 „Cu privire la aprobarea Regulamentului privind autoevaluarea, raportarea sistemului de control intern managerial și emiterea Declarației de răspundere managerială”.</w:t>
            </w:r>
          </w:p>
          <w:p w14:paraId="4B7E5CCB" w14:textId="77777777" w:rsidR="00D80C34" w:rsidRPr="00DD6A7A" w:rsidRDefault="00D80C34" w:rsidP="006246FC">
            <w:pPr>
              <w:pStyle w:val="10"/>
              <w:rPr>
                <w:rFonts w:ascii="Times New Roman" w:hAnsi="Times New Roman" w:cs="Times New Roman"/>
                <w:color w:val="000000" w:themeColor="text1"/>
                <w:sz w:val="18"/>
                <w:szCs w:val="18"/>
              </w:rPr>
            </w:pPr>
            <w:r w:rsidRPr="00DD6A7A">
              <w:rPr>
                <w:rFonts w:ascii="Times New Roman" w:hAnsi="Times New Roman" w:cs="Times New Roman"/>
                <w:color w:val="000000" w:themeColor="text1"/>
                <w:sz w:val="18"/>
                <w:szCs w:val="18"/>
              </w:rPr>
              <w:t>Ordinul ministrului Finanțelor nr. 189 din 05.11.2015 cu privire la aprobarea Standardelor naționale de control intern în sectorul public.</w:t>
            </w:r>
          </w:p>
          <w:p w14:paraId="49BAB52E" w14:textId="77777777" w:rsidR="00D80C34" w:rsidRPr="00DD6A7A" w:rsidRDefault="00D80C34" w:rsidP="006246FC">
            <w:pPr>
              <w:pStyle w:val="10"/>
              <w:rPr>
                <w:rFonts w:ascii="Times New Roman" w:eastAsia="Times New Roman" w:hAnsi="Times New Roman" w:cs="Times New Roman"/>
                <w:bCs/>
                <w:color w:val="000000" w:themeColor="text1"/>
                <w:sz w:val="18"/>
                <w:szCs w:val="18"/>
              </w:rPr>
            </w:pPr>
            <w:r w:rsidRPr="00DD6A7A">
              <w:rPr>
                <w:rFonts w:ascii="Times New Roman" w:eastAsia="Times New Roman" w:hAnsi="Times New Roman" w:cs="Times New Roman"/>
                <w:bCs/>
                <w:color w:val="000000" w:themeColor="text1"/>
                <w:sz w:val="18"/>
                <w:szCs w:val="18"/>
                <w:lang w:val="ro-RO"/>
              </w:rPr>
              <w:t>Hotărârea Guvernului  nr.201  din  11.03.2009 privind punerea în aplicare a prevederilor Legii nr.158/2008 cu privire la funcția publică şi statutul funcționarului public.</w:t>
            </w:r>
          </w:p>
        </w:tc>
        <w:tc>
          <w:tcPr>
            <w:tcW w:w="3060" w:type="dxa"/>
          </w:tcPr>
          <w:p w14:paraId="1AC592F5" w14:textId="77777777" w:rsidR="00D80C34" w:rsidRPr="00DD6A7A" w:rsidRDefault="00D80C34" w:rsidP="006246FC">
            <w:pPr>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Analiza Statelor de personal aprobate, Schemelor de încadrare, funcțiile aprobate/ocupate vacante, structura organizațională, Regulamentelor interne ale subdiviziunilor, fișelor postului, contracte de răspundere materiale, rapoartelor de audit intern,  Registru Riscurilor, procese descrise, raport privind evaluarea sistemului de control intern pentru emiterea Declarației de bună guvernare.</w:t>
            </w:r>
          </w:p>
        </w:tc>
        <w:tc>
          <w:tcPr>
            <w:tcW w:w="1800" w:type="dxa"/>
          </w:tcPr>
          <w:p w14:paraId="28A39467" w14:textId="5F0E7BCA" w:rsidR="00D80C34" w:rsidRPr="00DD6A7A" w:rsidRDefault="00D80C34" w:rsidP="003D45BE">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100% testarea  procese</w:t>
            </w:r>
            <w:r w:rsidR="003D45BE">
              <w:rPr>
                <w:rFonts w:ascii="Times New Roman" w:hAnsi="Times New Roman"/>
                <w:color w:val="000000" w:themeColor="text1"/>
                <w:sz w:val="18"/>
                <w:szCs w:val="18"/>
                <w:lang w:val="ro-RO"/>
              </w:rPr>
              <w:t>lor</w:t>
            </w:r>
            <w:r w:rsidRPr="00DD6A7A">
              <w:rPr>
                <w:rFonts w:ascii="Times New Roman" w:hAnsi="Times New Roman"/>
                <w:color w:val="000000" w:themeColor="text1"/>
                <w:sz w:val="18"/>
                <w:szCs w:val="18"/>
                <w:lang w:val="ro-RO"/>
              </w:rPr>
              <w:t xml:space="preserve"> descrise, Registru</w:t>
            </w:r>
            <w:r w:rsidR="003D45BE">
              <w:rPr>
                <w:rFonts w:ascii="Times New Roman" w:hAnsi="Times New Roman"/>
                <w:color w:val="000000" w:themeColor="text1"/>
                <w:sz w:val="18"/>
                <w:szCs w:val="18"/>
                <w:lang w:val="ro-RO"/>
              </w:rPr>
              <w:t>l</w:t>
            </w:r>
            <w:r w:rsidRPr="00DD6A7A">
              <w:rPr>
                <w:rFonts w:ascii="Times New Roman" w:hAnsi="Times New Roman"/>
                <w:color w:val="000000" w:themeColor="text1"/>
                <w:sz w:val="18"/>
                <w:szCs w:val="18"/>
                <w:lang w:val="ro-RO"/>
              </w:rPr>
              <w:t xml:space="preserve"> </w:t>
            </w:r>
            <w:r w:rsidR="003D45BE">
              <w:rPr>
                <w:rFonts w:ascii="Times New Roman" w:hAnsi="Times New Roman"/>
                <w:color w:val="000000" w:themeColor="text1"/>
                <w:sz w:val="18"/>
                <w:szCs w:val="18"/>
                <w:lang w:val="ro-RO"/>
              </w:rPr>
              <w:t>r</w:t>
            </w:r>
            <w:r w:rsidRPr="00DD6A7A">
              <w:rPr>
                <w:rFonts w:ascii="Times New Roman" w:hAnsi="Times New Roman"/>
                <w:color w:val="000000" w:themeColor="text1"/>
                <w:sz w:val="18"/>
                <w:szCs w:val="18"/>
                <w:lang w:val="ro-RO"/>
              </w:rPr>
              <w:t>iscurilor</w:t>
            </w:r>
          </w:p>
        </w:tc>
      </w:tr>
    </w:tbl>
    <w:p w14:paraId="3B1B05DF" w14:textId="77777777" w:rsidR="00D80C34" w:rsidRPr="00DD6A7A" w:rsidRDefault="00D80C34" w:rsidP="008C1B8F">
      <w:pPr>
        <w:spacing w:after="0" w:line="276" w:lineRule="auto"/>
        <w:jc w:val="both"/>
        <w:rPr>
          <w:rFonts w:ascii="Times New Roman" w:hAnsi="Times New Roman" w:cs="Times New Roman"/>
          <w:color w:val="000000" w:themeColor="text1"/>
          <w:sz w:val="24"/>
          <w:szCs w:val="24"/>
        </w:rPr>
      </w:pPr>
    </w:p>
    <w:p w14:paraId="16BD1062" w14:textId="77777777" w:rsidR="00D80C34" w:rsidRPr="00DD6A7A" w:rsidRDefault="00D80C34" w:rsidP="008C1B8F">
      <w:pPr>
        <w:spacing w:after="0" w:line="276" w:lineRule="auto"/>
        <w:jc w:val="both"/>
        <w:rPr>
          <w:rFonts w:ascii="Times New Roman" w:hAnsi="Times New Roman" w:cs="Times New Roman"/>
          <w:color w:val="000000" w:themeColor="text1"/>
          <w:sz w:val="24"/>
          <w:szCs w:val="24"/>
        </w:rPr>
      </w:pPr>
    </w:p>
    <w:p w14:paraId="6E2A474E" w14:textId="77777777" w:rsidR="00531982" w:rsidRPr="00DD6A7A" w:rsidRDefault="00531982" w:rsidP="008C1B8F">
      <w:pPr>
        <w:spacing w:after="0"/>
        <w:jc w:val="right"/>
        <w:rPr>
          <w:rFonts w:ascii="Times New Roman" w:hAnsi="Times New Roman" w:cs="Times New Roman"/>
          <w:b/>
          <w:i/>
          <w:sz w:val="24"/>
          <w:szCs w:val="24"/>
        </w:rPr>
      </w:pPr>
      <w:r w:rsidRPr="00DD6A7A">
        <w:rPr>
          <w:rFonts w:ascii="Times New Roman" w:hAnsi="Times New Roman" w:cs="Times New Roman"/>
          <w:b/>
          <w:i/>
          <w:sz w:val="24"/>
          <w:szCs w:val="24"/>
        </w:rPr>
        <w:t>Anexa nr.</w:t>
      </w:r>
      <w:r w:rsidR="004738C4" w:rsidRPr="00DD6A7A">
        <w:rPr>
          <w:rFonts w:ascii="Times New Roman" w:hAnsi="Times New Roman" w:cs="Times New Roman"/>
          <w:b/>
          <w:i/>
          <w:sz w:val="24"/>
          <w:szCs w:val="24"/>
        </w:rPr>
        <w:t>6</w:t>
      </w:r>
    </w:p>
    <w:p w14:paraId="66FE7504" w14:textId="77777777" w:rsidR="00DA7582" w:rsidRPr="00DD6A7A" w:rsidRDefault="00DA7582" w:rsidP="008C1B8F">
      <w:pPr>
        <w:spacing w:after="0"/>
        <w:jc w:val="right"/>
        <w:rPr>
          <w:rFonts w:ascii="Times New Roman" w:hAnsi="Times New Roman" w:cs="Times New Roman"/>
          <w:b/>
          <w:i/>
          <w:sz w:val="24"/>
          <w:szCs w:val="24"/>
        </w:rPr>
      </w:pPr>
    </w:p>
    <w:p w14:paraId="4ADC1A0E" w14:textId="49AFDE1B" w:rsidR="001177AB" w:rsidRPr="00605F45" w:rsidRDefault="00531982" w:rsidP="00FD3C4C">
      <w:pPr>
        <w:spacing w:after="0"/>
        <w:jc w:val="center"/>
        <w:rPr>
          <w:rFonts w:ascii="Times New Roman" w:hAnsi="Times New Roman" w:cs="Times New Roman"/>
          <w:b/>
        </w:rPr>
      </w:pPr>
      <w:r w:rsidRPr="00605F45">
        <w:rPr>
          <w:rFonts w:ascii="Times New Roman" w:hAnsi="Times New Roman" w:cs="Times New Roman"/>
          <w:b/>
        </w:rPr>
        <w:t>Informați</w:t>
      </w:r>
      <w:r w:rsidR="003D45BE">
        <w:rPr>
          <w:rFonts w:ascii="Times New Roman" w:hAnsi="Times New Roman" w:cs="Times New Roman"/>
          <w:b/>
        </w:rPr>
        <w:t>i</w:t>
      </w:r>
      <w:r w:rsidRPr="00605F45">
        <w:rPr>
          <w:rFonts w:ascii="Times New Roman" w:hAnsi="Times New Roman" w:cs="Times New Roman"/>
          <w:b/>
        </w:rPr>
        <w:t xml:space="preserve"> privind indicatorii de performanță </w:t>
      </w:r>
      <w:r w:rsidR="00FD3C4C" w:rsidRPr="00605F45">
        <w:rPr>
          <w:rFonts w:ascii="Times New Roman" w:hAnsi="Times New Roman" w:cs="Times New Roman"/>
          <w:b/>
        </w:rPr>
        <w:t xml:space="preserve">neexecutați </w:t>
      </w:r>
      <w:r w:rsidRPr="00605F45">
        <w:rPr>
          <w:rFonts w:ascii="Times New Roman" w:hAnsi="Times New Roman" w:cs="Times New Roman"/>
          <w:b/>
        </w:rPr>
        <w:t xml:space="preserve">de către </w:t>
      </w:r>
      <w:r w:rsidR="00FD3C4C" w:rsidRPr="00605F45">
        <w:rPr>
          <w:rFonts w:ascii="Times New Roman" w:hAnsi="Times New Roman" w:cs="Times New Roman"/>
          <w:b/>
        </w:rPr>
        <w:t>CNPDCP</w:t>
      </w:r>
      <w:r w:rsidRPr="00605F45">
        <w:rPr>
          <w:rFonts w:ascii="Times New Roman" w:hAnsi="Times New Roman" w:cs="Times New Roman"/>
          <w:b/>
        </w:rPr>
        <w:t xml:space="preserve"> în </w:t>
      </w:r>
      <w:r w:rsidR="00DA7582" w:rsidRPr="00605F45">
        <w:rPr>
          <w:rFonts w:ascii="Times New Roman" w:hAnsi="Times New Roman" w:cs="Times New Roman"/>
          <w:b/>
        </w:rPr>
        <w:t>anii</w:t>
      </w:r>
      <w:r w:rsidRPr="00605F45">
        <w:rPr>
          <w:rFonts w:ascii="Times New Roman" w:hAnsi="Times New Roman" w:cs="Times New Roman"/>
          <w:b/>
        </w:rPr>
        <w:t xml:space="preserve"> 2018-2022</w:t>
      </w:r>
    </w:p>
    <w:tbl>
      <w:tblPr>
        <w:tblW w:w="98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656"/>
        <w:gridCol w:w="3300"/>
        <w:gridCol w:w="953"/>
        <w:gridCol w:w="890"/>
        <w:gridCol w:w="999"/>
        <w:gridCol w:w="944"/>
        <w:gridCol w:w="1082"/>
      </w:tblGrid>
      <w:tr w:rsidR="001177AB" w:rsidRPr="00DD6A7A" w14:paraId="7F627F55" w14:textId="77777777" w:rsidTr="00280524">
        <w:trPr>
          <w:trHeight w:val="428"/>
        </w:trPr>
        <w:tc>
          <w:tcPr>
            <w:tcW w:w="9869" w:type="dxa"/>
            <w:gridSpan w:val="8"/>
            <w:shd w:val="clear" w:color="auto" w:fill="auto"/>
            <w:noWrap/>
          </w:tcPr>
          <w:p w14:paraId="78E071BC" w14:textId="77777777" w:rsidR="001177AB" w:rsidRPr="00DD6A7A" w:rsidRDefault="001177AB" w:rsidP="006E1CD3">
            <w:pPr>
              <w:suppressAutoHyphens/>
              <w:spacing w:after="0" w:line="240" w:lineRule="auto"/>
              <w:jc w:val="center"/>
              <w:rPr>
                <w:rFonts w:ascii="Times New Roman" w:eastAsia="Times New Roman" w:hAnsi="Times New Roman" w:cs="Times New Roman"/>
                <w:b/>
                <w:bCs/>
                <w:color w:val="000000"/>
                <w:sz w:val="18"/>
                <w:szCs w:val="18"/>
                <w:lang w:val="ro-RO" w:eastAsia="ar-SA"/>
              </w:rPr>
            </w:pPr>
            <w:r w:rsidRPr="00DD6A7A">
              <w:rPr>
                <w:rFonts w:ascii="Times New Roman" w:eastAsia="Times New Roman" w:hAnsi="Times New Roman" w:cs="Times New Roman"/>
                <w:b/>
                <w:sz w:val="18"/>
                <w:szCs w:val="18"/>
                <w:lang w:val="ro-RO" w:eastAsia="zh-CN"/>
              </w:rPr>
              <w:br w:type="page"/>
            </w:r>
            <w:r w:rsidRPr="00DD6A7A">
              <w:rPr>
                <w:rFonts w:ascii="Times New Roman" w:eastAsia="Times New Roman" w:hAnsi="Times New Roman" w:cs="Times New Roman"/>
                <w:b/>
                <w:sz w:val="18"/>
                <w:szCs w:val="18"/>
                <w:lang w:val="ro-RO" w:eastAsia="ar-SA"/>
              </w:rPr>
              <w:t>Raport de performanță</w:t>
            </w:r>
            <w:r w:rsidRPr="00DD6A7A">
              <w:rPr>
                <w:rFonts w:ascii="Times New Roman" w:eastAsia="Times New Roman" w:hAnsi="Times New Roman" w:cs="Times New Roman"/>
                <w:b/>
                <w:sz w:val="18"/>
                <w:szCs w:val="18"/>
                <w:vertAlign w:val="superscript"/>
                <w:lang w:val="ro-RO" w:eastAsia="ar-SA"/>
              </w:rPr>
              <w:t xml:space="preserve"> </w:t>
            </w:r>
            <w:r w:rsidRPr="00DD6A7A">
              <w:rPr>
                <w:rFonts w:ascii="Times New Roman" w:eastAsia="Times New Roman" w:hAnsi="Times New Roman" w:cs="Times New Roman"/>
                <w:b/>
                <w:sz w:val="18"/>
                <w:szCs w:val="18"/>
                <w:lang w:val="ro-RO" w:eastAsia="ar-SA"/>
              </w:rPr>
              <w:t xml:space="preserve">al </w:t>
            </w:r>
            <w:r w:rsidRPr="00DD6A7A">
              <w:rPr>
                <w:rFonts w:ascii="Times New Roman" w:eastAsia="Times New Roman" w:hAnsi="Times New Roman" w:cs="Times New Roman"/>
                <w:b/>
                <w:bCs/>
                <w:color w:val="000000"/>
                <w:sz w:val="18"/>
                <w:szCs w:val="18"/>
                <w:lang w:val="ro-RO" w:eastAsia="ar-SA"/>
              </w:rPr>
              <w:t>Centrului Național pentru Protecția Datelor cu Caracter Personal</w:t>
            </w:r>
          </w:p>
          <w:p w14:paraId="557833A7" w14:textId="77777777" w:rsidR="001177AB" w:rsidRPr="00DD6A7A" w:rsidRDefault="001177AB" w:rsidP="006E1CD3">
            <w:pPr>
              <w:spacing w:after="0" w:line="240" w:lineRule="auto"/>
              <w:jc w:val="center"/>
              <w:rPr>
                <w:rFonts w:ascii="Times New Roman" w:eastAsia="Times New Roman" w:hAnsi="Times New Roman" w:cs="Times New Roman"/>
                <w:color w:val="1F497D"/>
                <w:sz w:val="18"/>
                <w:szCs w:val="18"/>
                <w:lang w:val="ro-RO"/>
              </w:rPr>
            </w:pPr>
            <w:r w:rsidRPr="00DD6A7A">
              <w:rPr>
                <w:rFonts w:ascii="Times New Roman" w:eastAsia="Times New Roman" w:hAnsi="Times New Roman" w:cs="Times New Roman"/>
                <w:b/>
                <w:sz w:val="18"/>
                <w:szCs w:val="18"/>
                <w:lang w:val="ro-RO"/>
              </w:rPr>
              <w:t xml:space="preserve"> la situația din 31 decembrie 2022</w:t>
            </w:r>
            <w:r w:rsidRPr="00DD6A7A">
              <w:rPr>
                <w:rFonts w:ascii="Times New Roman" w:eastAsia="Times New Roman" w:hAnsi="Times New Roman" w:cs="Times New Roman"/>
                <w:b/>
                <w:bCs/>
                <w:color w:val="000000"/>
                <w:sz w:val="18"/>
                <w:szCs w:val="18"/>
                <w:lang w:val="ro-RO"/>
              </w:rPr>
              <w:t xml:space="preserve"> </w:t>
            </w:r>
          </w:p>
        </w:tc>
      </w:tr>
      <w:tr w:rsidR="001177AB" w:rsidRPr="00DD6A7A" w14:paraId="3FF8552D" w14:textId="77777777" w:rsidTr="00280524">
        <w:trPr>
          <w:trHeight w:val="264"/>
        </w:trPr>
        <w:tc>
          <w:tcPr>
            <w:tcW w:w="9869" w:type="dxa"/>
            <w:gridSpan w:val="8"/>
            <w:shd w:val="clear" w:color="auto" w:fill="auto"/>
            <w:noWrap/>
          </w:tcPr>
          <w:p w14:paraId="00BBCEC7" w14:textId="77777777" w:rsidR="001177AB" w:rsidRPr="00DD6A7A" w:rsidRDefault="001177AB" w:rsidP="006E1CD3">
            <w:pPr>
              <w:tabs>
                <w:tab w:val="left" w:pos="4111"/>
              </w:tabs>
              <w:suppressAutoHyphens/>
              <w:spacing w:after="0" w:line="240" w:lineRule="auto"/>
              <w:rPr>
                <w:rFonts w:ascii="Times New Roman" w:eastAsia="Times New Roman" w:hAnsi="Times New Roman" w:cs="Times New Roman"/>
                <w:b/>
                <w:sz w:val="18"/>
                <w:szCs w:val="18"/>
                <w:lang w:val="ro-RO" w:eastAsia="zh-CN"/>
              </w:rPr>
            </w:pPr>
            <w:r w:rsidRPr="00DD6A7A">
              <w:rPr>
                <w:rFonts w:ascii="Times New Roman" w:eastAsia="Times New Roman" w:hAnsi="Times New Roman" w:cs="Times New Roman"/>
                <w:b/>
                <w:bCs/>
                <w:sz w:val="18"/>
                <w:szCs w:val="18"/>
                <w:lang w:val="ro-RO" w:eastAsia="ar-SA"/>
              </w:rPr>
              <w:t>Program: Edificarea societății informaționale</w:t>
            </w:r>
          </w:p>
        </w:tc>
      </w:tr>
      <w:tr w:rsidR="001177AB" w:rsidRPr="00DD6A7A" w14:paraId="545BB0A2" w14:textId="77777777" w:rsidTr="00280524">
        <w:trPr>
          <w:trHeight w:val="127"/>
        </w:trPr>
        <w:tc>
          <w:tcPr>
            <w:tcW w:w="9869" w:type="dxa"/>
            <w:gridSpan w:val="8"/>
            <w:shd w:val="clear" w:color="auto" w:fill="auto"/>
            <w:noWrap/>
          </w:tcPr>
          <w:p w14:paraId="34E8719F" w14:textId="77777777" w:rsidR="001177AB" w:rsidRPr="00DD6A7A" w:rsidRDefault="001177AB" w:rsidP="006E1CD3">
            <w:pPr>
              <w:suppressAutoHyphens/>
              <w:spacing w:after="0" w:line="240" w:lineRule="auto"/>
              <w:rPr>
                <w:rFonts w:ascii="Times New Roman" w:eastAsia="Times New Roman" w:hAnsi="Times New Roman" w:cs="Times New Roman"/>
                <w:b/>
                <w:sz w:val="18"/>
                <w:szCs w:val="18"/>
                <w:lang w:val="ro-RO" w:eastAsia="zh-CN"/>
              </w:rPr>
            </w:pPr>
            <w:r w:rsidRPr="00DD6A7A">
              <w:rPr>
                <w:rFonts w:ascii="Times New Roman" w:eastAsia="Times New Roman" w:hAnsi="Times New Roman" w:cs="Times New Roman"/>
                <w:b/>
                <w:color w:val="000000"/>
                <w:sz w:val="18"/>
                <w:szCs w:val="18"/>
                <w:lang w:val="ro-RO" w:eastAsia="ar-SA"/>
              </w:rPr>
              <w:t>Subprogram:  Protecția datelor cu caracter personal</w:t>
            </w:r>
          </w:p>
        </w:tc>
      </w:tr>
      <w:tr w:rsidR="001177AB" w:rsidRPr="00DD6A7A" w14:paraId="3AEEBE55" w14:textId="77777777" w:rsidTr="00280524">
        <w:trPr>
          <w:trHeight w:val="73"/>
        </w:trPr>
        <w:tc>
          <w:tcPr>
            <w:tcW w:w="9869" w:type="dxa"/>
            <w:gridSpan w:val="8"/>
            <w:shd w:val="clear" w:color="auto" w:fill="auto"/>
            <w:noWrap/>
          </w:tcPr>
          <w:p w14:paraId="5C9428D1" w14:textId="7AE896F5" w:rsidR="001177AB" w:rsidRPr="00DD6A7A" w:rsidRDefault="001177AB" w:rsidP="00942C91">
            <w:pPr>
              <w:suppressAutoHyphens/>
              <w:spacing w:after="0" w:line="240" w:lineRule="auto"/>
              <w:jc w:val="both"/>
              <w:rPr>
                <w:rFonts w:ascii="Times New Roman" w:eastAsia="Times New Roman" w:hAnsi="Times New Roman" w:cs="Times New Roman"/>
                <w:b/>
                <w:sz w:val="18"/>
                <w:szCs w:val="18"/>
                <w:lang w:val="ro-RO" w:eastAsia="zh-CN"/>
              </w:rPr>
            </w:pPr>
            <w:r w:rsidRPr="00DD6A7A">
              <w:rPr>
                <w:rFonts w:ascii="Times New Roman" w:eastAsia="Times New Roman" w:hAnsi="Times New Roman" w:cs="Times New Roman"/>
                <w:b/>
                <w:color w:val="000000"/>
                <w:sz w:val="18"/>
                <w:szCs w:val="18"/>
                <w:lang w:val="ro-RO" w:eastAsia="ar-SA"/>
              </w:rPr>
              <w:t>Scop: </w:t>
            </w:r>
            <w:r w:rsidRPr="00DD6A7A">
              <w:rPr>
                <w:rFonts w:ascii="Times New Roman" w:eastAsia="Times New Roman" w:hAnsi="Times New Roman" w:cs="Times New Roman"/>
                <w:b/>
                <w:sz w:val="18"/>
                <w:szCs w:val="18"/>
                <w:lang w:val="ro-RO" w:eastAsia="ar-SA"/>
              </w:rPr>
              <w:t>Asigurarea unui nivel adecvat de protecție a datelor cu caracter personal în Republica Moldova, conform standardelor europene</w:t>
            </w:r>
          </w:p>
        </w:tc>
      </w:tr>
      <w:tr w:rsidR="001177AB" w:rsidRPr="00DD6A7A" w14:paraId="05FBB85A" w14:textId="77777777" w:rsidTr="00280524">
        <w:trPr>
          <w:trHeight w:val="283"/>
        </w:trPr>
        <w:tc>
          <w:tcPr>
            <w:tcW w:w="9869" w:type="dxa"/>
            <w:gridSpan w:val="8"/>
            <w:shd w:val="clear" w:color="auto" w:fill="auto"/>
            <w:noWrap/>
            <w:vAlign w:val="center"/>
          </w:tcPr>
          <w:p w14:paraId="740885A3" w14:textId="77777777" w:rsidR="001177AB" w:rsidRPr="00DD6A7A" w:rsidRDefault="001177AB" w:rsidP="006E1CD3">
            <w:pPr>
              <w:suppressAutoHyphens/>
              <w:spacing w:after="0" w:line="240" w:lineRule="auto"/>
              <w:jc w:val="center"/>
              <w:rPr>
                <w:rFonts w:ascii="Times New Roman" w:eastAsia="Times New Roman" w:hAnsi="Times New Roman" w:cs="Times New Roman"/>
                <w:b/>
                <w:sz w:val="18"/>
                <w:szCs w:val="18"/>
                <w:vertAlign w:val="superscript"/>
                <w:lang w:val="ro-RO" w:eastAsia="ar-SA"/>
              </w:rPr>
            </w:pPr>
            <w:r w:rsidRPr="00DD6A7A">
              <w:rPr>
                <w:rFonts w:ascii="Times New Roman" w:eastAsia="Times New Roman" w:hAnsi="Times New Roman" w:cs="Times New Roman"/>
                <w:b/>
                <w:bCs/>
                <w:color w:val="000000"/>
                <w:sz w:val="18"/>
                <w:szCs w:val="18"/>
                <w:lang w:val="ro-RO" w:eastAsia="ar-SA"/>
              </w:rPr>
              <w:t>Indicatori de performanță neexecutați:</w:t>
            </w:r>
          </w:p>
        </w:tc>
      </w:tr>
      <w:tr w:rsidR="001177AB" w:rsidRPr="00DD6A7A" w14:paraId="22F571F1" w14:textId="77777777" w:rsidTr="00C45D31">
        <w:trPr>
          <w:trHeight w:val="27"/>
        </w:trPr>
        <w:tc>
          <w:tcPr>
            <w:tcW w:w="1045" w:type="dxa"/>
            <w:vMerge w:val="restart"/>
            <w:shd w:val="clear" w:color="auto" w:fill="00B0F0"/>
            <w:vAlign w:val="center"/>
          </w:tcPr>
          <w:p w14:paraId="24DC0B2C"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Categoria</w:t>
            </w:r>
          </w:p>
        </w:tc>
        <w:tc>
          <w:tcPr>
            <w:tcW w:w="656" w:type="dxa"/>
            <w:vMerge w:val="restart"/>
            <w:shd w:val="clear" w:color="auto" w:fill="00B0F0"/>
            <w:vAlign w:val="center"/>
          </w:tcPr>
          <w:p w14:paraId="28A54C7C"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 xml:space="preserve">Cod </w:t>
            </w:r>
          </w:p>
        </w:tc>
        <w:tc>
          <w:tcPr>
            <w:tcW w:w="3300" w:type="dxa"/>
            <w:vMerge w:val="restart"/>
            <w:shd w:val="clear" w:color="auto" w:fill="00B0F0"/>
            <w:vAlign w:val="center"/>
          </w:tcPr>
          <w:p w14:paraId="6873FF0C"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Denumirea</w:t>
            </w:r>
            <w:r w:rsidRPr="00DD6A7A" w:rsidDel="00D20F90">
              <w:rPr>
                <w:rFonts w:ascii="Times New Roman" w:eastAsia="Times New Roman" w:hAnsi="Times New Roman" w:cs="Times New Roman"/>
                <w:b/>
                <w:color w:val="000000"/>
                <w:sz w:val="18"/>
                <w:szCs w:val="18"/>
                <w:lang w:val="ro-RO" w:eastAsia="ar-SA"/>
              </w:rPr>
              <w:t xml:space="preserve"> </w:t>
            </w:r>
          </w:p>
        </w:tc>
        <w:tc>
          <w:tcPr>
            <w:tcW w:w="953" w:type="dxa"/>
            <w:vMerge w:val="restart"/>
            <w:shd w:val="clear" w:color="auto" w:fill="00B0F0"/>
            <w:vAlign w:val="center"/>
          </w:tcPr>
          <w:p w14:paraId="450C4C92"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Unitatea de măsură</w:t>
            </w:r>
          </w:p>
        </w:tc>
        <w:tc>
          <w:tcPr>
            <w:tcW w:w="890" w:type="dxa"/>
            <w:vMerge w:val="restart"/>
            <w:shd w:val="clear" w:color="auto" w:fill="00B0F0"/>
            <w:vAlign w:val="center"/>
          </w:tcPr>
          <w:p w14:paraId="03E25562"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Aprobat</w:t>
            </w:r>
          </w:p>
        </w:tc>
        <w:tc>
          <w:tcPr>
            <w:tcW w:w="999" w:type="dxa"/>
            <w:vMerge w:val="restart"/>
            <w:shd w:val="clear" w:color="auto" w:fill="00B0F0"/>
            <w:vAlign w:val="center"/>
          </w:tcPr>
          <w:p w14:paraId="1CF24A00"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Executat</w:t>
            </w:r>
            <w:r w:rsidRPr="00DD6A7A">
              <w:rPr>
                <w:rFonts w:ascii="Times New Roman" w:eastAsia="Times New Roman" w:hAnsi="Times New Roman" w:cs="Times New Roman"/>
                <w:b/>
                <w:sz w:val="18"/>
                <w:szCs w:val="18"/>
                <w:vertAlign w:val="superscript"/>
                <w:lang w:val="ro-RO" w:eastAsia="zh-CN"/>
              </w:rPr>
              <w:t>3</w:t>
            </w:r>
          </w:p>
        </w:tc>
        <w:tc>
          <w:tcPr>
            <w:tcW w:w="2026" w:type="dxa"/>
            <w:gridSpan w:val="2"/>
            <w:shd w:val="clear" w:color="auto" w:fill="00B0F0"/>
            <w:vAlign w:val="center"/>
          </w:tcPr>
          <w:p w14:paraId="160D9AB9"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Devieri</w:t>
            </w:r>
          </w:p>
        </w:tc>
      </w:tr>
      <w:tr w:rsidR="001177AB" w:rsidRPr="00DD6A7A" w14:paraId="479B9831" w14:textId="77777777" w:rsidTr="00C45D31">
        <w:trPr>
          <w:trHeight w:val="27"/>
        </w:trPr>
        <w:tc>
          <w:tcPr>
            <w:tcW w:w="1045" w:type="dxa"/>
            <w:vMerge/>
            <w:shd w:val="clear" w:color="auto" w:fill="00B0F0"/>
            <w:vAlign w:val="center"/>
          </w:tcPr>
          <w:p w14:paraId="3D20F003" w14:textId="77777777" w:rsidR="001177AB" w:rsidRPr="00DD6A7A" w:rsidRDefault="001177AB" w:rsidP="00ED5A00">
            <w:pPr>
              <w:keepNext/>
              <w:numPr>
                <w:ilvl w:val="0"/>
                <w:numId w:val="13"/>
              </w:numPr>
              <w:suppressAutoHyphens/>
              <w:spacing w:after="1960" w:line="240" w:lineRule="auto"/>
              <w:rPr>
                <w:rFonts w:ascii="Times New Roman" w:eastAsia="Times New Roman" w:hAnsi="Times New Roman" w:cs="Times New Roman"/>
                <w:b/>
                <w:color w:val="000000"/>
                <w:sz w:val="18"/>
                <w:szCs w:val="18"/>
                <w:lang w:val="ro-RO" w:eastAsia="ar-SA"/>
              </w:rPr>
            </w:pPr>
          </w:p>
        </w:tc>
        <w:tc>
          <w:tcPr>
            <w:tcW w:w="656" w:type="dxa"/>
            <w:vMerge/>
            <w:shd w:val="clear" w:color="auto" w:fill="00B0F0"/>
            <w:vAlign w:val="center"/>
          </w:tcPr>
          <w:p w14:paraId="33A4652D" w14:textId="77777777" w:rsidR="001177AB" w:rsidRPr="00DD6A7A" w:rsidRDefault="001177AB" w:rsidP="00ED5A00">
            <w:pPr>
              <w:keepNext/>
              <w:numPr>
                <w:ilvl w:val="0"/>
                <w:numId w:val="13"/>
              </w:numPr>
              <w:suppressAutoHyphens/>
              <w:spacing w:after="1960" w:line="240" w:lineRule="auto"/>
              <w:rPr>
                <w:rFonts w:ascii="Times New Roman" w:eastAsia="Times New Roman" w:hAnsi="Times New Roman" w:cs="Times New Roman"/>
                <w:b/>
                <w:color w:val="000000"/>
                <w:sz w:val="18"/>
                <w:szCs w:val="18"/>
                <w:lang w:val="ro-RO" w:eastAsia="ar-SA"/>
              </w:rPr>
            </w:pPr>
          </w:p>
        </w:tc>
        <w:tc>
          <w:tcPr>
            <w:tcW w:w="3300" w:type="dxa"/>
            <w:vMerge/>
            <w:shd w:val="clear" w:color="auto" w:fill="00B0F0"/>
            <w:vAlign w:val="center"/>
          </w:tcPr>
          <w:p w14:paraId="44CA5121" w14:textId="77777777" w:rsidR="001177AB" w:rsidRPr="00DD6A7A" w:rsidRDefault="001177AB" w:rsidP="00ED5A00">
            <w:pPr>
              <w:keepNext/>
              <w:numPr>
                <w:ilvl w:val="0"/>
                <w:numId w:val="13"/>
              </w:numPr>
              <w:suppressAutoHyphens/>
              <w:spacing w:after="1960" w:line="240" w:lineRule="auto"/>
              <w:jc w:val="center"/>
              <w:rPr>
                <w:rFonts w:ascii="Times New Roman" w:eastAsia="Times New Roman" w:hAnsi="Times New Roman" w:cs="Times New Roman"/>
                <w:b/>
                <w:color w:val="000000"/>
                <w:sz w:val="18"/>
                <w:szCs w:val="18"/>
                <w:lang w:val="ro-RO" w:eastAsia="ar-SA"/>
              </w:rPr>
            </w:pPr>
          </w:p>
        </w:tc>
        <w:tc>
          <w:tcPr>
            <w:tcW w:w="953" w:type="dxa"/>
            <w:vMerge/>
            <w:shd w:val="clear" w:color="auto" w:fill="00B0F0"/>
            <w:vAlign w:val="center"/>
          </w:tcPr>
          <w:p w14:paraId="20973A67" w14:textId="77777777" w:rsidR="001177AB" w:rsidRPr="00DD6A7A" w:rsidRDefault="001177AB" w:rsidP="00ED5A00">
            <w:pPr>
              <w:keepNext/>
              <w:numPr>
                <w:ilvl w:val="0"/>
                <w:numId w:val="13"/>
              </w:numPr>
              <w:suppressAutoHyphens/>
              <w:spacing w:after="1960" w:line="240" w:lineRule="auto"/>
              <w:jc w:val="center"/>
              <w:rPr>
                <w:rFonts w:ascii="Times New Roman" w:eastAsia="Times New Roman" w:hAnsi="Times New Roman" w:cs="Times New Roman"/>
                <w:b/>
                <w:color w:val="000000"/>
                <w:sz w:val="18"/>
                <w:szCs w:val="18"/>
                <w:lang w:val="ro-RO" w:eastAsia="ar-SA"/>
              </w:rPr>
            </w:pPr>
          </w:p>
        </w:tc>
        <w:tc>
          <w:tcPr>
            <w:tcW w:w="890" w:type="dxa"/>
            <w:vMerge/>
            <w:shd w:val="clear" w:color="auto" w:fill="00B0F0"/>
            <w:vAlign w:val="center"/>
          </w:tcPr>
          <w:p w14:paraId="64A84BF8"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999" w:type="dxa"/>
            <w:vMerge/>
            <w:shd w:val="clear" w:color="auto" w:fill="00B0F0"/>
            <w:vAlign w:val="center"/>
          </w:tcPr>
          <w:p w14:paraId="27775F08"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944" w:type="dxa"/>
            <w:shd w:val="clear" w:color="auto" w:fill="00B0F0"/>
            <w:vAlign w:val="center"/>
          </w:tcPr>
          <w:p w14:paraId="29858C00"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Valoarea</w:t>
            </w:r>
          </w:p>
          <w:p w14:paraId="0358AA87"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 xml:space="preserve">(+/-) </w:t>
            </w:r>
          </w:p>
        </w:tc>
        <w:tc>
          <w:tcPr>
            <w:tcW w:w="1082" w:type="dxa"/>
            <w:shd w:val="clear" w:color="auto" w:fill="00B0F0"/>
            <w:vAlign w:val="center"/>
          </w:tcPr>
          <w:p w14:paraId="7B92BE4D"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vertAlign w:val="superscript"/>
                <w:lang w:val="ro-RO" w:eastAsia="ar-SA"/>
              </w:rPr>
            </w:pPr>
            <w:r w:rsidRPr="00DD6A7A">
              <w:rPr>
                <w:rFonts w:ascii="Times New Roman" w:eastAsia="Times New Roman" w:hAnsi="Times New Roman" w:cs="Times New Roman"/>
                <w:b/>
                <w:color w:val="000000"/>
                <w:sz w:val="18"/>
                <w:szCs w:val="18"/>
                <w:lang w:val="ro-RO" w:eastAsia="ar-SA"/>
              </w:rPr>
              <w:t>Explicații</w:t>
            </w:r>
            <w:r w:rsidRPr="00DD6A7A">
              <w:rPr>
                <w:rFonts w:ascii="Times New Roman" w:eastAsia="Times New Roman" w:hAnsi="Times New Roman" w:cs="Times New Roman"/>
                <w:b/>
                <w:color w:val="000000"/>
                <w:sz w:val="18"/>
                <w:szCs w:val="18"/>
                <w:vertAlign w:val="superscript"/>
                <w:lang w:val="ro-RO" w:eastAsia="ar-SA"/>
              </w:rPr>
              <w:t>4</w:t>
            </w:r>
          </w:p>
        </w:tc>
      </w:tr>
      <w:tr w:rsidR="001177AB" w:rsidRPr="00DD6A7A" w14:paraId="57FCCF63" w14:textId="77777777" w:rsidTr="00C45D31">
        <w:trPr>
          <w:trHeight w:val="27"/>
        </w:trPr>
        <w:tc>
          <w:tcPr>
            <w:tcW w:w="1045" w:type="dxa"/>
            <w:shd w:val="clear" w:color="auto" w:fill="auto"/>
            <w:vAlign w:val="center"/>
          </w:tcPr>
          <w:p w14:paraId="372A7255"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1</w:t>
            </w:r>
          </w:p>
        </w:tc>
        <w:tc>
          <w:tcPr>
            <w:tcW w:w="656" w:type="dxa"/>
            <w:shd w:val="clear" w:color="auto" w:fill="auto"/>
            <w:vAlign w:val="center"/>
          </w:tcPr>
          <w:p w14:paraId="7270FB3F"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2</w:t>
            </w:r>
          </w:p>
        </w:tc>
        <w:tc>
          <w:tcPr>
            <w:tcW w:w="3300" w:type="dxa"/>
            <w:shd w:val="clear" w:color="auto" w:fill="auto"/>
            <w:vAlign w:val="bottom"/>
          </w:tcPr>
          <w:p w14:paraId="73638DF4"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3</w:t>
            </w:r>
          </w:p>
        </w:tc>
        <w:tc>
          <w:tcPr>
            <w:tcW w:w="953" w:type="dxa"/>
            <w:shd w:val="clear" w:color="auto" w:fill="auto"/>
            <w:vAlign w:val="center"/>
          </w:tcPr>
          <w:p w14:paraId="4D49C366"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4</w:t>
            </w:r>
          </w:p>
        </w:tc>
        <w:tc>
          <w:tcPr>
            <w:tcW w:w="890" w:type="dxa"/>
            <w:shd w:val="clear" w:color="auto" w:fill="auto"/>
            <w:vAlign w:val="center"/>
          </w:tcPr>
          <w:p w14:paraId="21DA0057"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5</w:t>
            </w:r>
          </w:p>
        </w:tc>
        <w:tc>
          <w:tcPr>
            <w:tcW w:w="999" w:type="dxa"/>
            <w:shd w:val="clear" w:color="auto" w:fill="auto"/>
            <w:vAlign w:val="center"/>
          </w:tcPr>
          <w:p w14:paraId="434BCCBE"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6</w:t>
            </w:r>
          </w:p>
        </w:tc>
        <w:tc>
          <w:tcPr>
            <w:tcW w:w="944" w:type="dxa"/>
            <w:shd w:val="clear" w:color="auto" w:fill="auto"/>
            <w:vAlign w:val="center"/>
          </w:tcPr>
          <w:p w14:paraId="4DFA6545"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7(6-5)</w:t>
            </w:r>
          </w:p>
        </w:tc>
        <w:tc>
          <w:tcPr>
            <w:tcW w:w="1082" w:type="dxa"/>
            <w:shd w:val="clear" w:color="auto" w:fill="auto"/>
            <w:vAlign w:val="center"/>
          </w:tcPr>
          <w:p w14:paraId="1A0BF683"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8</w:t>
            </w:r>
          </w:p>
        </w:tc>
      </w:tr>
      <w:tr w:rsidR="001177AB" w:rsidRPr="00942C91" w14:paraId="68DAC7AE" w14:textId="77777777" w:rsidTr="00C45D31">
        <w:trPr>
          <w:trHeight w:val="610"/>
        </w:trPr>
        <w:tc>
          <w:tcPr>
            <w:tcW w:w="1045" w:type="dxa"/>
            <w:vMerge w:val="restart"/>
            <w:shd w:val="clear" w:color="auto" w:fill="auto"/>
            <w:vAlign w:val="center"/>
          </w:tcPr>
          <w:p w14:paraId="18ACF3F7" w14:textId="77777777" w:rsidR="001177AB" w:rsidRPr="00942C91" w:rsidRDefault="001177AB" w:rsidP="006E1CD3">
            <w:pPr>
              <w:suppressAutoHyphens/>
              <w:spacing w:after="0" w:line="240" w:lineRule="auto"/>
              <w:rPr>
                <w:rFonts w:ascii="Times New Roman" w:eastAsia="Times New Roman" w:hAnsi="Times New Roman" w:cs="Times New Roman"/>
                <w:b/>
                <w:sz w:val="18"/>
                <w:szCs w:val="18"/>
                <w:lang w:val="ro-RO" w:eastAsia="nl-NL"/>
              </w:rPr>
            </w:pPr>
            <w:r w:rsidRPr="00942C91">
              <w:rPr>
                <w:rFonts w:ascii="Times New Roman" w:eastAsia="Times New Roman" w:hAnsi="Times New Roman" w:cs="Times New Roman"/>
                <w:b/>
                <w:sz w:val="18"/>
                <w:szCs w:val="18"/>
                <w:lang w:val="ro-RO" w:eastAsia="nl-NL"/>
              </w:rPr>
              <w:t xml:space="preserve">De rezultat </w:t>
            </w:r>
          </w:p>
        </w:tc>
        <w:tc>
          <w:tcPr>
            <w:tcW w:w="656" w:type="dxa"/>
            <w:shd w:val="clear" w:color="auto" w:fill="auto"/>
            <w:vAlign w:val="center"/>
          </w:tcPr>
          <w:p w14:paraId="3E180CE5" w14:textId="77777777" w:rsidR="001177AB" w:rsidRPr="00942C91" w:rsidRDefault="001177AB" w:rsidP="006E1CD3">
            <w:pPr>
              <w:suppressAutoHyphens/>
              <w:spacing w:after="0" w:line="240" w:lineRule="auto"/>
              <w:jc w:val="center"/>
              <w:rPr>
                <w:rFonts w:ascii="Times New Roman" w:eastAsia="Times New Roman" w:hAnsi="Times New Roman" w:cs="Times New Roman"/>
                <w:b/>
                <w:sz w:val="18"/>
                <w:szCs w:val="18"/>
                <w:lang w:val="ro-RO" w:eastAsia="nl-NL"/>
              </w:rPr>
            </w:pPr>
            <w:r w:rsidRPr="00942C91">
              <w:rPr>
                <w:rFonts w:ascii="Times New Roman" w:eastAsia="Times New Roman" w:hAnsi="Times New Roman" w:cs="Times New Roman"/>
                <w:b/>
                <w:sz w:val="18"/>
                <w:szCs w:val="18"/>
                <w:lang w:val="ro-RO" w:eastAsia="nl-NL"/>
              </w:rPr>
              <w:t>r1</w:t>
            </w:r>
          </w:p>
        </w:tc>
        <w:tc>
          <w:tcPr>
            <w:tcW w:w="3300" w:type="dxa"/>
            <w:shd w:val="clear" w:color="auto" w:fill="auto"/>
            <w:vAlign w:val="bottom"/>
          </w:tcPr>
          <w:p w14:paraId="3BB36F94" w14:textId="77777777" w:rsidR="001177AB" w:rsidRPr="00942C91" w:rsidRDefault="001177AB" w:rsidP="006E1CD3">
            <w:pPr>
              <w:suppressAutoHyphens/>
              <w:spacing w:after="0" w:line="240" w:lineRule="auto"/>
              <w:jc w:val="both"/>
              <w:rPr>
                <w:rFonts w:ascii="Times New Roman" w:eastAsia="Times New Roman" w:hAnsi="Times New Roman" w:cs="Times New Roman"/>
                <w:sz w:val="18"/>
                <w:szCs w:val="18"/>
                <w:lang w:val="ro-RO" w:eastAsia="nl-NL"/>
              </w:rPr>
            </w:pPr>
            <w:r w:rsidRPr="00942C91">
              <w:rPr>
                <w:rFonts w:ascii="Times New Roman" w:eastAsia="Times New Roman" w:hAnsi="Times New Roman" w:cs="Times New Roman"/>
                <w:sz w:val="18"/>
                <w:szCs w:val="18"/>
                <w:lang w:val="ro-RO" w:eastAsia="nl-NL"/>
              </w:rPr>
              <w:t>Gradul de percepere şi conştientizare de către operatori a necesităţii şi importanţei protecţiei datelor cu caracter personal prelucrate</w:t>
            </w:r>
          </w:p>
        </w:tc>
        <w:tc>
          <w:tcPr>
            <w:tcW w:w="953" w:type="dxa"/>
            <w:shd w:val="clear" w:color="auto" w:fill="auto"/>
            <w:vAlign w:val="center"/>
          </w:tcPr>
          <w:p w14:paraId="6DCC580E"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w:t>
            </w:r>
          </w:p>
        </w:tc>
        <w:tc>
          <w:tcPr>
            <w:tcW w:w="890" w:type="dxa"/>
            <w:shd w:val="clear" w:color="auto" w:fill="auto"/>
            <w:vAlign w:val="center"/>
          </w:tcPr>
          <w:p w14:paraId="535B0260"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60</w:t>
            </w:r>
          </w:p>
        </w:tc>
        <w:tc>
          <w:tcPr>
            <w:tcW w:w="999" w:type="dxa"/>
            <w:shd w:val="clear" w:color="auto" w:fill="auto"/>
            <w:vAlign w:val="center"/>
          </w:tcPr>
          <w:p w14:paraId="65770F4A"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45</w:t>
            </w:r>
          </w:p>
        </w:tc>
        <w:tc>
          <w:tcPr>
            <w:tcW w:w="944" w:type="dxa"/>
            <w:shd w:val="clear" w:color="auto" w:fill="auto"/>
            <w:vAlign w:val="center"/>
          </w:tcPr>
          <w:p w14:paraId="239271BC"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-15</w:t>
            </w:r>
          </w:p>
        </w:tc>
        <w:tc>
          <w:tcPr>
            <w:tcW w:w="1082" w:type="dxa"/>
            <w:shd w:val="clear" w:color="auto" w:fill="auto"/>
            <w:vAlign w:val="center"/>
          </w:tcPr>
          <w:p w14:paraId="442209B2"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w:t>
            </w:r>
          </w:p>
        </w:tc>
      </w:tr>
      <w:tr w:rsidR="001177AB" w:rsidRPr="00942C91" w14:paraId="3D498E6B" w14:textId="77777777" w:rsidTr="00C45D31">
        <w:trPr>
          <w:trHeight w:val="329"/>
        </w:trPr>
        <w:tc>
          <w:tcPr>
            <w:tcW w:w="1045" w:type="dxa"/>
            <w:vMerge/>
            <w:shd w:val="clear" w:color="auto" w:fill="auto"/>
            <w:textDirection w:val="btLr"/>
            <w:vAlign w:val="center"/>
          </w:tcPr>
          <w:p w14:paraId="2C2B4C22" w14:textId="77777777" w:rsidR="001177AB" w:rsidRPr="00942C91" w:rsidRDefault="001177AB" w:rsidP="006E1CD3">
            <w:pPr>
              <w:suppressAutoHyphens/>
              <w:spacing w:after="0" w:line="240" w:lineRule="auto"/>
              <w:ind w:left="113" w:right="113"/>
              <w:jc w:val="center"/>
              <w:rPr>
                <w:rFonts w:ascii="Times New Roman" w:eastAsia="Times New Roman" w:hAnsi="Times New Roman" w:cs="Times New Roman"/>
                <w:b/>
                <w:color w:val="000000"/>
                <w:sz w:val="18"/>
                <w:szCs w:val="18"/>
                <w:lang w:val="ro-RO" w:eastAsia="ar-SA"/>
              </w:rPr>
            </w:pPr>
          </w:p>
        </w:tc>
        <w:tc>
          <w:tcPr>
            <w:tcW w:w="656" w:type="dxa"/>
            <w:shd w:val="clear" w:color="auto" w:fill="auto"/>
            <w:vAlign w:val="center"/>
          </w:tcPr>
          <w:p w14:paraId="141479BD"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r2</w:t>
            </w:r>
          </w:p>
        </w:tc>
        <w:tc>
          <w:tcPr>
            <w:tcW w:w="3300" w:type="dxa"/>
            <w:shd w:val="clear" w:color="auto" w:fill="auto"/>
            <w:vAlign w:val="center"/>
          </w:tcPr>
          <w:p w14:paraId="708F02C7" w14:textId="77777777" w:rsidR="001177AB" w:rsidRPr="00942C91" w:rsidRDefault="001177AB" w:rsidP="006E1CD3">
            <w:pPr>
              <w:suppressAutoHyphens/>
              <w:spacing w:after="0" w:line="240" w:lineRule="auto"/>
              <w:jc w:val="both"/>
              <w:rPr>
                <w:rFonts w:ascii="Times New Roman" w:eastAsia="Times New Roman" w:hAnsi="Times New Roman" w:cs="Times New Roman"/>
                <w:color w:val="000000"/>
                <w:sz w:val="18"/>
                <w:szCs w:val="18"/>
                <w:lang w:val="ro-RO" w:eastAsia="ar-SA"/>
              </w:rPr>
            </w:pPr>
            <w:r w:rsidRPr="00942C91">
              <w:rPr>
                <w:rFonts w:ascii="Times New Roman" w:eastAsia="Times New Roman" w:hAnsi="Times New Roman" w:cs="Times New Roman"/>
                <w:sz w:val="18"/>
                <w:szCs w:val="18"/>
                <w:lang w:val="ro-RO" w:eastAsia="nl-NL"/>
              </w:rPr>
              <w:t>Gradul de recunoaştere internaţională a faptului că Republica Moldova asigură un nivel adecvat de protecţie a datelor cu caracter personal</w:t>
            </w:r>
          </w:p>
        </w:tc>
        <w:tc>
          <w:tcPr>
            <w:tcW w:w="953" w:type="dxa"/>
            <w:shd w:val="clear" w:color="auto" w:fill="auto"/>
            <w:vAlign w:val="center"/>
          </w:tcPr>
          <w:p w14:paraId="396A7232"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w:t>
            </w:r>
          </w:p>
        </w:tc>
        <w:tc>
          <w:tcPr>
            <w:tcW w:w="890" w:type="dxa"/>
            <w:shd w:val="clear" w:color="auto" w:fill="auto"/>
            <w:vAlign w:val="center"/>
          </w:tcPr>
          <w:p w14:paraId="43ABC334"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40</w:t>
            </w:r>
          </w:p>
        </w:tc>
        <w:tc>
          <w:tcPr>
            <w:tcW w:w="999" w:type="dxa"/>
            <w:shd w:val="clear" w:color="auto" w:fill="auto"/>
            <w:vAlign w:val="center"/>
          </w:tcPr>
          <w:p w14:paraId="2F6C6FF8"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35</w:t>
            </w:r>
          </w:p>
        </w:tc>
        <w:tc>
          <w:tcPr>
            <w:tcW w:w="944" w:type="dxa"/>
            <w:shd w:val="clear" w:color="auto" w:fill="auto"/>
            <w:vAlign w:val="center"/>
          </w:tcPr>
          <w:p w14:paraId="6E103AE8"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-5</w:t>
            </w:r>
          </w:p>
        </w:tc>
        <w:tc>
          <w:tcPr>
            <w:tcW w:w="1082" w:type="dxa"/>
            <w:shd w:val="clear" w:color="auto" w:fill="auto"/>
            <w:vAlign w:val="center"/>
          </w:tcPr>
          <w:p w14:paraId="7FB0D0DC"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w:t>
            </w:r>
          </w:p>
        </w:tc>
      </w:tr>
      <w:tr w:rsidR="001177AB" w:rsidRPr="00942C91" w14:paraId="625BE547" w14:textId="77777777" w:rsidTr="00C45D31">
        <w:trPr>
          <w:trHeight w:val="715"/>
        </w:trPr>
        <w:tc>
          <w:tcPr>
            <w:tcW w:w="1045" w:type="dxa"/>
            <w:vMerge/>
            <w:shd w:val="clear" w:color="auto" w:fill="auto"/>
            <w:vAlign w:val="center"/>
          </w:tcPr>
          <w:p w14:paraId="49E97A82"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656" w:type="dxa"/>
            <w:shd w:val="clear" w:color="auto" w:fill="auto"/>
            <w:vAlign w:val="center"/>
          </w:tcPr>
          <w:p w14:paraId="1D0DACB0"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r3</w:t>
            </w:r>
          </w:p>
        </w:tc>
        <w:tc>
          <w:tcPr>
            <w:tcW w:w="3300" w:type="dxa"/>
            <w:shd w:val="clear" w:color="auto" w:fill="auto"/>
            <w:vAlign w:val="center"/>
          </w:tcPr>
          <w:p w14:paraId="30A69F26" w14:textId="77777777" w:rsidR="001177AB" w:rsidRPr="00942C91" w:rsidRDefault="001177AB" w:rsidP="006E1CD3">
            <w:pPr>
              <w:suppressAutoHyphens/>
              <w:spacing w:after="0" w:line="240" w:lineRule="auto"/>
              <w:jc w:val="both"/>
              <w:rPr>
                <w:rFonts w:ascii="Times New Roman" w:eastAsia="Times New Roman" w:hAnsi="Times New Roman" w:cs="Times New Roman"/>
                <w:sz w:val="18"/>
                <w:szCs w:val="18"/>
                <w:lang w:val="ro-RO" w:eastAsia="nl-NL"/>
              </w:rPr>
            </w:pPr>
            <w:r w:rsidRPr="00942C91">
              <w:rPr>
                <w:rFonts w:ascii="Times New Roman" w:eastAsia="Times New Roman" w:hAnsi="Times New Roman" w:cs="Times New Roman"/>
                <w:sz w:val="18"/>
                <w:szCs w:val="18"/>
                <w:lang w:val="ro-RO" w:eastAsia="nl-NL"/>
              </w:rPr>
              <w:t>Gradul de percepere şi conştientizare de către subiecţi a importanţei dreptului la protecţia datelor cu caracter personal prelucrate</w:t>
            </w:r>
          </w:p>
        </w:tc>
        <w:tc>
          <w:tcPr>
            <w:tcW w:w="953" w:type="dxa"/>
            <w:shd w:val="clear" w:color="auto" w:fill="auto"/>
            <w:vAlign w:val="center"/>
          </w:tcPr>
          <w:p w14:paraId="03344C06"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w:t>
            </w:r>
          </w:p>
        </w:tc>
        <w:tc>
          <w:tcPr>
            <w:tcW w:w="890" w:type="dxa"/>
            <w:shd w:val="clear" w:color="auto" w:fill="auto"/>
            <w:vAlign w:val="center"/>
          </w:tcPr>
          <w:p w14:paraId="08554625"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50</w:t>
            </w:r>
          </w:p>
        </w:tc>
        <w:tc>
          <w:tcPr>
            <w:tcW w:w="999" w:type="dxa"/>
            <w:shd w:val="clear" w:color="auto" w:fill="auto"/>
            <w:vAlign w:val="center"/>
          </w:tcPr>
          <w:p w14:paraId="4A70A341"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45</w:t>
            </w:r>
          </w:p>
        </w:tc>
        <w:tc>
          <w:tcPr>
            <w:tcW w:w="944" w:type="dxa"/>
            <w:shd w:val="clear" w:color="auto" w:fill="auto"/>
            <w:vAlign w:val="center"/>
          </w:tcPr>
          <w:p w14:paraId="5E33CCB8"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-5</w:t>
            </w:r>
          </w:p>
        </w:tc>
        <w:tc>
          <w:tcPr>
            <w:tcW w:w="1082" w:type="dxa"/>
            <w:shd w:val="clear" w:color="auto" w:fill="auto"/>
            <w:vAlign w:val="center"/>
          </w:tcPr>
          <w:p w14:paraId="044190C7"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w:t>
            </w:r>
          </w:p>
        </w:tc>
      </w:tr>
      <w:tr w:rsidR="001177AB" w:rsidRPr="00942C91" w14:paraId="40FB59CD" w14:textId="77777777" w:rsidTr="00C45D31">
        <w:trPr>
          <w:trHeight w:val="79"/>
        </w:trPr>
        <w:tc>
          <w:tcPr>
            <w:tcW w:w="1045" w:type="dxa"/>
            <w:vMerge w:val="restart"/>
            <w:shd w:val="clear" w:color="auto" w:fill="auto"/>
            <w:vAlign w:val="center"/>
          </w:tcPr>
          <w:p w14:paraId="7A77BD77"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p w14:paraId="5EAC74EA" w14:textId="77777777" w:rsidR="001177AB" w:rsidRPr="00942C91" w:rsidRDefault="001177AB" w:rsidP="006E1CD3">
            <w:pPr>
              <w:suppressAutoHyphens/>
              <w:spacing w:after="0" w:line="240" w:lineRule="auto"/>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sz w:val="18"/>
                <w:szCs w:val="18"/>
                <w:lang w:val="ro-RO" w:eastAsia="nl-NL"/>
              </w:rPr>
              <w:t>De produs</w:t>
            </w:r>
          </w:p>
        </w:tc>
        <w:tc>
          <w:tcPr>
            <w:tcW w:w="656" w:type="dxa"/>
            <w:shd w:val="clear" w:color="auto" w:fill="auto"/>
            <w:vAlign w:val="center"/>
          </w:tcPr>
          <w:p w14:paraId="190E2A6C"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o1</w:t>
            </w:r>
          </w:p>
        </w:tc>
        <w:tc>
          <w:tcPr>
            <w:tcW w:w="3300" w:type="dxa"/>
            <w:shd w:val="clear" w:color="auto" w:fill="auto"/>
            <w:vAlign w:val="center"/>
          </w:tcPr>
          <w:p w14:paraId="4F7E3CE9" w14:textId="77777777" w:rsidR="001177AB" w:rsidRPr="00942C91" w:rsidRDefault="001177AB" w:rsidP="006E1CD3">
            <w:pPr>
              <w:suppressAutoHyphens/>
              <w:spacing w:after="0" w:line="240" w:lineRule="auto"/>
              <w:jc w:val="both"/>
              <w:rPr>
                <w:rFonts w:ascii="Times New Roman" w:eastAsia="Times New Roman" w:hAnsi="Times New Roman" w:cs="Times New Roman"/>
                <w:sz w:val="18"/>
                <w:szCs w:val="18"/>
                <w:lang w:val="ro-RO" w:eastAsia="nl-NL"/>
              </w:rPr>
            </w:pPr>
            <w:r w:rsidRPr="00942C91">
              <w:rPr>
                <w:rFonts w:ascii="Times New Roman" w:eastAsia="Times New Roman" w:hAnsi="Times New Roman" w:cs="Times New Roman"/>
                <w:sz w:val="18"/>
                <w:szCs w:val="18"/>
                <w:lang w:val="ro-RO" w:eastAsia="nl-NL"/>
              </w:rPr>
              <w:t>Numărul operatorilor înregistraţi în Registrul de evidenţă al operatorilor de date cu caracter personal</w:t>
            </w:r>
          </w:p>
        </w:tc>
        <w:tc>
          <w:tcPr>
            <w:tcW w:w="953" w:type="dxa"/>
            <w:shd w:val="clear" w:color="auto" w:fill="auto"/>
            <w:vAlign w:val="center"/>
          </w:tcPr>
          <w:p w14:paraId="38F3A204"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unităţi</w:t>
            </w:r>
          </w:p>
        </w:tc>
        <w:tc>
          <w:tcPr>
            <w:tcW w:w="890" w:type="dxa"/>
            <w:shd w:val="clear" w:color="auto" w:fill="auto"/>
            <w:vAlign w:val="center"/>
          </w:tcPr>
          <w:p w14:paraId="759B5874"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100</w:t>
            </w:r>
          </w:p>
        </w:tc>
        <w:tc>
          <w:tcPr>
            <w:tcW w:w="999" w:type="dxa"/>
            <w:shd w:val="clear" w:color="auto" w:fill="auto"/>
            <w:vAlign w:val="center"/>
          </w:tcPr>
          <w:p w14:paraId="639D54A6"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w:t>
            </w:r>
          </w:p>
        </w:tc>
        <w:tc>
          <w:tcPr>
            <w:tcW w:w="944" w:type="dxa"/>
            <w:shd w:val="clear" w:color="auto" w:fill="auto"/>
            <w:vAlign w:val="center"/>
          </w:tcPr>
          <w:p w14:paraId="25C53D8C"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w:t>
            </w:r>
          </w:p>
        </w:tc>
        <w:tc>
          <w:tcPr>
            <w:tcW w:w="1082" w:type="dxa"/>
            <w:shd w:val="clear" w:color="auto" w:fill="auto"/>
            <w:vAlign w:val="center"/>
          </w:tcPr>
          <w:p w14:paraId="1AD6E427"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w:t>
            </w:r>
          </w:p>
        </w:tc>
      </w:tr>
      <w:tr w:rsidR="001177AB" w:rsidRPr="00942C91" w14:paraId="5097A2DD" w14:textId="77777777" w:rsidTr="00C45D31">
        <w:trPr>
          <w:trHeight w:val="359"/>
        </w:trPr>
        <w:tc>
          <w:tcPr>
            <w:tcW w:w="1045" w:type="dxa"/>
            <w:vMerge/>
            <w:shd w:val="clear" w:color="auto" w:fill="auto"/>
            <w:vAlign w:val="center"/>
          </w:tcPr>
          <w:p w14:paraId="05B0D8B4" w14:textId="77777777" w:rsidR="001177AB" w:rsidRPr="00942C91" w:rsidRDefault="001177AB" w:rsidP="006E1CD3">
            <w:pPr>
              <w:suppressAutoHyphens/>
              <w:spacing w:after="0" w:line="240" w:lineRule="auto"/>
              <w:rPr>
                <w:rFonts w:ascii="Times New Roman" w:eastAsia="Times New Roman" w:hAnsi="Times New Roman" w:cs="Times New Roman"/>
                <w:b/>
                <w:sz w:val="18"/>
                <w:szCs w:val="18"/>
                <w:lang w:val="ro-RO" w:eastAsia="nl-NL"/>
              </w:rPr>
            </w:pPr>
          </w:p>
        </w:tc>
        <w:tc>
          <w:tcPr>
            <w:tcW w:w="656" w:type="dxa"/>
            <w:shd w:val="clear" w:color="auto" w:fill="auto"/>
            <w:vAlign w:val="center"/>
          </w:tcPr>
          <w:p w14:paraId="6C7632F3" w14:textId="77777777" w:rsidR="001177AB" w:rsidRPr="00942C91" w:rsidRDefault="001177AB" w:rsidP="006E1CD3">
            <w:pPr>
              <w:suppressAutoHyphens/>
              <w:spacing w:after="0" w:line="240" w:lineRule="auto"/>
              <w:jc w:val="center"/>
              <w:rPr>
                <w:rFonts w:ascii="Times New Roman" w:eastAsia="Times New Roman" w:hAnsi="Times New Roman" w:cs="Times New Roman"/>
                <w:sz w:val="18"/>
                <w:szCs w:val="18"/>
                <w:lang w:val="ro-RO" w:eastAsia="ar-SA"/>
              </w:rPr>
            </w:pPr>
            <w:r w:rsidRPr="00942C91">
              <w:rPr>
                <w:rFonts w:ascii="Times New Roman" w:eastAsia="Times New Roman" w:hAnsi="Times New Roman" w:cs="Times New Roman"/>
                <w:b/>
                <w:color w:val="000000"/>
                <w:sz w:val="18"/>
                <w:szCs w:val="18"/>
                <w:lang w:val="ro-RO" w:eastAsia="ar-SA"/>
              </w:rPr>
              <w:t>o2</w:t>
            </w:r>
          </w:p>
        </w:tc>
        <w:tc>
          <w:tcPr>
            <w:tcW w:w="3300" w:type="dxa"/>
            <w:shd w:val="clear" w:color="auto" w:fill="auto"/>
            <w:vAlign w:val="center"/>
          </w:tcPr>
          <w:p w14:paraId="0D8D9203" w14:textId="77777777" w:rsidR="001177AB" w:rsidRPr="00942C91" w:rsidRDefault="001177AB" w:rsidP="006E1CD3">
            <w:pPr>
              <w:suppressAutoHyphens/>
              <w:spacing w:after="0" w:line="240" w:lineRule="auto"/>
              <w:jc w:val="both"/>
              <w:rPr>
                <w:rFonts w:ascii="Times New Roman" w:eastAsia="Times New Roman" w:hAnsi="Times New Roman" w:cs="Times New Roman"/>
                <w:color w:val="000000"/>
                <w:sz w:val="18"/>
                <w:szCs w:val="18"/>
                <w:lang w:val="ro-RO" w:eastAsia="ar-SA"/>
              </w:rPr>
            </w:pPr>
            <w:r w:rsidRPr="00942C91">
              <w:rPr>
                <w:rFonts w:ascii="Times New Roman" w:eastAsia="Times New Roman" w:hAnsi="Times New Roman" w:cs="Times New Roman"/>
                <w:color w:val="000000"/>
                <w:sz w:val="18"/>
                <w:szCs w:val="18"/>
                <w:lang w:val="ro-RO" w:eastAsia="ar-SA"/>
              </w:rPr>
              <w:t>Numărul sistemelor de evidenţă înregistrate în Registrul de evidenţă al operatorilor de date cu caracter personal</w:t>
            </w:r>
          </w:p>
        </w:tc>
        <w:tc>
          <w:tcPr>
            <w:tcW w:w="953" w:type="dxa"/>
            <w:shd w:val="clear" w:color="auto" w:fill="auto"/>
            <w:vAlign w:val="center"/>
          </w:tcPr>
          <w:p w14:paraId="0B2728C7" w14:textId="77777777" w:rsidR="001177AB" w:rsidRPr="00942C91" w:rsidRDefault="001177AB" w:rsidP="006E1CD3">
            <w:pPr>
              <w:suppressAutoHyphens/>
              <w:spacing w:after="0" w:line="240" w:lineRule="auto"/>
              <w:jc w:val="center"/>
              <w:rPr>
                <w:rFonts w:ascii="Times New Roman" w:eastAsia="Times New Roman" w:hAnsi="Times New Roman" w:cs="Times New Roman"/>
                <w:sz w:val="18"/>
                <w:szCs w:val="18"/>
                <w:lang w:val="ro-RO" w:eastAsia="ar-SA"/>
              </w:rPr>
            </w:pPr>
            <w:r w:rsidRPr="00942C91">
              <w:rPr>
                <w:rFonts w:ascii="Times New Roman" w:eastAsia="Times New Roman" w:hAnsi="Times New Roman" w:cs="Times New Roman"/>
                <w:b/>
                <w:color w:val="000000"/>
                <w:sz w:val="18"/>
                <w:szCs w:val="18"/>
                <w:lang w:val="ro-RO" w:eastAsia="ar-SA"/>
              </w:rPr>
              <w:t>unităţi</w:t>
            </w:r>
          </w:p>
        </w:tc>
        <w:tc>
          <w:tcPr>
            <w:tcW w:w="890" w:type="dxa"/>
            <w:shd w:val="clear" w:color="auto" w:fill="auto"/>
            <w:vAlign w:val="center"/>
          </w:tcPr>
          <w:p w14:paraId="785409CB"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200</w:t>
            </w:r>
          </w:p>
        </w:tc>
        <w:tc>
          <w:tcPr>
            <w:tcW w:w="999" w:type="dxa"/>
            <w:shd w:val="clear" w:color="auto" w:fill="auto"/>
            <w:vAlign w:val="center"/>
          </w:tcPr>
          <w:p w14:paraId="4B08B718"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w:t>
            </w:r>
          </w:p>
        </w:tc>
        <w:tc>
          <w:tcPr>
            <w:tcW w:w="944" w:type="dxa"/>
            <w:shd w:val="clear" w:color="auto" w:fill="auto"/>
            <w:vAlign w:val="center"/>
          </w:tcPr>
          <w:p w14:paraId="2864E16C"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w:t>
            </w:r>
          </w:p>
        </w:tc>
        <w:tc>
          <w:tcPr>
            <w:tcW w:w="1082" w:type="dxa"/>
            <w:shd w:val="clear" w:color="auto" w:fill="auto"/>
            <w:vAlign w:val="center"/>
          </w:tcPr>
          <w:p w14:paraId="4128AD92"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w:t>
            </w:r>
          </w:p>
        </w:tc>
      </w:tr>
      <w:tr w:rsidR="001177AB" w:rsidRPr="00942C91" w14:paraId="565B2A62" w14:textId="77777777" w:rsidTr="00C45D31">
        <w:trPr>
          <w:trHeight w:val="370"/>
        </w:trPr>
        <w:tc>
          <w:tcPr>
            <w:tcW w:w="1045" w:type="dxa"/>
            <w:vMerge/>
            <w:shd w:val="clear" w:color="auto" w:fill="auto"/>
            <w:textDirection w:val="btLr"/>
            <w:vAlign w:val="center"/>
          </w:tcPr>
          <w:p w14:paraId="644FD68B" w14:textId="77777777" w:rsidR="001177AB" w:rsidRPr="00942C91" w:rsidRDefault="001177AB" w:rsidP="006E1CD3">
            <w:pPr>
              <w:suppressAutoHyphens/>
              <w:spacing w:after="0" w:line="240" w:lineRule="auto"/>
              <w:ind w:left="113" w:right="113"/>
              <w:jc w:val="center"/>
              <w:rPr>
                <w:rFonts w:ascii="Times New Roman" w:eastAsia="Times New Roman" w:hAnsi="Times New Roman" w:cs="Times New Roman"/>
                <w:b/>
                <w:color w:val="000000"/>
                <w:sz w:val="18"/>
                <w:szCs w:val="18"/>
                <w:lang w:val="ro-RO" w:eastAsia="ar-SA"/>
              </w:rPr>
            </w:pPr>
          </w:p>
        </w:tc>
        <w:tc>
          <w:tcPr>
            <w:tcW w:w="656" w:type="dxa"/>
            <w:shd w:val="clear" w:color="auto" w:fill="auto"/>
            <w:vAlign w:val="center"/>
          </w:tcPr>
          <w:p w14:paraId="65E67FAA"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o9</w:t>
            </w:r>
          </w:p>
        </w:tc>
        <w:tc>
          <w:tcPr>
            <w:tcW w:w="3300" w:type="dxa"/>
            <w:shd w:val="clear" w:color="auto" w:fill="auto"/>
            <w:vAlign w:val="center"/>
          </w:tcPr>
          <w:p w14:paraId="56BC8F8C" w14:textId="77777777" w:rsidR="001177AB" w:rsidRPr="00942C91" w:rsidRDefault="001177AB" w:rsidP="006E1CD3">
            <w:pPr>
              <w:suppressAutoHyphens/>
              <w:spacing w:after="0" w:line="240" w:lineRule="auto"/>
              <w:jc w:val="both"/>
              <w:rPr>
                <w:rFonts w:ascii="Times New Roman" w:eastAsia="Times New Roman" w:hAnsi="Times New Roman" w:cs="Times New Roman"/>
                <w:color w:val="000000"/>
                <w:sz w:val="18"/>
                <w:szCs w:val="18"/>
                <w:lang w:val="ro-RO" w:eastAsia="ar-SA"/>
              </w:rPr>
            </w:pPr>
            <w:r w:rsidRPr="00942C91">
              <w:rPr>
                <w:rFonts w:ascii="Times New Roman" w:eastAsia="Times New Roman" w:hAnsi="Times New Roman" w:cs="Times New Roman"/>
                <w:color w:val="000000"/>
                <w:sz w:val="18"/>
                <w:szCs w:val="18"/>
                <w:lang w:val="ro-RO" w:eastAsia="ar-SA"/>
              </w:rPr>
              <w:t>Numărul controalelor efectuate de Centru</w:t>
            </w:r>
          </w:p>
        </w:tc>
        <w:tc>
          <w:tcPr>
            <w:tcW w:w="953" w:type="dxa"/>
            <w:shd w:val="clear" w:color="auto" w:fill="auto"/>
            <w:vAlign w:val="center"/>
          </w:tcPr>
          <w:p w14:paraId="1ADBD231" w14:textId="77777777" w:rsidR="001177AB" w:rsidRPr="00942C91" w:rsidRDefault="001177AB" w:rsidP="006E1CD3">
            <w:pPr>
              <w:suppressAutoHyphens/>
              <w:spacing w:after="0" w:line="240" w:lineRule="auto"/>
              <w:jc w:val="center"/>
              <w:rPr>
                <w:rFonts w:ascii="Times New Roman" w:eastAsia="Times New Roman" w:hAnsi="Times New Roman" w:cs="Times New Roman"/>
                <w:sz w:val="18"/>
                <w:szCs w:val="18"/>
                <w:lang w:val="ro-RO" w:eastAsia="ar-SA"/>
              </w:rPr>
            </w:pPr>
            <w:r w:rsidRPr="00942C91">
              <w:rPr>
                <w:rFonts w:ascii="Times New Roman" w:eastAsia="Times New Roman" w:hAnsi="Times New Roman" w:cs="Times New Roman"/>
                <w:b/>
                <w:color w:val="000000"/>
                <w:sz w:val="18"/>
                <w:szCs w:val="18"/>
                <w:lang w:val="ro-RO" w:eastAsia="ar-SA"/>
              </w:rPr>
              <w:t>unităţi</w:t>
            </w:r>
          </w:p>
        </w:tc>
        <w:tc>
          <w:tcPr>
            <w:tcW w:w="890" w:type="dxa"/>
            <w:shd w:val="clear" w:color="auto" w:fill="auto"/>
            <w:vAlign w:val="center"/>
          </w:tcPr>
          <w:p w14:paraId="7E1B5D97"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250</w:t>
            </w:r>
          </w:p>
        </w:tc>
        <w:tc>
          <w:tcPr>
            <w:tcW w:w="999" w:type="dxa"/>
            <w:shd w:val="clear" w:color="auto" w:fill="auto"/>
            <w:vAlign w:val="center"/>
          </w:tcPr>
          <w:p w14:paraId="7AE2681B"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227</w:t>
            </w:r>
          </w:p>
        </w:tc>
        <w:tc>
          <w:tcPr>
            <w:tcW w:w="944" w:type="dxa"/>
            <w:shd w:val="clear" w:color="auto" w:fill="auto"/>
            <w:vAlign w:val="center"/>
          </w:tcPr>
          <w:p w14:paraId="5AC0D68F"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-23</w:t>
            </w:r>
          </w:p>
        </w:tc>
        <w:tc>
          <w:tcPr>
            <w:tcW w:w="1082" w:type="dxa"/>
            <w:shd w:val="clear" w:color="auto" w:fill="auto"/>
            <w:vAlign w:val="center"/>
          </w:tcPr>
          <w:p w14:paraId="32F40471"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w:t>
            </w:r>
          </w:p>
        </w:tc>
      </w:tr>
      <w:tr w:rsidR="009A3743" w:rsidRPr="00942C91" w14:paraId="51CF3A39" w14:textId="77777777" w:rsidTr="00C45D31">
        <w:trPr>
          <w:trHeight w:val="340"/>
        </w:trPr>
        <w:tc>
          <w:tcPr>
            <w:tcW w:w="1045" w:type="dxa"/>
            <w:shd w:val="clear" w:color="auto" w:fill="auto"/>
            <w:vAlign w:val="center"/>
          </w:tcPr>
          <w:p w14:paraId="0275C873" w14:textId="77777777" w:rsidR="009A3743" w:rsidRPr="00942C91" w:rsidRDefault="009A3743"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lastRenderedPageBreak/>
              <w:t>De eficiență</w:t>
            </w:r>
          </w:p>
        </w:tc>
        <w:tc>
          <w:tcPr>
            <w:tcW w:w="656" w:type="dxa"/>
            <w:shd w:val="clear" w:color="auto" w:fill="auto"/>
            <w:vAlign w:val="center"/>
          </w:tcPr>
          <w:p w14:paraId="7B9784E4" w14:textId="77777777" w:rsidR="009A3743" w:rsidRPr="00942C91" w:rsidRDefault="009A3743"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e4</w:t>
            </w:r>
          </w:p>
        </w:tc>
        <w:tc>
          <w:tcPr>
            <w:tcW w:w="3300" w:type="dxa"/>
            <w:shd w:val="clear" w:color="auto" w:fill="auto"/>
            <w:vAlign w:val="center"/>
          </w:tcPr>
          <w:p w14:paraId="7ED229F8" w14:textId="77777777" w:rsidR="009A3743" w:rsidRPr="00942C91" w:rsidRDefault="009A3743" w:rsidP="006E1CD3">
            <w:pPr>
              <w:suppressAutoHyphens/>
              <w:spacing w:after="0" w:line="240" w:lineRule="auto"/>
              <w:rPr>
                <w:rFonts w:ascii="Times New Roman" w:eastAsia="Times New Roman" w:hAnsi="Times New Roman" w:cs="Times New Roman"/>
                <w:sz w:val="18"/>
                <w:szCs w:val="18"/>
                <w:lang w:val="ro-RO" w:eastAsia="nl-NL"/>
              </w:rPr>
            </w:pPr>
            <w:r w:rsidRPr="00942C91">
              <w:rPr>
                <w:rFonts w:ascii="Times New Roman" w:eastAsia="Times New Roman" w:hAnsi="Times New Roman" w:cs="Times New Roman"/>
                <w:sz w:val="18"/>
                <w:szCs w:val="18"/>
                <w:lang w:val="ro-RO" w:eastAsia="nl-NL"/>
              </w:rPr>
              <w:t>Cheltuieli necesare pentru organizarea unei acţiuni de promovare a noţiunilor de "date cu caracter personal" şi "viaţă privată", precum şi a principiilor de protecţie a datelor cu caracter personal</w:t>
            </w:r>
          </w:p>
        </w:tc>
        <w:tc>
          <w:tcPr>
            <w:tcW w:w="953" w:type="dxa"/>
            <w:shd w:val="clear" w:color="auto" w:fill="auto"/>
            <w:vAlign w:val="center"/>
          </w:tcPr>
          <w:p w14:paraId="5FA10BB3" w14:textId="77777777" w:rsidR="009A3743" w:rsidRPr="00942C91" w:rsidRDefault="009A3743"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lei/unitate</w:t>
            </w:r>
          </w:p>
        </w:tc>
        <w:tc>
          <w:tcPr>
            <w:tcW w:w="890" w:type="dxa"/>
            <w:shd w:val="clear" w:color="auto" w:fill="auto"/>
            <w:vAlign w:val="center"/>
          </w:tcPr>
          <w:p w14:paraId="404AAE90" w14:textId="77777777" w:rsidR="009A3743" w:rsidRPr="00942C91" w:rsidRDefault="009A3743"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3000</w:t>
            </w:r>
          </w:p>
        </w:tc>
        <w:tc>
          <w:tcPr>
            <w:tcW w:w="999" w:type="dxa"/>
            <w:shd w:val="clear" w:color="auto" w:fill="auto"/>
            <w:vAlign w:val="center"/>
          </w:tcPr>
          <w:p w14:paraId="0C17B0AB" w14:textId="77777777" w:rsidR="009A3743" w:rsidRPr="00942C91" w:rsidRDefault="009A3743"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3500</w:t>
            </w:r>
          </w:p>
        </w:tc>
        <w:tc>
          <w:tcPr>
            <w:tcW w:w="944" w:type="dxa"/>
            <w:shd w:val="clear" w:color="auto" w:fill="auto"/>
            <w:vAlign w:val="center"/>
          </w:tcPr>
          <w:p w14:paraId="03E1483F" w14:textId="77777777" w:rsidR="009A3743" w:rsidRPr="00942C91" w:rsidRDefault="009A3743"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+500</w:t>
            </w:r>
          </w:p>
        </w:tc>
        <w:tc>
          <w:tcPr>
            <w:tcW w:w="1082" w:type="dxa"/>
            <w:shd w:val="clear" w:color="auto" w:fill="auto"/>
            <w:vAlign w:val="center"/>
          </w:tcPr>
          <w:p w14:paraId="749D4E3C" w14:textId="77777777" w:rsidR="009A3743" w:rsidRPr="00942C91" w:rsidRDefault="009A3743"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w:t>
            </w:r>
          </w:p>
        </w:tc>
      </w:tr>
      <w:tr w:rsidR="009A3743" w:rsidRPr="00942C91" w14:paraId="28E553E3" w14:textId="77777777" w:rsidTr="00280524">
        <w:trPr>
          <w:trHeight w:val="340"/>
        </w:trPr>
        <w:tc>
          <w:tcPr>
            <w:tcW w:w="5001" w:type="dxa"/>
            <w:gridSpan w:val="3"/>
            <w:shd w:val="clear" w:color="auto" w:fill="auto"/>
            <w:vAlign w:val="center"/>
          </w:tcPr>
          <w:p w14:paraId="15F9823D" w14:textId="77777777" w:rsidR="009A3743" w:rsidRPr="00942C91" w:rsidRDefault="009A3743" w:rsidP="006E1CD3">
            <w:pPr>
              <w:suppressAutoHyphens/>
              <w:spacing w:after="0" w:line="240" w:lineRule="auto"/>
              <w:rPr>
                <w:rFonts w:ascii="Times New Roman" w:eastAsia="Times New Roman" w:hAnsi="Times New Roman" w:cs="Times New Roman"/>
                <w:sz w:val="18"/>
                <w:szCs w:val="18"/>
                <w:lang w:val="ro-RO" w:eastAsia="nl-NL"/>
              </w:rPr>
            </w:pPr>
            <w:r w:rsidRPr="00942C91">
              <w:rPr>
                <w:rFonts w:ascii="Times New Roman" w:eastAsia="Times New Roman" w:hAnsi="Times New Roman" w:cs="Times New Roman"/>
                <w:b/>
                <w:color w:val="000000"/>
                <w:sz w:val="18"/>
                <w:szCs w:val="18"/>
                <w:lang w:val="ro-RO" w:eastAsia="ar-SA"/>
              </w:rPr>
              <w:t>Cheltuieli, mii lei</w:t>
            </w:r>
          </w:p>
        </w:tc>
        <w:tc>
          <w:tcPr>
            <w:tcW w:w="953" w:type="dxa"/>
            <w:shd w:val="clear" w:color="auto" w:fill="auto"/>
            <w:vAlign w:val="center"/>
          </w:tcPr>
          <w:p w14:paraId="2006165C" w14:textId="77777777" w:rsidR="009A3743" w:rsidRPr="00942C91" w:rsidRDefault="009A3743"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890" w:type="dxa"/>
            <w:shd w:val="clear" w:color="auto" w:fill="auto"/>
            <w:vAlign w:val="center"/>
          </w:tcPr>
          <w:p w14:paraId="249483BE" w14:textId="77777777" w:rsidR="009A3743" w:rsidRPr="00942C91" w:rsidRDefault="009A3743"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Aprobat</w:t>
            </w:r>
          </w:p>
        </w:tc>
        <w:tc>
          <w:tcPr>
            <w:tcW w:w="999" w:type="dxa"/>
            <w:shd w:val="clear" w:color="auto" w:fill="auto"/>
            <w:vAlign w:val="center"/>
          </w:tcPr>
          <w:p w14:paraId="708ECBF7" w14:textId="77777777" w:rsidR="009A3743" w:rsidRPr="00942C91" w:rsidRDefault="009A3743"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Precizat</w:t>
            </w:r>
          </w:p>
        </w:tc>
        <w:tc>
          <w:tcPr>
            <w:tcW w:w="944" w:type="dxa"/>
            <w:shd w:val="clear" w:color="auto" w:fill="auto"/>
            <w:vAlign w:val="center"/>
          </w:tcPr>
          <w:p w14:paraId="3133A88F" w14:textId="77777777" w:rsidR="009A3743" w:rsidRPr="00942C91" w:rsidRDefault="009A3743"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Executat</w:t>
            </w:r>
          </w:p>
        </w:tc>
        <w:tc>
          <w:tcPr>
            <w:tcW w:w="1082" w:type="dxa"/>
            <w:shd w:val="clear" w:color="auto" w:fill="auto"/>
            <w:vAlign w:val="center"/>
          </w:tcPr>
          <w:p w14:paraId="25D64A18" w14:textId="77777777" w:rsidR="009A3743" w:rsidRPr="00942C91" w:rsidRDefault="009A3743"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Devieri -+ (7-6)</w:t>
            </w:r>
          </w:p>
        </w:tc>
      </w:tr>
      <w:tr w:rsidR="009A3743" w:rsidRPr="00942C91" w14:paraId="7D6718D9" w14:textId="77777777" w:rsidTr="00280524">
        <w:trPr>
          <w:trHeight w:val="340"/>
        </w:trPr>
        <w:tc>
          <w:tcPr>
            <w:tcW w:w="5001" w:type="dxa"/>
            <w:gridSpan w:val="3"/>
            <w:shd w:val="clear" w:color="auto" w:fill="auto"/>
            <w:vAlign w:val="center"/>
          </w:tcPr>
          <w:p w14:paraId="00CFE4CA" w14:textId="77777777" w:rsidR="009A3743" w:rsidRPr="00942C91" w:rsidRDefault="009A3743" w:rsidP="006E1CD3">
            <w:pPr>
              <w:suppressAutoHyphens/>
              <w:spacing w:after="0" w:line="240" w:lineRule="auto"/>
              <w:rPr>
                <w:rFonts w:ascii="Times New Roman" w:eastAsia="Times New Roman" w:hAnsi="Times New Roman" w:cs="Times New Roman"/>
                <w:sz w:val="18"/>
                <w:szCs w:val="18"/>
                <w:lang w:val="ro-RO" w:eastAsia="nl-NL"/>
              </w:rPr>
            </w:pPr>
          </w:p>
        </w:tc>
        <w:tc>
          <w:tcPr>
            <w:tcW w:w="953" w:type="dxa"/>
            <w:shd w:val="clear" w:color="auto" w:fill="auto"/>
            <w:vAlign w:val="center"/>
          </w:tcPr>
          <w:p w14:paraId="4288CB23" w14:textId="77777777" w:rsidR="009A3743" w:rsidRPr="00942C91" w:rsidRDefault="009A3743"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890" w:type="dxa"/>
            <w:shd w:val="clear" w:color="auto" w:fill="auto"/>
            <w:vAlign w:val="center"/>
          </w:tcPr>
          <w:p w14:paraId="14E5C893" w14:textId="77777777" w:rsidR="009A3743" w:rsidRPr="00942C91" w:rsidRDefault="009A3743"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9 872,60</w:t>
            </w:r>
          </w:p>
        </w:tc>
        <w:tc>
          <w:tcPr>
            <w:tcW w:w="999" w:type="dxa"/>
            <w:shd w:val="clear" w:color="auto" w:fill="auto"/>
            <w:vAlign w:val="center"/>
          </w:tcPr>
          <w:p w14:paraId="4E4C5996" w14:textId="77777777" w:rsidR="009A3743" w:rsidRPr="00942C91" w:rsidRDefault="009A3743"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10 201,60</w:t>
            </w:r>
          </w:p>
        </w:tc>
        <w:tc>
          <w:tcPr>
            <w:tcW w:w="944" w:type="dxa"/>
            <w:shd w:val="clear" w:color="auto" w:fill="auto"/>
            <w:vAlign w:val="center"/>
          </w:tcPr>
          <w:p w14:paraId="6215B372" w14:textId="77777777" w:rsidR="009A3743" w:rsidRPr="00942C91" w:rsidRDefault="009A3743"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9 137,57</w:t>
            </w:r>
          </w:p>
        </w:tc>
        <w:tc>
          <w:tcPr>
            <w:tcW w:w="1082" w:type="dxa"/>
            <w:shd w:val="clear" w:color="auto" w:fill="auto"/>
            <w:vAlign w:val="center"/>
          </w:tcPr>
          <w:p w14:paraId="75920217" w14:textId="77777777" w:rsidR="009A3743" w:rsidRPr="00942C91" w:rsidRDefault="009A3743"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-1064,0</w:t>
            </w:r>
          </w:p>
        </w:tc>
      </w:tr>
    </w:tbl>
    <w:p w14:paraId="77313DA1" w14:textId="77777777" w:rsidR="001177AB" w:rsidRPr="00942C91" w:rsidRDefault="001177AB" w:rsidP="001177AB">
      <w:pPr>
        <w:suppressAutoHyphens/>
        <w:spacing w:after="0" w:line="240" w:lineRule="auto"/>
        <w:rPr>
          <w:rFonts w:ascii="Times New Roman" w:eastAsia="Times New Roman" w:hAnsi="Times New Roman" w:cs="Times New Roman"/>
          <w:sz w:val="20"/>
          <w:szCs w:val="20"/>
          <w:lang w:val="ro-RO" w:eastAsia="ar-SA"/>
        </w:rPr>
      </w:pPr>
    </w:p>
    <w:p w14:paraId="371652FC" w14:textId="77777777" w:rsidR="001177AB" w:rsidRPr="00942C91" w:rsidRDefault="001177AB" w:rsidP="001177AB">
      <w:pPr>
        <w:suppressAutoHyphens/>
        <w:spacing w:after="0" w:line="240" w:lineRule="auto"/>
        <w:rPr>
          <w:rFonts w:ascii="Times New Roman" w:eastAsia="Times New Roman" w:hAnsi="Times New Roman" w:cs="Times New Roman"/>
          <w:sz w:val="20"/>
          <w:szCs w:val="20"/>
          <w:lang w:val="ro-RO" w:eastAsia="ar-SA"/>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532"/>
        <w:gridCol w:w="3296"/>
        <w:gridCol w:w="992"/>
        <w:gridCol w:w="850"/>
        <w:gridCol w:w="1128"/>
        <w:gridCol w:w="857"/>
        <w:gridCol w:w="1169"/>
      </w:tblGrid>
      <w:tr w:rsidR="001177AB" w:rsidRPr="00942C91" w14:paraId="634F373D" w14:textId="77777777" w:rsidTr="001208C3">
        <w:trPr>
          <w:trHeight w:val="461"/>
        </w:trPr>
        <w:tc>
          <w:tcPr>
            <w:tcW w:w="9869" w:type="dxa"/>
            <w:gridSpan w:val="8"/>
            <w:shd w:val="clear" w:color="auto" w:fill="auto"/>
            <w:noWrap/>
            <w:vAlign w:val="center"/>
          </w:tcPr>
          <w:p w14:paraId="6E7A4D02" w14:textId="77777777" w:rsidR="001177AB" w:rsidRPr="00942C91" w:rsidRDefault="001177AB" w:rsidP="006E1CD3">
            <w:pPr>
              <w:suppressAutoHyphens/>
              <w:spacing w:after="0" w:line="240" w:lineRule="auto"/>
              <w:jc w:val="center"/>
              <w:rPr>
                <w:rFonts w:ascii="Times New Roman" w:eastAsia="Times New Roman" w:hAnsi="Times New Roman" w:cs="Times New Roman"/>
                <w:b/>
                <w:bCs/>
                <w:color w:val="000000"/>
                <w:sz w:val="18"/>
                <w:szCs w:val="18"/>
                <w:lang w:val="ro-RO" w:eastAsia="ar-SA"/>
              </w:rPr>
            </w:pPr>
            <w:r w:rsidRPr="00942C91">
              <w:rPr>
                <w:rFonts w:ascii="Times New Roman" w:eastAsia="Times New Roman" w:hAnsi="Times New Roman" w:cs="Times New Roman"/>
                <w:b/>
                <w:sz w:val="18"/>
                <w:szCs w:val="18"/>
                <w:lang w:val="ro-RO" w:eastAsia="ar-SA"/>
              </w:rPr>
              <w:t>Raport de performanță</w:t>
            </w:r>
            <w:r w:rsidRPr="00942C91">
              <w:rPr>
                <w:rFonts w:ascii="Times New Roman" w:eastAsia="Times New Roman" w:hAnsi="Times New Roman" w:cs="Times New Roman"/>
                <w:b/>
                <w:sz w:val="18"/>
                <w:szCs w:val="18"/>
                <w:vertAlign w:val="superscript"/>
                <w:lang w:val="ro-RO" w:eastAsia="ar-SA"/>
              </w:rPr>
              <w:t xml:space="preserve"> </w:t>
            </w:r>
            <w:r w:rsidRPr="00942C91">
              <w:rPr>
                <w:rFonts w:ascii="Times New Roman" w:eastAsia="Times New Roman" w:hAnsi="Times New Roman" w:cs="Times New Roman"/>
                <w:b/>
                <w:sz w:val="18"/>
                <w:szCs w:val="18"/>
                <w:lang w:val="ro-RO" w:eastAsia="ar-SA"/>
              </w:rPr>
              <w:t xml:space="preserve">al </w:t>
            </w:r>
            <w:r w:rsidRPr="00942C91">
              <w:rPr>
                <w:rFonts w:ascii="Times New Roman" w:eastAsia="Times New Roman" w:hAnsi="Times New Roman" w:cs="Times New Roman"/>
                <w:b/>
                <w:bCs/>
                <w:color w:val="000000"/>
                <w:sz w:val="18"/>
                <w:szCs w:val="18"/>
                <w:lang w:val="ro-RO" w:eastAsia="ar-SA"/>
              </w:rPr>
              <w:t>Centrului Național pentru Protecția Datelor cu Caracter Personal</w:t>
            </w:r>
          </w:p>
          <w:p w14:paraId="64E94028" w14:textId="77777777" w:rsidR="001177AB" w:rsidRPr="00942C91" w:rsidRDefault="001177AB" w:rsidP="006E1CD3">
            <w:pPr>
              <w:suppressAutoHyphens/>
              <w:spacing w:after="0" w:line="240" w:lineRule="auto"/>
              <w:jc w:val="center"/>
              <w:rPr>
                <w:rFonts w:ascii="Times New Roman" w:eastAsia="Times New Roman" w:hAnsi="Times New Roman" w:cs="Times New Roman"/>
                <w:b/>
                <w:sz w:val="18"/>
                <w:szCs w:val="18"/>
                <w:vertAlign w:val="superscript"/>
                <w:lang w:val="ro-RO" w:eastAsia="ar-SA"/>
              </w:rPr>
            </w:pPr>
            <w:r w:rsidRPr="00942C91">
              <w:rPr>
                <w:rFonts w:ascii="Times New Roman" w:eastAsia="Times New Roman" w:hAnsi="Times New Roman" w:cs="Times New Roman"/>
                <w:b/>
                <w:sz w:val="18"/>
                <w:szCs w:val="18"/>
                <w:lang w:val="ro-RO" w:eastAsia="ar-SA"/>
              </w:rPr>
              <w:t>la situația din 31 decembrie 2021</w:t>
            </w:r>
          </w:p>
        </w:tc>
      </w:tr>
      <w:tr w:rsidR="001177AB" w:rsidRPr="00942C91" w14:paraId="37203D6B" w14:textId="77777777" w:rsidTr="001208C3">
        <w:trPr>
          <w:trHeight w:val="226"/>
        </w:trPr>
        <w:tc>
          <w:tcPr>
            <w:tcW w:w="9869" w:type="dxa"/>
            <w:gridSpan w:val="8"/>
            <w:shd w:val="clear" w:color="auto" w:fill="auto"/>
            <w:noWrap/>
            <w:vAlign w:val="center"/>
          </w:tcPr>
          <w:p w14:paraId="710710E6" w14:textId="77777777" w:rsidR="001177AB" w:rsidRPr="00942C91" w:rsidRDefault="001177AB" w:rsidP="006E1CD3">
            <w:pPr>
              <w:tabs>
                <w:tab w:val="left" w:pos="4111"/>
              </w:tabs>
              <w:suppressAutoHyphens/>
              <w:spacing w:after="0" w:line="240" w:lineRule="auto"/>
              <w:rPr>
                <w:rFonts w:ascii="Times New Roman" w:eastAsia="Times New Roman" w:hAnsi="Times New Roman" w:cs="Times New Roman"/>
                <w:b/>
                <w:sz w:val="18"/>
                <w:szCs w:val="18"/>
                <w:lang w:val="ro-RO" w:eastAsia="ar-SA"/>
              </w:rPr>
            </w:pPr>
            <w:r w:rsidRPr="00942C91">
              <w:rPr>
                <w:rFonts w:ascii="Times New Roman" w:eastAsia="Times New Roman" w:hAnsi="Times New Roman" w:cs="Times New Roman"/>
                <w:b/>
                <w:bCs/>
                <w:sz w:val="18"/>
                <w:szCs w:val="18"/>
                <w:lang w:val="ro-RO" w:eastAsia="ar-SA"/>
              </w:rPr>
              <w:t>Program: Edificarea societății informaționale</w:t>
            </w:r>
          </w:p>
        </w:tc>
      </w:tr>
      <w:tr w:rsidR="001177AB" w:rsidRPr="00942C91" w14:paraId="54F2E927" w14:textId="77777777" w:rsidTr="001208C3">
        <w:trPr>
          <w:trHeight w:val="130"/>
        </w:trPr>
        <w:tc>
          <w:tcPr>
            <w:tcW w:w="9869" w:type="dxa"/>
            <w:gridSpan w:val="8"/>
            <w:shd w:val="clear" w:color="auto" w:fill="auto"/>
            <w:noWrap/>
            <w:vAlign w:val="center"/>
          </w:tcPr>
          <w:p w14:paraId="6AE10111" w14:textId="77777777" w:rsidR="001177AB" w:rsidRPr="00942C91" w:rsidRDefault="001177AB" w:rsidP="006E1CD3">
            <w:pPr>
              <w:suppressAutoHyphens/>
              <w:spacing w:after="0" w:line="240" w:lineRule="auto"/>
              <w:rPr>
                <w:rFonts w:ascii="Times New Roman" w:eastAsia="Times New Roman" w:hAnsi="Times New Roman" w:cs="Times New Roman"/>
                <w:b/>
                <w:bCs/>
                <w:sz w:val="18"/>
                <w:szCs w:val="18"/>
                <w:lang w:val="ro-RO" w:eastAsia="ar-SA"/>
              </w:rPr>
            </w:pPr>
            <w:r w:rsidRPr="00942C91">
              <w:rPr>
                <w:rFonts w:ascii="Times New Roman" w:eastAsia="Times New Roman" w:hAnsi="Times New Roman" w:cs="Times New Roman"/>
                <w:b/>
                <w:color w:val="000000"/>
                <w:sz w:val="18"/>
                <w:szCs w:val="18"/>
                <w:lang w:val="ro-RO" w:eastAsia="ar-SA"/>
              </w:rPr>
              <w:t>Subprogram:  Protecția datelor cu caracter personal</w:t>
            </w:r>
          </w:p>
        </w:tc>
      </w:tr>
      <w:tr w:rsidR="001177AB" w:rsidRPr="00942C91" w14:paraId="685BB11C" w14:textId="77777777" w:rsidTr="00D4082B">
        <w:trPr>
          <w:trHeight w:val="27"/>
        </w:trPr>
        <w:tc>
          <w:tcPr>
            <w:tcW w:w="1045" w:type="dxa"/>
            <w:vMerge w:val="restart"/>
            <w:shd w:val="clear" w:color="auto" w:fill="00B0F0"/>
            <w:vAlign w:val="center"/>
          </w:tcPr>
          <w:p w14:paraId="05E7604D"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Categoria</w:t>
            </w:r>
          </w:p>
        </w:tc>
        <w:tc>
          <w:tcPr>
            <w:tcW w:w="532" w:type="dxa"/>
            <w:vMerge w:val="restart"/>
            <w:shd w:val="clear" w:color="auto" w:fill="00B0F0"/>
            <w:vAlign w:val="center"/>
          </w:tcPr>
          <w:p w14:paraId="1866295D"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 xml:space="preserve">Cod </w:t>
            </w:r>
          </w:p>
        </w:tc>
        <w:tc>
          <w:tcPr>
            <w:tcW w:w="3296" w:type="dxa"/>
            <w:vMerge w:val="restart"/>
            <w:shd w:val="clear" w:color="auto" w:fill="00B0F0"/>
            <w:vAlign w:val="center"/>
          </w:tcPr>
          <w:p w14:paraId="224DA1E3"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Denumirea</w:t>
            </w:r>
            <w:r w:rsidRPr="00942C91" w:rsidDel="00D20F90">
              <w:rPr>
                <w:rFonts w:ascii="Times New Roman" w:eastAsia="Times New Roman" w:hAnsi="Times New Roman" w:cs="Times New Roman"/>
                <w:b/>
                <w:color w:val="000000"/>
                <w:sz w:val="18"/>
                <w:szCs w:val="18"/>
                <w:lang w:val="ro-RO" w:eastAsia="ar-SA"/>
              </w:rPr>
              <w:t xml:space="preserve"> </w:t>
            </w:r>
          </w:p>
        </w:tc>
        <w:tc>
          <w:tcPr>
            <w:tcW w:w="992" w:type="dxa"/>
            <w:vMerge w:val="restart"/>
            <w:shd w:val="clear" w:color="auto" w:fill="00B0F0"/>
            <w:vAlign w:val="center"/>
          </w:tcPr>
          <w:p w14:paraId="174857C9"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Unitatea de măsură</w:t>
            </w:r>
          </w:p>
        </w:tc>
        <w:tc>
          <w:tcPr>
            <w:tcW w:w="850" w:type="dxa"/>
            <w:vMerge w:val="restart"/>
            <w:shd w:val="clear" w:color="auto" w:fill="00B0F0"/>
            <w:vAlign w:val="center"/>
          </w:tcPr>
          <w:p w14:paraId="4D5C7716"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Aprobat</w:t>
            </w:r>
          </w:p>
        </w:tc>
        <w:tc>
          <w:tcPr>
            <w:tcW w:w="1128" w:type="dxa"/>
            <w:vMerge w:val="restart"/>
            <w:shd w:val="clear" w:color="auto" w:fill="00B0F0"/>
            <w:vAlign w:val="center"/>
          </w:tcPr>
          <w:p w14:paraId="6F516241"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Executat</w:t>
            </w:r>
            <w:r w:rsidRPr="00942C91">
              <w:rPr>
                <w:rFonts w:ascii="Times New Roman" w:eastAsia="Times New Roman" w:hAnsi="Times New Roman" w:cs="Times New Roman"/>
                <w:b/>
                <w:sz w:val="18"/>
                <w:szCs w:val="18"/>
                <w:vertAlign w:val="superscript"/>
                <w:lang w:val="ro-RO" w:eastAsia="zh-CN"/>
              </w:rPr>
              <w:t>3</w:t>
            </w:r>
          </w:p>
        </w:tc>
        <w:tc>
          <w:tcPr>
            <w:tcW w:w="2026" w:type="dxa"/>
            <w:gridSpan w:val="2"/>
            <w:shd w:val="clear" w:color="auto" w:fill="00B0F0"/>
            <w:vAlign w:val="center"/>
          </w:tcPr>
          <w:p w14:paraId="20333A99"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Devieri</w:t>
            </w:r>
          </w:p>
        </w:tc>
      </w:tr>
      <w:tr w:rsidR="001177AB" w:rsidRPr="00942C91" w14:paraId="0C53F17B" w14:textId="77777777" w:rsidTr="00D4082B">
        <w:trPr>
          <w:trHeight w:val="27"/>
        </w:trPr>
        <w:tc>
          <w:tcPr>
            <w:tcW w:w="1045" w:type="dxa"/>
            <w:vMerge/>
            <w:shd w:val="clear" w:color="auto" w:fill="00B0F0"/>
            <w:vAlign w:val="center"/>
          </w:tcPr>
          <w:p w14:paraId="20A65B7C" w14:textId="77777777" w:rsidR="001177AB" w:rsidRPr="00942C91" w:rsidRDefault="001177AB" w:rsidP="00ED5A00">
            <w:pPr>
              <w:keepNext/>
              <w:numPr>
                <w:ilvl w:val="0"/>
                <w:numId w:val="13"/>
              </w:numPr>
              <w:suppressAutoHyphens/>
              <w:spacing w:after="1960" w:line="240" w:lineRule="auto"/>
              <w:rPr>
                <w:rFonts w:ascii="Times New Roman" w:eastAsia="Times New Roman" w:hAnsi="Times New Roman" w:cs="Times New Roman"/>
                <w:b/>
                <w:color w:val="000000"/>
                <w:sz w:val="18"/>
                <w:szCs w:val="18"/>
                <w:lang w:val="ro-RO" w:eastAsia="ar-SA"/>
              </w:rPr>
            </w:pPr>
          </w:p>
        </w:tc>
        <w:tc>
          <w:tcPr>
            <w:tcW w:w="532" w:type="dxa"/>
            <w:vMerge/>
            <w:shd w:val="clear" w:color="auto" w:fill="00B0F0"/>
            <w:vAlign w:val="center"/>
          </w:tcPr>
          <w:p w14:paraId="2910757F" w14:textId="77777777" w:rsidR="001177AB" w:rsidRPr="00942C91" w:rsidRDefault="001177AB" w:rsidP="00ED5A00">
            <w:pPr>
              <w:keepNext/>
              <w:numPr>
                <w:ilvl w:val="0"/>
                <w:numId w:val="13"/>
              </w:numPr>
              <w:suppressAutoHyphens/>
              <w:spacing w:after="1960" w:line="240" w:lineRule="auto"/>
              <w:rPr>
                <w:rFonts w:ascii="Times New Roman" w:eastAsia="Times New Roman" w:hAnsi="Times New Roman" w:cs="Times New Roman"/>
                <w:b/>
                <w:color w:val="000000"/>
                <w:sz w:val="18"/>
                <w:szCs w:val="18"/>
                <w:lang w:val="ro-RO" w:eastAsia="ar-SA"/>
              </w:rPr>
            </w:pPr>
          </w:p>
        </w:tc>
        <w:tc>
          <w:tcPr>
            <w:tcW w:w="3296" w:type="dxa"/>
            <w:vMerge/>
            <w:shd w:val="clear" w:color="auto" w:fill="00B0F0"/>
            <w:vAlign w:val="center"/>
          </w:tcPr>
          <w:p w14:paraId="77784D9E" w14:textId="77777777" w:rsidR="001177AB" w:rsidRPr="00942C91" w:rsidRDefault="001177AB" w:rsidP="00ED5A00">
            <w:pPr>
              <w:keepNext/>
              <w:numPr>
                <w:ilvl w:val="0"/>
                <w:numId w:val="13"/>
              </w:numPr>
              <w:suppressAutoHyphens/>
              <w:spacing w:after="1960" w:line="240" w:lineRule="auto"/>
              <w:jc w:val="center"/>
              <w:rPr>
                <w:rFonts w:ascii="Times New Roman" w:eastAsia="Times New Roman" w:hAnsi="Times New Roman" w:cs="Times New Roman"/>
                <w:b/>
                <w:color w:val="000000"/>
                <w:sz w:val="18"/>
                <w:szCs w:val="18"/>
                <w:lang w:val="ro-RO" w:eastAsia="ar-SA"/>
              </w:rPr>
            </w:pPr>
          </w:p>
        </w:tc>
        <w:tc>
          <w:tcPr>
            <w:tcW w:w="992" w:type="dxa"/>
            <w:vMerge/>
            <w:shd w:val="clear" w:color="auto" w:fill="00B0F0"/>
            <w:vAlign w:val="center"/>
          </w:tcPr>
          <w:p w14:paraId="5D46A759" w14:textId="77777777" w:rsidR="001177AB" w:rsidRPr="00942C91" w:rsidRDefault="001177AB" w:rsidP="00ED5A00">
            <w:pPr>
              <w:keepNext/>
              <w:numPr>
                <w:ilvl w:val="0"/>
                <w:numId w:val="13"/>
              </w:numPr>
              <w:suppressAutoHyphens/>
              <w:spacing w:after="1960" w:line="240" w:lineRule="auto"/>
              <w:jc w:val="center"/>
              <w:rPr>
                <w:rFonts w:ascii="Times New Roman" w:eastAsia="Times New Roman" w:hAnsi="Times New Roman" w:cs="Times New Roman"/>
                <w:b/>
                <w:color w:val="000000"/>
                <w:sz w:val="18"/>
                <w:szCs w:val="18"/>
                <w:lang w:val="ro-RO" w:eastAsia="ar-SA"/>
              </w:rPr>
            </w:pPr>
          </w:p>
        </w:tc>
        <w:tc>
          <w:tcPr>
            <w:tcW w:w="850" w:type="dxa"/>
            <w:vMerge/>
            <w:shd w:val="clear" w:color="auto" w:fill="00B0F0"/>
            <w:vAlign w:val="center"/>
          </w:tcPr>
          <w:p w14:paraId="7A8EF265"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1128" w:type="dxa"/>
            <w:vMerge/>
            <w:shd w:val="clear" w:color="auto" w:fill="00B0F0"/>
            <w:vAlign w:val="center"/>
          </w:tcPr>
          <w:p w14:paraId="58F61090"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857" w:type="dxa"/>
            <w:shd w:val="clear" w:color="auto" w:fill="00B0F0"/>
            <w:vAlign w:val="center"/>
          </w:tcPr>
          <w:p w14:paraId="72E65886"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Valoarea</w:t>
            </w:r>
          </w:p>
          <w:p w14:paraId="09DF0252" w14:textId="77777777" w:rsidR="001177AB" w:rsidRPr="00942C91"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942C91">
              <w:rPr>
                <w:rFonts w:ascii="Times New Roman" w:eastAsia="Times New Roman" w:hAnsi="Times New Roman" w:cs="Times New Roman"/>
                <w:b/>
                <w:color w:val="000000"/>
                <w:sz w:val="18"/>
                <w:szCs w:val="18"/>
                <w:lang w:val="ro-RO" w:eastAsia="ar-SA"/>
              </w:rPr>
              <w:t xml:space="preserve">(+/-) </w:t>
            </w:r>
          </w:p>
        </w:tc>
        <w:tc>
          <w:tcPr>
            <w:tcW w:w="1169" w:type="dxa"/>
            <w:shd w:val="clear" w:color="auto" w:fill="00B0F0"/>
            <w:vAlign w:val="center"/>
          </w:tcPr>
          <w:p w14:paraId="4B68BE28" w14:textId="77777777" w:rsidR="001177AB" w:rsidRPr="00942C91" w:rsidRDefault="001177AB" w:rsidP="00C45D31">
            <w:pPr>
              <w:suppressAutoHyphens/>
              <w:spacing w:after="0" w:line="240" w:lineRule="auto"/>
              <w:jc w:val="center"/>
              <w:rPr>
                <w:rFonts w:ascii="Times New Roman" w:eastAsia="Times New Roman" w:hAnsi="Times New Roman" w:cs="Times New Roman"/>
                <w:b/>
                <w:color w:val="000000"/>
                <w:sz w:val="18"/>
                <w:szCs w:val="18"/>
                <w:vertAlign w:val="superscript"/>
                <w:lang w:val="ro-RO" w:eastAsia="ar-SA"/>
              </w:rPr>
            </w:pPr>
            <w:r w:rsidRPr="00942C91">
              <w:rPr>
                <w:rFonts w:ascii="Times New Roman" w:eastAsia="Times New Roman" w:hAnsi="Times New Roman" w:cs="Times New Roman"/>
                <w:b/>
                <w:color w:val="000000"/>
                <w:sz w:val="18"/>
                <w:szCs w:val="18"/>
                <w:lang w:val="ro-RO" w:eastAsia="ar-SA"/>
              </w:rPr>
              <w:t>Explicații</w:t>
            </w:r>
          </w:p>
        </w:tc>
      </w:tr>
      <w:tr w:rsidR="001177AB" w:rsidRPr="00942C91" w14:paraId="36AC4E7F" w14:textId="77777777" w:rsidTr="00D25589">
        <w:trPr>
          <w:trHeight w:val="27"/>
        </w:trPr>
        <w:tc>
          <w:tcPr>
            <w:tcW w:w="1045" w:type="dxa"/>
            <w:shd w:val="clear" w:color="auto" w:fill="auto"/>
            <w:vAlign w:val="center"/>
          </w:tcPr>
          <w:p w14:paraId="0B63B336" w14:textId="77777777" w:rsidR="001177AB" w:rsidRPr="00942C91"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942C91">
              <w:rPr>
                <w:rFonts w:ascii="Times New Roman" w:eastAsia="Times New Roman" w:hAnsi="Times New Roman" w:cs="Times New Roman"/>
                <w:i/>
                <w:color w:val="000000"/>
                <w:sz w:val="18"/>
                <w:szCs w:val="18"/>
                <w:lang w:val="ro-RO" w:eastAsia="ar-SA"/>
              </w:rPr>
              <w:t>1</w:t>
            </w:r>
          </w:p>
        </w:tc>
        <w:tc>
          <w:tcPr>
            <w:tcW w:w="532" w:type="dxa"/>
            <w:shd w:val="clear" w:color="auto" w:fill="auto"/>
            <w:vAlign w:val="center"/>
          </w:tcPr>
          <w:p w14:paraId="0ADEC296" w14:textId="77777777" w:rsidR="001177AB" w:rsidRPr="00942C91"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942C91">
              <w:rPr>
                <w:rFonts w:ascii="Times New Roman" w:eastAsia="Times New Roman" w:hAnsi="Times New Roman" w:cs="Times New Roman"/>
                <w:i/>
                <w:color w:val="000000"/>
                <w:sz w:val="18"/>
                <w:szCs w:val="18"/>
                <w:lang w:val="ro-RO" w:eastAsia="ar-SA"/>
              </w:rPr>
              <w:t>2</w:t>
            </w:r>
          </w:p>
        </w:tc>
        <w:tc>
          <w:tcPr>
            <w:tcW w:w="3296" w:type="dxa"/>
            <w:shd w:val="clear" w:color="auto" w:fill="auto"/>
            <w:vAlign w:val="bottom"/>
          </w:tcPr>
          <w:p w14:paraId="1EDBAF2A" w14:textId="77777777" w:rsidR="001177AB" w:rsidRPr="00942C91"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942C91">
              <w:rPr>
                <w:rFonts w:ascii="Times New Roman" w:eastAsia="Times New Roman" w:hAnsi="Times New Roman" w:cs="Times New Roman"/>
                <w:i/>
                <w:color w:val="000000"/>
                <w:sz w:val="18"/>
                <w:szCs w:val="18"/>
                <w:lang w:val="ro-RO" w:eastAsia="ar-SA"/>
              </w:rPr>
              <w:t>3</w:t>
            </w:r>
          </w:p>
        </w:tc>
        <w:tc>
          <w:tcPr>
            <w:tcW w:w="992" w:type="dxa"/>
            <w:shd w:val="clear" w:color="auto" w:fill="auto"/>
            <w:vAlign w:val="center"/>
          </w:tcPr>
          <w:p w14:paraId="6CDB9A59" w14:textId="77777777" w:rsidR="001177AB" w:rsidRPr="00942C91"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942C91">
              <w:rPr>
                <w:rFonts w:ascii="Times New Roman" w:eastAsia="Times New Roman" w:hAnsi="Times New Roman" w:cs="Times New Roman"/>
                <w:i/>
                <w:color w:val="000000"/>
                <w:sz w:val="18"/>
                <w:szCs w:val="18"/>
                <w:lang w:val="ro-RO" w:eastAsia="ar-SA"/>
              </w:rPr>
              <w:t>4</w:t>
            </w:r>
          </w:p>
        </w:tc>
        <w:tc>
          <w:tcPr>
            <w:tcW w:w="850" w:type="dxa"/>
            <w:shd w:val="clear" w:color="auto" w:fill="auto"/>
            <w:vAlign w:val="center"/>
          </w:tcPr>
          <w:p w14:paraId="3FBD3C19" w14:textId="77777777" w:rsidR="001177AB" w:rsidRPr="00942C91"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942C91">
              <w:rPr>
                <w:rFonts w:ascii="Times New Roman" w:eastAsia="Times New Roman" w:hAnsi="Times New Roman" w:cs="Times New Roman"/>
                <w:i/>
                <w:color w:val="000000"/>
                <w:sz w:val="18"/>
                <w:szCs w:val="18"/>
                <w:lang w:val="ro-RO" w:eastAsia="ar-SA"/>
              </w:rPr>
              <w:t>5</w:t>
            </w:r>
          </w:p>
        </w:tc>
        <w:tc>
          <w:tcPr>
            <w:tcW w:w="1128" w:type="dxa"/>
            <w:shd w:val="clear" w:color="auto" w:fill="auto"/>
            <w:vAlign w:val="center"/>
          </w:tcPr>
          <w:p w14:paraId="59B756FC" w14:textId="77777777" w:rsidR="001177AB" w:rsidRPr="00942C91"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942C91">
              <w:rPr>
                <w:rFonts w:ascii="Times New Roman" w:eastAsia="Times New Roman" w:hAnsi="Times New Roman" w:cs="Times New Roman"/>
                <w:i/>
                <w:color w:val="000000"/>
                <w:sz w:val="18"/>
                <w:szCs w:val="18"/>
                <w:lang w:val="ro-RO" w:eastAsia="ar-SA"/>
              </w:rPr>
              <w:t>6</w:t>
            </w:r>
          </w:p>
        </w:tc>
        <w:tc>
          <w:tcPr>
            <w:tcW w:w="857" w:type="dxa"/>
            <w:shd w:val="clear" w:color="auto" w:fill="auto"/>
            <w:vAlign w:val="center"/>
          </w:tcPr>
          <w:p w14:paraId="6990DB75" w14:textId="77777777" w:rsidR="001177AB" w:rsidRPr="00942C91"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942C91">
              <w:rPr>
                <w:rFonts w:ascii="Times New Roman" w:eastAsia="Times New Roman" w:hAnsi="Times New Roman" w:cs="Times New Roman"/>
                <w:i/>
                <w:color w:val="000000"/>
                <w:sz w:val="18"/>
                <w:szCs w:val="18"/>
                <w:lang w:val="ro-RO" w:eastAsia="ar-SA"/>
              </w:rPr>
              <w:t>7(6-5)</w:t>
            </w:r>
          </w:p>
        </w:tc>
        <w:tc>
          <w:tcPr>
            <w:tcW w:w="1169" w:type="dxa"/>
            <w:shd w:val="clear" w:color="auto" w:fill="auto"/>
            <w:vAlign w:val="center"/>
          </w:tcPr>
          <w:p w14:paraId="75401681" w14:textId="77777777" w:rsidR="001177AB" w:rsidRPr="00942C91"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942C91">
              <w:rPr>
                <w:rFonts w:ascii="Times New Roman" w:eastAsia="Times New Roman" w:hAnsi="Times New Roman" w:cs="Times New Roman"/>
                <w:i/>
                <w:color w:val="000000"/>
                <w:sz w:val="18"/>
                <w:szCs w:val="18"/>
                <w:lang w:val="ro-RO" w:eastAsia="ar-SA"/>
              </w:rPr>
              <w:t>8</w:t>
            </w:r>
          </w:p>
        </w:tc>
      </w:tr>
      <w:tr w:rsidR="001177AB" w:rsidRPr="00942C91" w14:paraId="0462D6A3" w14:textId="77777777" w:rsidTr="001208C3">
        <w:trPr>
          <w:trHeight w:val="27"/>
        </w:trPr>
        <w:tc>
          <w:tcPr>
            <w:tcW w:w="9869" w:type="dxa"/>
            <w:gridSpan w:val="8"/>
            <w:shd w:val="clear" w:color="auto" w:fill="auto"/>
          </w:tcPr>
          <w:p w14:paraId="0B4C2CE4" w14:textId="77777777" w:rsidR="001177AB" w:rsidRPr="00942C91" w:rsidRDefault="001177AB" w:rsidP="006E1CD3">
            <w:pPr>
              <w:suppressAutoHyphens/>
              <w:spacing w:after="0" w:line="240" w:lineRule="auto"/>
              <w:jc w:val="both"/>
              <w:rPr>
                <w:rFonts w:ascii="Times New Roman" w:eastAsia="Times New Roman" w:hAnsi="Times New Roman" w:cs="Times New Roman"/>
                <w:b/>
                <w:sz w:val="18"/>
                <w:szCs w:val="18"/>
                <w:lang w:val="ro-RO" w:eastAsia="zh-CN"/>
              </w:rPr>
            </w:pPr>
            <w:r w:rsidRPr="00942C91">
              <w:rPr>
                <w:rFonts w:ascii="Times New Roman" w:eastAsia="Times New Roman" w:hAnsi="Times New Roman" w:cs="Times New Roman"/>
                <w:b/>
                <w:color w:val="000000"/>
                <w:sz w:val="18"/>
                <w:szCs w:val="18"/>
                <w:lang w:val="ro-RO" w:eastAsia="ar-SA"/>
              </w:rPr>
              <w:t>Scop: </w:t>
            </w:r>
            <w:r w:rsidRPr="00942C91">
              <w:rPr>
                <w:rFonts w:ascii="Times New Roman" w:eastAsia="Times New Roman" w:hAnsi="Times New Roman" w:cs="Times New Roman"/>
                <w:b/>
                <w:sz w:val="18"/>
                <w:szCs w:val="18"/>
                <w:lang w:val="ro-RO" w:eastAsia="ar-SA"/>
              </w:rPr>
              <w:t xml:space="preserve"> Asigurarea unui nivel adecvat de protecție a datelor cu caracter personal în Republica Moldova, conform standardelor europene</w:t>
            </w:r>
          </w:p>
        </w:tc>
      </w:tr>
      <w:tr w:rsidR="001177AB" w:rsidRPr="00DD6A7A" w14:paraId="0D55457A" w14:textId="77777777" w:rsidTr="001208C3">
        <w:trPr>
          <w:trHeight w:val="27"/>
        </w:trPr>
        <w:tc>
          <w:tcPr>
            <w:tcW w:w="9869" w:type="dxa"/>
            <w:gridSpan w:val="8"/>
            <w:shd w:val="clear" w:color="auto" w:fill="auto"/>
          </w:tcPr>
          <w:p w14:paraId="5ED0DA58"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bCs/>
                <w:color w:val="000000"/>
                <w:sz w:val="18"/>
                <w:szCs w:val="18"/>
                <w:lang w:val="ro-RO" w:eastAsia="ar-SA"/>
              </w:rPr>
              <w:t>Indicatori de performanță neexecutați:</w:t>
            </w:r>
          </w:p>
        </w:tc>
      </w:tr>
      <w:tr w:rsidR="001177AB" w:rsidRPr="00DD6A7A" w14:paraId="18D326E1" w14:textId="77777777" w:rsidTr="001208C3">
        <w:trPr>
          <w:trHeight w:val="556"/>
        </w:trPr>
        <w:tc>
          <w:tcPr>
            <w:tcW w:w="1045" w:type="dxa"/>
            <w:shd w:val="clear" w:color="auto" w:fill="auto"/>
            <w:vAlign w:val="center"/>
          </w:tcPr>
          <w:p w14:paraId="1B571531"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sz w:val="18"/>
                <w:szCs w:val="18"/>
                <w:lang w:val="ro-RO" w:eastAsia="nl-NL"/>
              </w:rPr>
              <w:t>De rezultat</w:t>
            </w:r>
          </w:p>
        </w:tc>
        <w:tc>
          <w:tcPr>
            <w:tcW w:w="532" w:type="dxa"/>
            <w:shd w:val="clear" w:color="auto" w:fill="auto"/>
            <w:vAlign w:val="center"/>
          </w:tcPr>
          <w:p w14:paraId="76D4B14B"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r3</w:t>
            </w:r>
          </w:p>
        </w:tc>
        <w:tc>
          <w:tcPr>
            <w:tcW w:w="3296" w:type="dxa"/>
            <w:shd w:val="clear" w:color="auto" w:fill="auto"/>
            <w:vAlign w:val="center"/>
          </w:tcPr>
          <w:p w14:paraId="58A288CC" w14:textId="77777777" w:rsidR="001177AB" w:rsidRPr="00DD6A7A" w:rsidRDefault="001177AB" w:rsidP="006E1CD3">
            <w:pPr>
              <w:suppressAutoHyphens/>
              <w:spacing w:after="0" w:line="240" w:lineRule="auto"/>
              <w:jc w:val="both"/>
              <w:rPr>
                <w:rFonts w:ascii="Times New Roman" w:eastAsia="Times New Roman" w:hAnsi="Times New Roman" w:cs="Times New Roman"/>
                <w:sz w:val="18"/>
                <w:szCs w:val="18"/>
                <w:lang w:val="ro-RO" w:eastAsia="nl-NL"/>
              </w:rPr>
            </w:pPr>
            <w:r w:rsidRPr="00DD6A7A">
              <w:rPr>
                <w:rFonts w:ascii="Times New Roman" w:eastAsia="Times New Roman" w:hAnsi="Times New Roman" w:cs="Times New Roman"/>
                <w:sz w:val="18"/>
                <w:szCs w:val="18"/>
                <w:lang w:val="ro-RO" w:eastAsia="nl-NL"/>
              </w:rPr>
              <w:t>Gradul de percepere şi conştientizare de către subiecţi a importanţei dreptului la protecţia datelor cu caracter personal prelucrate</w:t>
            </w:r>
          </w:p>
        </w:tc>
        <w:tc>
          <w:tcPr>
            <w:tcW w:w="992" w:type="dxa"/>
            <w:shd w:val="clear" w:color="auto" w:fill="auto"/>
            <w:vAlign w:val="center"/>
          </w:tcPr>
          <w:p w14:paraId="6E66F25E"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c>
          <w:tcPr>
            <w:tcW w:w="850" w:type="dxa"/>
            <w:shd w:val="clear" w:color="auto" w:fill="auto"/>
            <w:vAlign w:val="center"/>
          </w:tcPr>
          <w:p w14:paraId="7E6CEE70"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45</w:t>
            </w:r>
          </w:p>
        </w:tc>
        <w:tc>
          <w:tcPr>
            <w:tcW w:w="1128" w:type="dxa"/>
            <w:shd w:val="clear" w:color="auto" w:fill="auto"/>
            <w:vAlign w:val="center"/>
          </w:tcPr>
          <w:p w14:paraId="34044D47"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60</w:t>
            </w:r>
          </w:p>
        </w:tc>
        <w:tc>
          <w:tcPr>
            <w:tcW w:w="857" w:type="dxa"/>
            <w:shd w:val="clear" w:color="auto" w:fill="auto"/>
            <w:vAlign w:val="center"/>
          </w:tcPr>
          <w:p w14:paraId="241569BF"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+15</w:t>
            </w:r>
          </w:p>
        </w:tc>
        <w:tc>
          <w:tcPr>
            <w:tcW w:w="1169" w:type="dxa"/>
            <w:shd w:val="clear" w:color="auto" w:fill="auto"/>
            <w:vAlign w:val="center"/>
          </w:tcPr>
          <w:p w14:paraId="64868CC4"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r>
      <w:tr w:rsidR="001177AB" w:rsidRPr="00DD6A7A" w14:paraId="013BFE41" w14:textId="77777777" w:rsidTr="001208C3">
        <w:trPr>
          <w:trHeight w:val="79"/>
        </w:trPr>
        <w:tc>
          <w:tcPr>
            <w:tcW w:w="1045" w:type="dxa"/>
            <w:vMerge w:val="restart"/>
            <w:shd w:val="clear" w:color="auto" w:fill="auto"/>
            <w:vAlign w:val="center"/>
          </w:tcPr>
          <w:p w14:paraId="778739E3"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De produs</w:t>
            </w:r>
          </w:p>
          <w:p w14:paraId="19C4A37E" w14:textId="77777777" w:rsidR="001177AB" w:rsidRPr="00DD6A7A" w:rsidRDefault="001177AB" w:rsidP="006E1CD3">
            <w:pPr>
              <w:suppressAutoHyphens/>
              <w:spacing w:after="0" w:line="240" w:lineRule="auto"/>
              <w:rPr>
                <w:rFonts w:ascii="Times New Roman" w:eastAsia="Times New Roman" w:hAnsi="Times New Roman" w:cs="Times New Roman"/>
                <w:b/>
                <w:color w:val="000000"/>
                <w:sz w:val="18"/>
                <w:szCs w:val="18"/>
                <w:lang w:val="ro-RO" w:eastAsia="ar-SA"/>
              </w:rPr>
            </w:pPr>
          </w:p>
        </w:tc>
        <w:tc>
          <w:tcPr>
            <w:tcW w:w="532" w:type="dxa"/>
            <w:shd w:val="clear" w:color="auto" w:fill="auto"/>
            <w:vAlign w:val="center"/>
          </w:tcPr>
          <w:p w14:paraId="27C0CD26"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o1</w:t>
            </w:r>
          </w:p>
        </w:tc>
        <w:tc>
          <w:tcPr>
            <w:tcW w:w="3296" w:type="dxa"/>
            <w:shd w:val="clear" w:color="auto" w:fill="auto"/>
            <w:vAlign w:val="center"/>
          </w:tcPr>
          <w:p w14:paraId="2A8B035F" w14:textId="77777777" w:rsidR="001177AB" w:rsidRPr="00DD6A7A" w:rsidRDefault="001177AB" w:rsidP="006E1CD3">
            <w:pPr>
              <w:suppressAutoHyphens/>
              <w:spacing w:after="0" w:line="240" w:lineRule="auto"/>
              <w:jc w:val="both"/>
              <w:rPr>
                <w:rFonts w:ascii="Times New Roman" w:eastAsia="Times New Roman" w:hAnsi="Times New Roman" w:cs="Times New Roman"/>
                <w:sz w:val="18"/>
                <w:szCs w:val="18"/>
                <w:lang w:val="ro-RO" w:eastAsia="nl-NL"/>
              </w:rPr>
            </w:pPr>
            <w:r w:rsidRPr="00DD6A7A">
              <w:rPr>
                <w:rFonts w:ascii="Times New Roman" w:eastAsia="Times New Roman" w:hAnsi="Times New Roman" w:cs="Times New Roman"/>
                <w:sz w:val="18"/>
                <w:szCs w:val="18"/>
                <w:lang w:val="ro-RO" w:eastAsia="nl-NL"/>
              </w:rPr>
              <w:t>Numărul operatorilor înregistraţi în Registrul de evidenţă al operatorilor de date cu caracter personal</w:t>
            </w:r>
          </w:p>
        </w:tc>
        <w:tc>
          <w:tcPr>
            <w:tcW w:w="992" w:type="dxa"/>
            <w:shd w:val="clear" w:color="auto" w:fill="auto"/>
            <w:vAlign w:val="center"/>
          </w:tcPr>
          <w:p w14:paraId="320D21D0"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unităţi</w:t>
            </w:r>
          </w:p>
        </w:tc>
        <w:tc>
          <w:tcPr>
            <w:tcW w:w="850" w:type="dxa"/>
            <w:shd w:val="clear" w:color="auto" w:fill="auto"/>
            <w:vAlign w:val="center"/>
          </w:tcPr>
          <w:p w14:paraId="3CD6FB49"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600</w:t>
            </w:r>
          </w:p>
        </w:tc>
        <w:tc>
          <w:tcPr>
            <w:tcW w:w="1128" w:type="dxa"/>
            <w:shd w:val="clear" w:color="auto" w:fill="auto"/>
            <w:vAlign w:val="center"/>
          </w:tcPr>
          <w:p w14:paraId="1E72E761"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192</w:t>
            </w:r>
          </w:p>
        </w:tc>
        <w:tc>
          <w:tcPr>
            <w:tcW w:w="857" w:type="dxa"/>
            <w:shd w:val="clear" w:color="auto" w:fill="auto"/>
            <w:vAlign w:val="center"/>
          </w:tcPr>
          <w:p w14:paraId="39232F22"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-408</w:t>
            </w:r>
          </w:p>
        </w:tc>
        <w:tc>
          <w:tcPr>
            <w:tcW w:w="1169" w:type="dxa"/>
            <w:shd w:val="clear" w:color="auto" w:fill="auto"/>
            <w:vAlign w:val="center"/>
          </w:tcPr>
          <w:p w14:paraId="15D3FC5A"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RODCAP nu este funcțional</w:t>
            </w:r>
          </w:p>
          <w:p w14:paraId="0084C9BD"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 xml:space="preserve"> (în proces de lichidare)</w:t>
            </w:r>
          </w:p>
        </w:tc>
      </w:tr>
      <w:tr w:rsidR="001177AB" w:rsidRPr="00DD6A7A" w14:paraId="258D892C" w14:textId="77777777" w:rsidTr="001208C3">
        <w:trPr>
          <w:trHeight w:val="995"/>
        </w:trPr>
        <w:tc>
          <w:tcPr>
            <w:tcW w:w="1045" w:type="dxa"/>
            <w:vMerge/>
            <w:shd w:val="clear" w:color="auto" w:fill="auto"/>
            <w:vAlign w:val="center"/>
          </w:tcPr>
          <w:p w14:paraId="7595A5A1" w14:textId="77777777" w:rsidR="001177AB" w:rsidRPr="00DD6A7A" w:rsidRDefault="001177AB" w:rsidP="006E1CD3">
            <w:pPr>
              <w:suppressAutoHyphens/>
              <w:spacing w:after="0" w:line="240" w:lineRule="auto"/>
              <w:rPr>
                <w:rFonts w:ascii="Times New Roman" w:eastAsia="Times New Roman" w:hAnsi="Times New Roman" w:cs="Times New Roman"/>
                <w:b/>
                <w:sz w:val="18"/>
                <w:szCs w:val="18"/>
                <w:lang w:val="ro-RO" w:eastAsia="nl-NL"/>
              </w:rPr>
            </w:pPr>
          </w:p>
        </w:tc>
        <w:tc>
          <w:tcPr>
            <w:tcW w:w="532" w:type="dxa"/>
            <w:shd w:val="clear" w:color="auto" w:fill="auto"/>
            <w:vAlign w:val="center"/>
          </w:tcPr>
          <w:p w14:paraId="090008AA" w14:textId="77777777" w:rsidR="001177AB" w:rsidRPr="00DD6A7A" w:rsidRDefault="001177AB" w:rsidP="006E1CD3">
            <w:pPr>
              <w:suppressAutoHyphens/>
              <w:spacing w:after="0" w:line="240" w:lineRule="auto"/>
              <w:jc w:val="center"/>
              <w:rPr>
                <w:rFonts w:ascii="Times New Roman" w:eastAsia="Times New Roman" w:hAnsi="Times New Roman" w:cs="Times New Roman"/>
                <w:sz w:val="18"/>
                <w:szCs w:val="18"/>
                <w:lang w:val="ro-RO" w:eastAsia="ar-SA"/>
              </w:rPr>
            </w:pPr>
            <w:r w:rsidRPr="00DD6A7A">
              <w:rPr>
                <w:rFonts w:ascii="Times New Roman" w:eastAsia="Times New Roman" w:hAnsi="Times New Roman" w:cs="Times New Roman"/>
                <w:b/>
                <w:color w:val="000000"/>
                <w:sz w:val="18"/>
                <w:szCs w:val="18"/>
                <w:lang w:val="ro-RO" w:eastAsia="ar-SA"/>
              </w:rPr>
              <w:t>o2</w:t>
            </w:r>
          </w:p>
        </w:tc>
        <w:tc>
          <w:tcPr>
            <w:tcW w:w="3296" w:type="dxa"/>
            <w:shd w:val="clear" w:color="auto" w:fill="auto"/>
            <w:vAlign w:val="center"/>
          </w:tcPr>
          <w:p w14:paraId="61590D97" w14:textId="77777777" w:rsidR="001177AB" w:rsidRPr="00DD6A7A" w:rsidRDefault="001177AB" w:rsidP="006E1CD3">
            <w:pPr>
              <w:suppressAutoHyphens/>
              <w:spacing w:after="0" w:line="240" w:lineRule="auto"/>
              <w:jc w:val="both"/>
              <w:rPr>
                <w:rFonts w:ascii="Times New Roman" w:eastAsia="Times New Roman" w:hAnsi="Times New Roman" w:cs="Times New Roman"/>
                <w:color w:val="000000"/>
                <w:sz w:val="18"/>
                <w:szCs w:val="18"/>
                <w:lang w:val="ro-RO" w:eastAsia="ar-SA"/>
              </w:rPr>
            </w:pPr>
            <w:r w:rsidRPr="00DD6A7A">
              <w:rPr>
                <w:rFonts w:ascii="Times New Roman" w:eastAsia="Times New Roman" w:hAnsi="Times New Roman" w:cs="Times New Roman"/>
                <w:color w:val="000000"/>
                <w:sz w:val="18"/>
                <w:szCs w:val="18"/>
                <w:lang w:val="ro-RO" w:eastAsia="ar-SA"/>
              </w:rPr>
              <w:t>Numărul sistemelor de evidenţă înregistrate în Registrul de evidenţă al operatorilor de date cu caracter personal</w:t>
            </w:r>
          </w:p>
        </w:tc>
        <w:tc>
          <w:tcPr>
            <w:tcW w:w="992" w:type="dxa"/>
            <w:shd w:val="clear" w:color="auto" w:fill="auto"/>
            <w:vAlign w:val="center"/>
          </w:tcPr>
          <w:p w14:paraId="306B3DA9" w14:textId="77777777" w:rsidR="001177AB" w:rsidRPr="00DD6A7A" w:rsidRDefault="001177AB" w:rsidP="006E1CD3">
            <w:pPr>
              <w:suppressAutoHyphens/>
              <w:spacing w:after="0" w:line="240" w:lineRule="auto"/>
              <w:jc w:val="center"/>
              <w:rPr>
                <w:rFonts w:ascii="Times New Roman" w:eastAsia="Times New Roman" w:hAnsi="Times New Roman" w:cs="Times New Roman"/>
                <w:sz w:val="18"/>
                <w:szCs w:val="18"/>
                <w:lang w:val="ro-RO" w:eastAsia="ar-SA"/>
              </w:rPr>
            </w:pPr>
            <w:r w:rsidRPr="00DD6A7A">
              <w:rPr>
                <w:rFonts w:ascii="Times New Roman" w:eastAsia="Times New Roman" w:hAnsi="Times New Roman" w:cs="Times New Roman"/>
                <w:b/>
                <w:color w:val="000000"/>
                <w:sz w:val="18"/>
                <w:szCs w:val="18"/>
                <w:lang w:val="ro-RO" w:eastAsia="ar-SA"/>
              </w:rPr>
              <w:t>unităţi</w:t>
            </w:r>
          </w:p>
        </w:tc>
        <w:tc>
          <w:tcPr>
            <w:tcW w:w="850" w:type="dxa"/>
            <w:shd w:val="clear" w:color="auto" w:fill="auto"/>
            <w:vAlign w:val="center"/>
          </w:tcPr>
          <w:p w14:paraId="1D295423"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900</w:t>
            </w:r>
          </w:p>
        </w:tc>
        <w:tc>
          <w:tcPr>
            <w:tcW w:w="1128" w:type="dxa"/>
            <w:shd w:val="clear" w:color="auto" w:fill="auto"/>
            <w:vAlign w:val="center"/>
          </w:tcPr>
          <w:p w14:paraId="558D9117"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266</w:t>
            </w:r>
          </w:p>
        </w:tc>
        <w:tc>
          <w:tcPr>
            <w:tcW w:w="857" w:type="dxa"/>
            <w:shd w:val="clear" w:color="auto" w:fill="auto"/>
            <w:vAlign w:val="center"/>
          </w:tcPr>
          <w:p w14:paraId="3303F90C"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-634</w:t>
            </w:r>
          </w:p>
        </w:tc>
        <w:tc>
          <w:tcPr>
            <w:tcW w:w="1169" w:type="dxa"/>
            <w:shd w:val="clear" w:color="auto" w:fill="auto"/>
            <w:vAlign w:val="center"/>
          </w:tcPr>
          <w:p w14:paraId="3A760518"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 xml:space="preserve">RODCAP nu este funcțional </w:t>
            </w:r>
          </w:p>
          <w:p w14:paraId="5CAE4B59"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(în proces de lichidare)</w:t>
            </w:r>
          </w:p>
        </w:tc>
      </w:tr>
      <w:tr w:rsidR="001177AB" w:rsidRPr="00DD6A7A" w14:paraId="0D01E648" w14:textId="77777777" w:rsidTr="001208C3">
        <w:trPr>
          <w:trHeight w:val="370"/>
        </w:trPr>
        <w:tc>
          <w:tcPr>
            <w:tcW w:w="1045" w:type="dxa"/>
            <w:vMerge/>
            <w:shd w:val="clear" w:color="auto" w:fill="auto"/>
            <w:textDirection w:val="btLr"/>
            <w:vAlign w:val="center"/>
          </w:tcPr>
          <w:p w14:paraId="41D42FC8" w14:textId="77777777" w:rsidR="001177AB" w:rsidRPr="00DD6A7A" w:rsidRDefault="001177AB" w:rsidP="006E1CD3">
            <w:pPr>
              <w:suppressAutoHyphens/>
              <w:spacing w:after="0" w:line="240" w:lineRule="auto"/>
              <w:ind w:left="113" w:right="113"/>
              <w:jc w:val="center"/>
              <w:rPr>
                <w:rFonts w:ascii="Times New Roman" w:eastAsia="Times New Roman" w:hAnsi="Times New Roman" w:cs="Times New Roman"/>
                <w:b/>
                <w:color w:val="000000"/>
                <w:sz w:val="18"/>
                <w:szCs w:val="18"/>
                <w:lang w:val="ro-RO" w:eastAsia="ar-SA"/>
              </w:rPr>
            </w:pPr>
          </w:p>
        </w:tc>
        <w:tc>
          <w:tcPr>
            <w:tcW w:w="532" w:type="dxa"/>
            <w:shd w:val="clear" w:color="auto" w:fill="auto"/>
            <w:vAlign w:val="center"/>
          </w:tcPr>
          <w:p w14:paraId="0439DA7C" w14:textId="77777777" w:rsidR="001177AB" w:rsidRPr="00DD6A7A" w:rsidRDefault="001177AB" w:rsidP="006E1CD3">
            <w:pPr>
              <w:suppressAutoHyphens/>
              <w:spacing w:after="0" w:line="240" w:lineRule="auto"/>
              <w:jc w:val="center"/>
              <w:rPr>
                <w:rFonts w:ascii="Times New Roman" w:eastAsia="Times New Roman" w:hAnsi="Times New Roman" w:cs="Times New Roman"/>
                <w:sz w:val="18"/>
                <w:szCs w:val="18"/>
                <w:lang w:val="ro-RO" w:eastAsia="ar-SA"/>
              </w:rPr>
            </w:pPr>
            <w:r w:rsidRPr="00DD6A7A">
              <w:rPr>
                <w:rFonts w:ascii="Times New Roman" w:eastAsia="Times New Roman" w:hAnsi="Times New Roman" w:cs="Times New Roman"/>
                <w:b/>
                <w:color w:val="000000"/>
                <w:sz w:val="18"/>
                <w:szCs w:val="18"/>
                <w:lang w:val="ro-RO" w:eastAsia="ar-SA"/>
              </w:rPr>
              <w:t>o4</w:t>
            </w:r>
          </w:p>
        </w:tc>
        <w:tc>
          <w:tcPr>
            <w:tcW w:w="3296" w:type="dxa"/>
            <w:shd w:val="clear" w:color="auto" w:fill="auto"/>
            <w:vAlign w:val="center"/>
          </w:tcPr>
          <w:p w14:paraId="3A7F7DD2" w14:textId="77777777" w:rsidR="001177AB" w:rsidRPr="00DD6A7A" w:rsidRDefault="001177AB" w:rsidP="006E1CD3">
            <w:pPr>
              <w:suppressAutoHyphens/>
              <w:spacing w:after="0" w:line="240" w:lineRule="auto"/>
              <w:jc w:val="both"/>
              <w:rPr>
                <w:rFonts w:ascii="Times New Roman" w:eastAsia="Times New Roman" w:hAnsi="Times New Roman" w:cs="Times New Roman"/>
                <w:color w:val="000000"/>
                <w:sz w:val="18"/>
                <w:szCs w:val="18"/>
                <w:lang w:val="ro-RO" w:eastAsia="ar-SA"/>
              </w:rPr>
            </w:pPr>
            <w:r w:rsidRPr="00DD6A7A">
              <w:rPr>
                <w:rFonts w:ascii="Times New Roman" w:eastAsia="Times New Roman" w:hAnsi="Times New Roman" w:cs="Times New Roman"/>
                <w:color w:val="000000"/>
                <w:sz w:val="18"/>
                <w:szCs w:val="18"/>
                <w:lang w:val="ro-RO" w:eastAsia="ar-SA"/>
              </w:rPr>
              <w:t>Numărul instrucţiunilor (liniilor directorii) elaborate privind prelucrarea datelor cu caracter personal în diferite sectoare (medical, electoral, educaţional, financiar-bancar, poliţienesc etc.)</w:t>
            </w:r>
          </w:p>
        </w:tc>
        <w:tc>
          <w:tcPr>
            <w:tcW w:w="992" w:type="dxa"/>
            <w:shd w:val="clear" w:color="auto" w:fill="auto"/>
            <w:vAlign w:val="center"/>
          </w:tcPr>
          <w:p w14:paraId="480AB2A9" w14:textId="77777777" w:rsidR="001177AB" w:rsidRPr="00DD6A7A" w:rsidRDefault="001177AB" w:rsidP="006E1CD3">
            <w:pPr>
              <w:suppressAutoHyphens/>
              <w:spacing w:after="0" w:line="240" w:lineRule="auto"/>
              <w:jc w:val="center"/>
              <w:rPr>
                <w:rFonts w:ascii="Times New Roman" w:eastAsia="Times New Roman" w:hAnsi="Times New Roman" w:cs="Times New Roman"/>
                <w:sz w:val="18"/>
                <w:szCs w:val="18"/>
                <w:lang w:val="ro-RO" w:eastAsia="ar-SA"/>
              </w:rPr>
            </w:pPr>
            <w:r w:rsidRPr="00DD6A7A">
              <w:rPr>
                <w:rFonts w:ascii="Times New Roman" w:eastAsia="Times New Roman" w:hAnsi="Times New Roman" w:cs="Times New Roman"/>
                <w:b/>
                <w:color w:val="000000"/>
                <w:sz w:val="18"/>
                <w:szCs w:val="18"/>
                <w:lang w:val="ro-RO" w:eastAsia="ar-SA"/>
              </w:rPr>
              <w:t>unităţi</w:t>
            </w:r>
          </w:p>
        </w:tc>
        <w:tc>
          <w:tcPr>
            <w:tcW w:w="850" w:type="dxa"/>
            <w:shd w:val="clear" w:color="auto" w:fill="auto"/>
            <w:vAlign w:val="center"/>
          </w:tcPr>
          <w:p w14:paraId="5D74E146"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5</w:t>
            </w:r>
          </w:p>
        </w:tc>
        <w:tc>
          <w:tcPr>
            <w:tcW w:w="1128" w:type="dxa"/>
            <w:shd w:val="clear" w:color="auto" w:fill="auto"/>
            <w:vAlign w:val="center"/>
          </w:tcPr>
          <w:p w14:paraId="67F31923"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c>
          <w:tcPr>
            <w:tcW w:w="857" w:type="dxa"/>
            <w:shd w:val="clear" w:color="auto" w:fill="auto"/>
            <w:vAlign w:val="center"/>
          </w:tcPr>
          <w:p w14:paraId="74184454"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c>
          <w:tcPr>
            <w:tcW w:w="1169" w:type="dxa"/>
            <w:shd w:val="clear" w:color="auto" w:fill="auto"/>
            <w:vAlign w:val="center"/>
          </w:tcPr>
          <w:p w14:paraId="62024AF1"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r>
      <w:tr w:rsidR="001177AB" w:rsidRPr="00DD6A7A" w14:paraId="5F123C46" w14:textId="77777777" w:rsidTr="001208C3">
        <w:trPr>
          <w:trHeight w:val="370"/>
        </w:trPr>
        <w:tc>
          <w:tcPr>
            <w:tcW w:w="1045" w:type="dxa"/>
            <w:vMerge/>
            <w:shd w:val="clear" w:color="auto" w:fill="auto"/>
            <w:textDirection w:val="btLr"/>
            <w:vAlign w:val="center"/>
          </w:tcPr>
          <w:p w14:paraId="1CEC0CC2" w14:textId="77777777" w:rsidR="001177AB" w:rsidRPr="00DD6A7A" w:rsidRDefault="001177AB" w:rsidP="006E1CD3">
            <w:pPr>
              <w:suppressAutoHyphens/>
              <w:spacing w:after="0" w:line="240" w:lineRule="auto"/>
              <w:ind w:left="113" w:right="113"/>
              <w:jc w:val="center"/>
              <w:rPr>
                <w:rFonts w:ascii="Times New Roman" w:eastAsia="Times New Roman" w:hAnsi="Times New Roman" w:cs="Times New Roman"/>
                <w:b/>
                <w:color w:val="000000"/>
                <w:sz w:val="18"/>
                <w:szCs w:val="18"/>
                <w:lang w:val="ro-RO" w:eastAsia="ar-SA"/>
              </w:rPr>
            </w:pPr>
          </w:p>
        </w:tc>
        <w:tc>
          <w:tcPr>
            <w:tcW w:w="532" w:type="dxa"/>
            <w:shd w:val="clear" w:color="auto" w:fill="auto"/>
            <w:vAlign w:val="center"/>
          </w:tcPr>
          <w:p w14:paraId="26B23596"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o7</w:t>
            </w:r>
          </w:p>
        </w:tc>
        <w:tc>
          <w:tcPr>
            <w:tcW w:w="3296" w:type="dxa"/>
            <w:shd w:val="clear" w:color="auto" w:fill="auto"/>
            <w:vAlign w:val="center"/>
          </w:tcPr>
          <w:p w14:paraId="1DBE7D6E" w14:textId="77777777" w:rsidR="001177AB" w:rsidRPr="00DD6A7A" w:rsidRDefault="001177AB" w:rsidP="006E1CD3">
            <w:pPr>
              <w:suppressAutoHyphens/>
              <w:spacing w:after="0" w:line="240" w:lineRule="auto"/>
              <w:jc w:val="both"/>
              <w:rPr>
                <w:rFonts w:ascii="Times New Roman" w:eastAsia="Times New Roman" w:hAnsi="Times New Roman" w:cs="Times New Roman"/>
                <w:color w:val="000000"/>
                <w:sz w:val="18"/>
                <w:szCs w:val="18"/>
                <w:lang w:val="ro-RO" w:eastAsia="ar-SA"/>
              </w:rPr>
            </w:pPr>
            <w:r w:rsidRPr="00DD6A7A">
              <w:rPr>
                <w:rFonts w:ascii="Times New Roman" w:eastAsia="Times New Roman" w:hAnsi="Times New Roman" w:cs="Times New Roman"/>
                <w:color w:val="000000"/>
                <w:sz w:val="18"/>
                <w:szCs w:val="18"/>
                <w:lang w:val="ro-RO" w:eastAsia="ar-SA"/>
              </w:rPr>
              <w:t>Numărul seminarelor/trainingurilor de informare organizate, inclusiv cu participarea experţilor europeni</w:t>
            </w:r>
          </w:p>
        </w:tc>
        <w:tc>
          <w:tcPr>
            <w:tcW w:w="992" w:type="dxa"/>
            <w:shd w:val="clear" w:color="auto" w:fill="auto"/>
            <w:vAlign w:val="center"/>
          </w:tcPr>
          <w:p w14:paraId="2FDEB8CF" w14:textId="77777777" w:rsidR="001177AB" w:rsidRPr="00DD6A7A" w:rsidRDefault="001177AB" w:rsidP="006E1CD3">
            <w:pPr>
              <w:suppressAutoHyphens/>
              <w:spacing w:after="0" w:line="240" w:lineRule="auto"/>
              <w:jc w:val="center"/>
              <w:rPr>
                <w:rFonts w:ascii="Times New Roman" w:eastAsia="Times New Roman" w:hAnsi="Times New Roman" w:cs="Times New Roman"/>
                <w:sz w:val="18"/>
                <w:szCs w:val="18"/>
                <w:lang w:val="ro-RO" w:eastAsia="ar-SA"/>
              </w:rPr>
            </w:pPr>
            <w:r w:rsidRPr="00DD6A7A">
              <w:rPr>
                <w:rFonts w:ascii="Times New Roman" w:eastAsia="Times New Roman" w:hAnsi="Times New Roman" w:cs="Times New Roman"/>
                <w:b/>
                <w:color w:val="000000"/>
                <w:sz w:val="18"/>
                <w:szCs w:val="18"/>
                <w:lang w:val="ro-RO" w:eastAsia="ar-SA"/>
              </w:rPr>
              <w:t>unităţi</w:t>
            </w:r>
          </w:p>
        </w:tc>
        <w:tc>
          <w:tcPr>
            <w:tcW w:w="850" w:type="dxa"/>
            <w:shd w:val="clear" w:color="auto" w:fill="auto"/>
            <w:vAlign w:val="center"/>
          </w:tcPr>
          <w:p w14:paraId="0E649A7E"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50</w:t>
            </w:r>
          </w:p>
        </w:tc>
        <w:tc>
          <w:tcPr>
            <w:tcW w:w="1128" w:type="dxa"/>
            <w:shd w:val="clear" w:color="auto" w:fill="auto"/>
            <w:vAlign w:val="center"/>
          </w:tcPr>
          <w:p w14:paraId="44879D94"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18</w:t>
            </w:r>
          </w:p>
        </w:tc>
        <w:tc>
          <w:tcPr>
            <w:tcW w:w="857" w:type="dxa"/>
            <w:shd w:val="clear" w:color="auto" w:fill="auto"/>
            <w:vAlign w:val="center"/>
          </w:tcPr>
          <w:p w14:paraId="21B50D63"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-32</w:t>
            </w:r>
          </w:p>
        </w:tc>
        <w:tc>
          <w:tcPr>
            <w:tcW w:w="1169" w:type="dxa"/>
            <w:shd w:val="clear" w:color="auto" w:fill="auto"/>
            <w:vAlign w:val="center"/>
          </w:tcPr>
          <w:p w14:paraId="39CF418B"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r>
      <w:tr w:rsidR="001177AB" w:rsidRPr="00DD6A7A" w14:paraId="35D91A69" w14:textId="77777777" w:rsidTr="001208C3">
        <w:trPr>
          <w:trHeight w:val="370"/>
        </w:trPr>
        <w:tc>
          <w:tcPr>
            <w:tcW w:w="1045" w:type="dxa"/>
            <w:vMerge/>
            <w:shd w:val="clear" w:color="auto" w:fill="auto"/>
            <w:textDirection w:val="btLr"/>
            <w:vAlign w:val="center"/>
          </w:tcPr>
          <w:p w14:paraId="599F2DE8" w14:textId="77777777" w:rsidR="001177AB" w:rsidRPr="00DD6A7A" w:rsidRDefault="001177AB" w:rsidP="006E1CD3">
            <w:pPr>
              <w:suppressAutoHyphens/>
              <w:spacing w:after="0" w:line="240" w:lineRule="auto"/>
              <w:ind w:left="113" w:right="113"/>
              <w:jc w:val="center"/>
              <w:rPr>
                <w:rFonts w:ascii="Times New Roman" w:eastAsia="Times New Roman" w:hAnsi="Times New Roman" w:cs="Times New Roman"/>
                <w:b/>
                <w:color w:val="000000"/>
                <w:sz w:val="18"/>
                <w:szCs w:val="18"/>
                <w:lang w:val="ro-RO" w:eastAsia="ar-SA"/>
              </w:rPr>
            </w:pPr>
          </w:p>
        </w:tc>
        <w:tc>
          <w:tcPr>
            <w:tcW w:w="532" w:type="dxa"/>
            <w:shd w:val="clear" w:color="auto" w:fill="auto"/>
            <w:vAlign w:val="center"/>
          </w:tcPr>
          <w:p w14:paraId="4AB10D60"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o9</w:t>
            </w:r>
          </w:p>
        </w:tc>
        <w:tc>
          <w:tcPr>
            <w:tcW w:w="3296" w:type="dxa"/>
            <w:shd w:val="clear" w:color="auto" w:fill="auto"/>
            <w:vAlign w:val="center"/>
          </w:tcPr>
          <w:p w14:paraId="055AEB87" w14:textId="77777777" w:rsidR="001177AB" w:rsidRPr="00DD6A7A" w:rsidRDefault="001177AB" w:rsidP="006E1CD3">
            <w:pPr>
              <w:suppressAutoHyphens/>
              <w:spacing w:after="0" w:line="240" w:lineRule="auto"/>
              <w:jc w:val="both"/>
              <w:rPr>
                <w:rFonts w:ascii="Times New Roman" w:eastAsia="Times New Roman" w:hAnsi="Times New Roman" w:cs="Times New Roman"/>
                <w:color w:val="000000"/>
                <w:sz w:val="18"/>
                <w:szCs w:val="18"/>
                <w:lang w:val="ro-RO" w:eastAsia="ar-SA"/>
              </w:rPr>
            </w:pPr>
            <w:r w:rsidRPr="00DD6A7A">
              <w:rPr>
                <w:rFonts w:ascii="Times New Roman" w:eastAsia="Times New Roman" w:hAnsi="Times New Roman" w:cs="Times New Roman"/>
                <w:color w:val="000000"/>
                <w:sz w:val="18"/>
                <w:szCs w:val="18"/>
                <w:lang w:val="ro-RO" w:eastAsia="ar-SA"/>
              </w:rPr>
              <w:t>Numărul controalelor efectuate de Centru</w:t>
            </w:r>
          </w:p>
        </w:tc>
        <w:tc>
          <w:tcPr>
            <w:tcW w:w="992" w:type="dxa"/>
            <w:shd w:val="clear" w:color="auto" w:fill="auto"/>
            <w:vAlign w:val="center"/>
          </w:tcPr>
          <w:p w14:paraId="0C0A50BE" w14:textId="77777777" w:rsidR="001177AB" w:rsidRPr="00DD6A7A" w:rsidRDefault="001177AB" w:rsidP="006E1CD3">
            <w:pPr>
              <w:suppressAutoHyphens/>
              <w:spacing w:after="0" w:line="240" w:lineRule="auto"/>
              <w:jc w:val="center"/>
              <w:rPr>
                <w:rFonts w:ascii="Times New Roman" w:eastAsia="Times New Roman" w:hAnsi="Times New Roman" w:cs="Times New Roman"/>
                <w:sz w:val="18"/>
                <w:szCs w:val="18"/>
                <w:lang w:val="ro-RO" w:eastAsia="ar-SA"/>
              </w:rPr>
            </w:pPr>
            <w:r w:rsidRPr="00DD6A7A">
              <w:rPr>
                <w:rFonts w:ascii="Times New Roman" w:eastAsia="Times New Roman" w:hAnsi="Times New Roman" w:cs="Times New Roman"/>
                <w:b/>
                <w:color w:val="000000"/>
                <w:sz w:val="18"/>
                <w:szCs w:val="18"/>
                <w:lang w:val="ro-RO" w:eastAsia="ar-SA"/>
              </w:rPr>
              <w:t>unităţi</w:t>
            </w:r>
          </w:p>
        </w:tc>
        <w:tc>
          <w:tcPr>
            <w:tcW w:w="850" w:type="dxa"/>
            <w:shd w:val="clear" w:color="auto" w:fill="auto"/>
            <w:vAlign w:val="center"/>
          </w:tcPr>
          <w:p w14:paraId="02C8536E"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350</w:t>
            </w:r>
          </w:p>
        </w:tc>
        <w:tc>
          <w:tcPr>
            <w:tcW w:w="1128" w:type="dxa"/>
            <w:shd w:val="clear" w:color="auto" w:fill="auto"/>
            <w:vAlign w:val="center"/>
          </w:tcPr>
          <w:p w14:paraId="5A356499"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243</w:t>
            </w:r>
          </w:p>
        </w:tc>
        <w:tc>
          <w:tcPr>
            <w:tcW w:w="857" w:type="dxa"/>
            <w:shd w:val="clear" w:color="auto" w:fill="auto"/>
            <w:vAlign w:val="center"/>
          </w:tcPr>
          <w:p w14:paraId="4D611FEB"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-107</w:t>
            </w:r>
          </w:p>
        </w:tc>
        <w:tc>
          <w:tcPr>
            <w:tcW w:w="1169" w:type="dxa"/>
            <w:shd w:val="clear" w:color="auto" w:fill="auto"/>
            <w:vAlign w:val="center"/>
          </w:tcPr>
          <w:p w14:paraId="22125F27"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r>
      <w:tr w:rsidR="001177AB" w:rsidRPr="00DD6A7A" w14:paraId="316FD9E2" w14:textId="77777777" w:rsidTr="001208C3">
        <w:trPr>
          <w:trHeight w:val="495"/>
        </w:trPr>
        <w:tc>
          <w:tcPr>
            <w:tcW w:w="1045" w:type="dxa"/>
            <w:vMerge w:val="restart"/>
            <w:shd w:val="clear" w:color="auto" w:fill="auto"/>
            <w:vAlign w:val="center"/>
          </w:tcPr>
          <w:p w14:paraId="64D6ED4F" w14:textId="77777777" w:rsidR="001177AB" w:rsidRPr="00DD6A7A" w:rsidRDefault="001177AB" w:rsidP="006E1CD3">
            <w:pPr>
              <w:suppressAutoHyphens/>
              <w:spacing w:after="0" w:line="240" w:lineRule="auto"/>
              <w:rPr>
                <w:rFonts w:ascii="Times New Roman" w:eastAsia="Times New Roman" w:hAnsi="Times New Roman" w:cs="Times New Roman"/>
                <w:b/>
                <w:sz w:val="18"/>
                <w:szCs w:val="18"/>
                <w:lang w:val="ro-RO" w:eastAsia="nl-NL"/>
              </w:rPr>
            </w:pPr>
            <w:r w:rsidRPr="00DD6A7A">
              <w:rPr>
                <w:rFonts w:ascii="Times New Roman" w:eastAsia="Times New Roman" w:hAnsi="Times New Roman" w:cs="Times New Roman"/>
                <w:b/>
                <w:sz w:val="18"/>
                <w:szCs w:val="18"/>
                <w:lang w:val="ro-RO" w:eastAsia="nl-NL"/>
              </w:rPr>
              <w:t>De eficiență</w:t>
            </w:r>
          </w:p>
        </w:tc>
        <w:tc>
          <w:tcPr>
            <w:tcW w:w="532" w:type="dxa"/>
            <w:shd w:val="clear" w:color="auto" w:fill="auto"/>
            <w:vAlign w:val="center"/>
          </w:tcPr>
          <w:p w14:paraId="245ACE43" w14:textId="77777777" w:rsidR="001177AB" w:rsidRPr="00DD6A7A" w:rsidRDefault="001177AB" w:rsidP="006E1CD3">
            <w:pPr>
              <w:suppressAutoHyphens/>
              <w:spacing w:after="0" w:line="240" w:lineRule="auto"/>
              <w:jc w:val="center"/>
              <w:rPr>
                <w:rFonts w:ascii="Times New Roman" w:eastAsia="Times New Roman" w:hAnsi="Times New Roman" w:cs="Times New Roman"/>
                <w:b/>
                <w:sz w:val="18"/>
                <w:szCs w:val="18"/>
                <w:lang w:val="ro-RO" w:eastAsia="nl-NL"/>
              </w:rPr>
            </w:pPr>
            <w:r w:rsidRPr="00DD6A7A">
              <w:rPr>
                <w:rFonts w:ascii="Times New Roman" w:eastAsia="Times New Roman" w:hAnsi="Times New Roman" w:cs="Times New Roman"/>
                <w:b/>
                <w:sz w:val="18"/>
                <w:szCs w:val="18"/>
                <w:lang w:val="ro-RO" w:eastAsia="nl-NL"/>
              </w:rPr>
              <w:t>e1</w:t>
            </w:r>
          </w:p>
        </w:tc>
        <w:tc>
          <w:tcPr>
            <w:tcW w:w="3296" w:type="dxa"/>
            <w:shd w:val="clear" w:color="auto" w:fill="auto"/>
            <w:vAlign w:val="center"/>
          </w:tcPr>
          <w:p w14:paraId="4AA79CA8" w14:textId="77777777" w:rsidR="001177AB" w:rsidRPr="00DD6A7A" w:rsidRDefault="001177AB" w:rsidP="006E1CD3">
            <w:pPr>
              <w:suppressAutoHyphens/>
              <w:spacing w:after="0" w:line="240" w:lineRule="auto"/>
              <w:rPr>
                <w:rFonts w:ascii="Times New Roman" w:eastAsia="Times New Roman" w:hAnsi="Times New Roman" w:cs="Times New Roman"/>
                <w:color w:val="000000"/>
                <w:sz w:val="18"/>
                <w:szCs w:val="18"/>
                <w:lang w:val="ro-RO" w:eastAsia="ar-SA"/>
              </w:rPr>
            </w:pPr>
            <w:r w:rsidRPr="00DD6A7A">
              <w:rPr>
                <w:rFonts w:ascii="Times New Roman" w:eastAsia="Times New Roman" w:hAnsi="Times New Roman" w:cs="Times New Roman"/>
                <w:color w:val="000000"/>
                <w:sz w:val="18"/>
                <w:szCs w:val="18"/>
                <w:lang w:val="ro-RO" w:eastAsia="ar-SA"/>
              </w:rPr>
              <w:t>Costul controlului efectuat per unitate asupra corectitudinii operaţiunilor de prelucrare a datelor cu caracter personal în conformitate cu prevederile legii</w:t>
            </w:r>
          </w:p>
        </w:tc>
        <w:tc>
          <w:tcPr>
            <w:tcW w:w="992" w:type="dxa"/>
            <w:shd w:val="clear" w:color="auto" w:fill="auto"/>
            <w:vAlign w:val="center"/>
          </w:tcPr>
          <w:p w14:paraId="1B31BB57"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lei/unitate</w:t>
            </w:r>
          </w:p>
        </w:tc>
        <w:tc>
          <w:tcPr>
            <w:tcW w:w="850" w:type="dxa"/>
            <w:shd w:val="clear" w:color="auto" w:fill="auto"/>
            <w:vAlign w:val="center"/>
          </w:tcPr>
          <w:p w14:paraId="5DECB811"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2500</w:t>
            </w:r>
          </w:p>
        </w:tc>
        <w:tc>
          <w:tcPr>
            <w:tcW w:w="1128" w:type="dxa"/>
            <w:shd w:val="clear" w:color="auto" w:fill="auto"/>
            <w:vAlign w:val="center"/>
          </w:tcPr>
          <w:p w14:paraId="5D5E5E9B"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1500</w:t>
            </w:r>
          </w:p>
        </w:tc>
        <w:tc>
          <w:tcPr>
            <w:tcW w:w="857" w:type="dxa"/>
            <w:shd w:val="clear" w:color="auto" w:fill="auto"/>
            <w:vAlign w:val="center"/>
          </w:tcPr>
          <w:p w14:paraId="086058DF"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-1000</w:t>
            </w:r>
          </w:p>
        </w:tc>
        <w:tc>
          <w:tcPr>
            <w:tcW w:w="1169" w:type="dxa"/>
            <w:shd w:val="clear" w:color="auto" w:fill="auto"/>
            <w:vAlign w:val="center"/>
          </w:tcPr>
          <w:p w14:paraId="733E2073" w14:textId="77777777" w:rsidR="001177AB" w:rsidRPr="00DD6A7A" w:rsidRDefault="001177AB" w:rsidP="006E1CD3">
            <w:pPr>
              <w:suppressAutoHyphens/>
              <w:spacing w:after="0" w:line="240" w:lineRule="auto"/>
              <w:jc w:val="center"/>
              <w:rPr>
                <w:rFonts w:ascii="Times New Roman" w:eastAsia="Times New Roman" w:hAnsi="Times New Roman" w:cs="Times New Roman"/>
                <w:color w:val="000000"/>
                <w:sz w:val="18"/>
                <w:szCs w:val="18"/>
                <w:lang w:val="ro-RO" w:eastAsia="ar-SA"/>
              </w:rPr>
            </w:pPr>
            <w:r w:rsidRPr="00DD6A7A">
              <w:rPr>
                <w:rFonts w:ascii="Times New Roman" w:eastAsia="Times New Roman" w:hAnsi="Times New Roman" w:cs="Times New Roman"/>
                <w:color w:val="000000"/>
                <w:sz w:val="18"/>
                <w:szCs w:val="18"/>
                <w:lang w:val="ro-RO" w:eastAsia="ar-SA"/>
              </w:rPr>
              <w:t>-</w:t>
            </w:r>
          </w:p>
        </w:tc>
      </w:tr>
      <w:tr w:rsidR="001177AB" w:rsidRPr="00DD6A7A" w14:paraId="3BB565B9" w14:textId="77777777" w:rsidTr="001208C3">
        <w:trPr>
          <w:trHeight w:val="340"/>
        </w:trPr>
        <w:tc>
          <w:tcPr>
            <w:tcW w:w="1045" w:type="dxa"/>
            <w:vMerge/>
            <w:shd w:val="clear" w:color="auto" w:fill="auto"/>
            <w:vAlign w:val="center"/>
          </w:tcPr>
          <w:p w14:paraId="2B06818E"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532" w:type="dxa"/>
            <w:shd w:val="clear" w:color="auto" w:fill="auto"/>
            <w:vAlign w:val="center"/>
          </w:tcPr>
          <w:p w14:paraId="33A4DEE2"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e4</w:t>
            </w:r>
          </w:p>
        </w:tc>
        <w:tc>
          <w:tcPr>
            <w:tcW w:w="3296" w:type="dxa"/>
            <w:shd w:val="clear" w:color="auto" w:fill="auto"/>
            <w:vAlign w:val="center"/>
          </w:tcPr>
          <w:p w14:paraId="570743B7" w14:textId="77777777" w:rsidR="001177AB" w:rsidRPr="00DD6A7A" w:rsidRDefault="001177AB" w:rsidP="006E1CD3">
            <w:pPr>
              <w:suppressAutoHyphens/>
              <w:spacing w:after="0" w:line="240" w:lineRule="auto"/>
              <w:rPr>
                <w:rFonts w:ascii="Times New Roman" w:eastAsia="Times New Roman" w:hAnsi="Times New Roman" w:cs="Times New Roman"/>
                <w:sz w:val="18"/>
                <w:szCs w:val="18"/>
                <w:lang w:val="ro-RO" w:eastAsia="nl-NL"/>
              </w:rPr>
            </w:pPr>
            <w:r w:rsidRPr="00DD6A7A">
              <w:rPr>
                <w:rFonts w:ascii="Times New Roman" w:eastAsia="Times New Roman" w:hAnsi="Times New Roman" w:cs="Times New Roman"/>
                <w:sz w:val="18"/>
                <w:szCs w:val="18"/>
                <w:lang w:val="ro-RO" w:eastAsia="nl-NL"/>
              </w:rPr>
              <w:t>Cheltuieli necesare pentru organizarea unei acţiuni de promovare a noţiunilor de "date cu caracter personal" şi "viaţă privată", precum şi a principiilor de protecţie a datelor cu caracter personal</w:t>
            </w:r>
          </w:p>
        </w:tc>
        <w:tc>
          <w:tcPr>
            <w:tcW w:w="992" w:type="dxa"/>
            <w:shd w:val="clear" w:color="auto" w:fill="auto"/>
            <w:vAlign w:val="center"/>
          </w:tcPr>
          <w:p w14:paraId="4CBDA57C"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lei/unitate</w:t>
            </w:r>
          </w:p>
        </w:tc>
        <w:tc>
          <w:tcPr>
            <w:tcW w:w="850" w:type="dxa"/>
            <w:shd w:val="clear" w:color="auto" w:fill="auto"/>
            <w:vAlign w:val="center"/>
          </w:tcPr>
          <w:p w14:paraId="2282765E"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3500</w:t>
            </w:r>
          </w:p>
        </w:tc>
        <w:tc>
          <w:tcPr>
            <w:tcW w:w="1128" w:type="dxa"/>
            <w:shd w:val="clear" w:color="auto" w:fill="auto"/>
            <w:vAlign w:val="center"/>
          </w:tcPr>
          <w:p w14:paraId="0203B258"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9575</w:t>
            </w:r>
          </w:p>
        </w:tc>
        <w:tc>
          <w:tcPr>
            <w:tcW w:w="857" w:type="dxa"/>
            <w:shd w:val="clear" w:color="auto" w:fill="auto"/>
            <w:vAlign w:val="center"/>
          </w:tcPr>
          <w:p w14:paraId="62DD844D"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+6075</w:t>
            </w:r>
          </w:p>
        </w:tc>
        <w:tc>
          <w:tcPr>
            <w:tcW w:w="1169" w:type="dxa"/>
            <w:shd w:val="clear" w:color="auto" w:fill="auto"/>
            <w:vAlign w:val="center"/>
          </w:tcPr>
          <w:p w14:paraId="67296FDD"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r>
      <w:tr w:rsidR="001177AB" w:rsidRPr="00DD6A7A" w14:paraId="69B7F746" w14:textId="77777777" w:rsidTr="001208C3">
        <w:trPr>
          <w:trHeight w:val="340"/>
        </w:trPr>
        <w:tc>
          <w:tcPr>
            <w:tcW w:w="1045" w:type="dxa"/>
            <w:vMerge/>
            <w:shd w:val="clear" w:color="auto" w:fill="auto"/>
            <w:vAlign w:val="center"/>
          </w:tcPr>
          <w:p w14:paraId="390C4E63"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532" w:type="dxa"/>
            <w:shd w:val="clear" w:color="auto" w:fill="auto"/>
            <w:vAlign w:val="center"/>
          </w:tcPr>
          <w:p w14:paraId="28280030"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e5</w:t>
            </w:r>
          </w:p>
        </w:tc>
        <w:tc>
          <w:tcPr>
            <w:tcW w:w="3296" w:type="dxa"/>
            <w:shd w:val="clear" w:color="auto" w:fill="auto"/>
            <w:vAlign w:val="center"/>
          </w:tcPr>
          <w:p w14:paraId="219BEB36" w14:textId="77777777" w:rsidR="001177AB" w:rsidRPr="00DD6A7A" w:rsidRDefault="001177AB" w:rsidP="006E1CD3">
            <w:pPr>
              <w:suppressAutoHyphens/>
              <w:spacing w:after="0" w:line="240" w:lineRule="auto"/>
              <w:rPr>
                <w:rFonts w:ascii="Times New Roman" w:eastAsia="Times New Roman" w:hAnsi="Times New Roman" w:cs="Times New Roman"/>
                <w:sz w:val="18"/>
                <w:szCs w:val="18"/>
                <w:lang w:val="ro-RO" w:eastAsia="nl-NL"/>
              </w:rPr>
            </w:pPr>
            <w:r w:rsidRPr="00DD6A7A">
              <w:rPr>
                <w:rFonts w:ascii="Times New Roman" w:eastAsia="Times New Roman" w:hAnsi="Times New Roman" w:cs="Times New Roman"/>
                <w:sz w:val="18"/>
                <w:szCs w:val="18"/>
                <w:lang w:val="ro-RO" w:eastAsia="nl-NL"/>
              </w:rPr>
              <w:t>Timpul necesar elaborării instrucțiunilor sectoriale privind prelucrarea datelor cu caracter personal</w:t>
            </w:r>
          </w:p>
        </w:tc>
        <w:tc>
          <w:tcPr>
            <w:tcW w:w="992" w:type="dxa"/>
            <w:shd w:val="clear" w:color="auto" w:fill="auto"/>
            <w:vAlign w:val="center"/>
          </w:tcPr>
          <w:p w14:paraId="759B2BD0"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ore/instrucțiune</w:t>
            </w:r>
          </w:p>
        </w:tc>
        <w:tc>
          <w:tcPr>
            <w:tcW w:w="850" w:type="dxa"/>
            <w:shd w:val="clear" w:color="auto" w:fill="auto"/>
            <w:vAlign w:val="center"/>
          </w:tcPr>
          <w:p w14:paraId="5CECC96A"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200</w:t>
            </w:r>
          </w:p>
        </w:tc>
        <w:tc>
          <w:tcPr>
            <w:tcW w:w="1128" w:type="dxa"/>
            <w:shd w:val="clear" w:color="auto" w:fill="auto"/>
            <w:vAlign w:val="center"/>
          </w:tcPr>
          <w:p w14:paraId="02F7D548"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c>
          <w:tcPr>
            <w:tcW w:w="857" w:type="dxa"/>
            <w:shd w:val="clear" w:color="auto" w:fill="auto"/>
            <w:vAlign w:val="center"/>
          </w:tcPr>
          <w:p w14:paraId="78BDE29A"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c>
          <w:tcPr>
            <w:tcW w:w="1169" w:type="dxa"/>
            <w:shd w:val="clear" w:color="auto" w:fill="auto"/>
            <w:vAlign w:val="center"/>
          </w:tcPr>
          <w:p w14:paraId="27AB17AC"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r>
      <w:tr w:rsidR="001177AB" w:rsidRPr="00DD6A7A" w14:paraId="37D4C3FF" w14:textId="77777777" w:rsidTr="001208C3">
        <w:trPr>
          <w:trHeight w:val="340"/>
        </w:trPr>
        <w:tc>
          <w:tcPr>
            <w:tcW w:w="1045" w:type="dxa"/>
            <w:vMerge/>
            <w:shd w:val="clear" w:color="auto" w:fill="auto"/>
            <w:vAlign w:val="center"/>
          </w:tcPr>
          <w:p w14:paraId="519637CF"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532" w:type="dxa"/>
            <w:shd w:val="clear" w:color="auto" w:fill="auto"/>
            <w:vAlign w:val="center"/>
          </w:tcPr>
          <w:p w14:paraId="0AE7D1F3"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e6</w:t>
            </w:r>
          </w:p>
        </w:tc>
        <w:tc>
          <w:tcPr>
            <w:tcW w:w="3296" w:type="dxa"/>
            <w:shd w:val="clear" w:color="auto" w:fill="auto"/>
            <w:vAlign w:val="center"/>
          </w:tcPr>
          <w:p w14:paraId="7A6E1145" w14:textId="77777777" w:rsidR="001177AB" w:rsidRPr="00DD6A7A" w:rsidRDefault="001177AB" w:rsidP="006E1CD3">
            <w:pPr>
              <w:suppressAutoHyphens/>
              <w:spacing w:after="0" w:line="240" w:lineRule="auto"/>
              <w:rPr>
                <w:rFonts w:ascii="Times New Roman" w:eastAsia="Times New Roman" w:hAnsi="Times New Roman" w:cs="Times New Roman"/>
                <w:sz w:val="18"/>
                <w:szCs w:val="18"/>
                <w:lang w:val="ro-RO" w:eastAsia="nl-NL"/>
              </w:rPr>
            </w:pPr>
            <w:r w:rsidRPr="00DD6A7A">
              <w:rPr>
                <w:rFonts w:ascii="Times New Roman" w:eastAsia="Times New Roman" w:hAnsi="Times New Roman" w:cs="Times New Roman"/>
                <w:sz w:val="18"/>
                <w:szCs w:val="18"/>
                <w:lang w:val="ro-RO" w:eastAsia="nl-NL"/>
              </w:rPr>
              <w:t>Timpul necesar asigurării examinării procedurilor contravenționale și în ordine de contencios administrativ în instanța de judecată</w:t>
            </w:r>
          </w:p>
        </w:tc>
        <w:tc>
          <w:tcPr>
            <w:tcW w:w="992" w:type="dxa"/>
            <w:shd w:val="clear" w:color="auto" w:fill="auto"/>
            <w:vAlign w:val="center"/>
          </w:tcPr>
          <w:p w14:paraId="6B997488"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ore/procedură</w:t>
            </w:r>
          </w:p>
        </w:tc>
        <w:tc>
          <w:tcPr>
            <w:tcW w:w="850" w:type="dxa"/>
            <w:shd w:val="clear" w:color="auto" w:fill="auto"/>
            <w:vAlign w:val="center"/>
          </w:tcPr>
          <w:p w14:paraId="791877F8"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90</w:t>
            </w:r>
          </w:p>
        </w:tc>
        <w:tc>
          <w:tcPr>
            <w:tcW w:w="1128" w:type="dxa"/>
            <w:shd w:val="clear" w:color="auto" w:fill="auto"/>
            <w:vAlign w:val="center"/>
          </w:tcPr>
          <w:p w14:paraId="3ABF5AF5"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34</w:t>
            </w:r>
          </w:p>
        </w:tc>
        <w:tc>
          <w:tcPr>
            <w:tcW w:w="857" w:type="dxa"/>
            <w:shd w:val="clear" w:color="auto" w:fill="auto"/>
            <w:vAlign w:val="center"/>
          </w:tcPr>
          <w:p w14:paraId="5A113834"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-56</w:t>
            </w:r>
          </w:p>
        </w:tc>
        <w:tc>
          <w:tcPr>
            <w:tcW w:w="1169" w:type="dxa"/>
            <w:shd w:val="clear" w:color="auto" w:fill="auto"/>
            <w:vAlign w:val="center"/>
          </w:tcPr>
          <w:p w14:paraId="61A5FC81"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color w:val="000000"/>
                <w:sz w:val="18"/>
                <w:szCs w:val="18"/>
                <w:lang w:val="ro-RO" w:eastAsia="ar-SA"/>
              </w:rPr>
              <w:t>-</w:t>
            </w:r>
          </w:p>
        </w:tc>
      </w:tr>
      <w:tr w:rsidR="001177AB" w:rsidRPr="00DD6A7A" w14:paraId="58F678FB" w14:textId="77777777" w:rsidTr="001208C3">
        <w:trPr>
          <w:trHeight w:val="340"/>
        </w:trPr>
        <w:tc>
          <w:tcPr>
            <w:tcW w:w="4873" w:type="dxa"/>
            <w:gridSpan w:val="3"/>
            <w:shd w:val="clear" w:color="auto" w:fill="auto"/>
            <w:vAlign w:val="center"/>
          </w:tcPr>
          <w:p w14:paraId="786FCD06" w14:textId="77777777" w:rsidR="001177AB" w:rsidRPr="00DD6A7A" w:rsidRDefault="001177AB" w:rsidP="006E1CD3">
            <w:pPr>
              <w:suppressAutoHyphens/>
              <w:spacing w:after="0" w:line="240" w:lineRule="auto"/>
              <w:rPr>
                <w:rFonts w:ascii="Times New Roman" w:eastAsia="Times New Roman" w:hAnsi="Times New Roman" w:cs="Times New Roman"/>
                <w:sz w:val="18"/>
                <w:szCs w:val="18"/>
                <w:lang w:val="ro-RO" w:eastAsia="nl-NL"/>
              </w:rPr>
            </w:pPr>
            <w:r w:rsidRPr="00DD6A7A">
              <w:rPr>
                <w:rFonts w:ascii="Times New Roman" w:eastAsia="Times New Roman" w:hAnsi="Times New Roman" w:cs="Times New Roman"/>
                <w:b/>
                <w:color w:val="000000"/>
                <w:sz w:val="18"/>
                <w:szCs w:val="18"/>
                <w:lang w:val="ro-RO" w:eastAsia="ar-SA"/>
              </w:rPr>
              <w:lastRenderedPageBreak/>
              <w:t>Cheltuieli, mii lei</w:t>
            </w:r>
          </w:p>
        </w:tc>
        <w:tc>
          <w:tcPr>
            <w:tcW w:w="992" w:type="dxa"/>
            <w:shd w:val="clear" w:color="auto" w:fill="auto"/>
            <w:vAlign w:val="center"/>
          </w:tcPr>
          <w:p w14:paraId="741952A4"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850" w:type="dxa"/>
            <w:shd w:val="clear" w:color="auto" w:fill="auto"/>
            <w:vAlign w:val="center"/>
          </w:tcPr>
          <w:p w14:paraId="0A845A56"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Aprobat</w:t>
            </w:r>
          </w:p>
        </w:tc>
        <w:tc>
          <w:tcPr>
            <w:tcW w:w="1128" w:type="dxa"/>
            <w:shd w:val="clear" w:color="auto" w:fill="auto"/>
            <w:vAlign w:val="center"/>
          </w:tcPr>
          <w:p w14:paraId="128A595B"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Precizat</w:t>
            </w:r>
          </w:p>
        </w:tc>
        <w:tc>
          <w:tcPr>
            <w:tcW w:w="857" w:type="dxa"/>
            <w:shd w:val="clear" w:color="auto" w:fill="auto"/>
            <w:vAlign w:val="center"/>
          </w:tcPr>
          <w:p w14:paraId="6092AFCE"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Executat</w:t>
            </w:r>
          </w:p>
        </w:tc>
        <w:tc>
          <w:tcPr>
            <w:tcW w:w="1169" w:type="dxa"/>
            <w:shd w:val="clear" w:color="auto" w:fill="auto"/>
            <w:vAlign w:val="center"/>
          </w:tcPr>
          <w:p w14:paraId="766F5111"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Devieri -+</w:t>
            </w:r>
          </w:p>
          <w:p w14:paraId="2785F436"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(7-6)</w:t>
            </w:r>
          </w:p>
        </w:tc>
      </w:tr>
      <w:tr w:rsidR="001177AB" w:rsidRPr="00DD6A7A" w14:paraId="1B95F543" w14:textId="77777777" w:rsidTr="001208C3">
        <w:trPr>
          <w:trHeight w:val="340"/>
        </w:trPr>
        <w:tc>
          <w:tcPr>
            <w:tcW w:w="4873" w:type="dxa"/>
            <w:gridSpan w:val="3"/>
            <w:shd w:val="clear" w:color="auto" w:fill="auto"/>
            <w:vAlign w:val="center"/>
          </w:tcPr>
          <w:p w14:paraId="028C2C53" w14:textId="77777777" w:rsidR="001177AB" w:rsidRPr="00DD6A7A" w:rsidRDefault="001177AB" w:rsidP="006E1CD3">
            <w:pPr>
              <w:suppressAutoHyphens/>
              <w:spacing w:after="0" w:line="240" w:lineRule="auto"/>
              <w:rPr>
                <w:rFonts w:ascii="Times New Roman" w:eastAsia="Times New Roman" w:hAnsi="Times New Roman" w:cs="Times New Roman"/>
                <w:sz w:val="18"/>
                <w:szCs w:val="18"/>
                <w:lang w:val="ro-RO" w:eastAsia="nl-NL"/>
              </w:rPr>
            </w:pPr>
          </w:p>
        </w:tc>
        <w:tc>
          <w:tcPr>
            <w:tcW w:w="992" w:type="dxa"/>
            <w:shd w:val="clear" w:color="auto" w:fill="auto"/>
            <w:vAlign w:val="center"/>
          </w:tcPr>
          <w:p w14:paraId="568D1849"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850" w:type="dxa"/>
            <w:shd w:val="clear" w:color="auto" w:fill="auto"/>
            <w:vAlign w:val="center"/>
          </w:tcPr>
          <w:p w14:paraId="7DE981D5"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8 093,40</w:t>
            </w:r>
          </w:p>
        </w:tc>
        <w:tc>
          <w:tcPr>
            <w:tcW w:w="1128" w:type="dxa"/>
            <w:shd w:val="clear" w:color="auto" w:fill="auto"/>
            <w:vAlign w:val="center"/>
          </w:tcPr>
          <w:p w14:paraId="0226CD02"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9103,0</w:t>
            </w:r>
          </w:p>
        </w:tc>
        <w:tc>
          <w:tcPr>
            <w:tcW w:w="857" w:type="dxa"/>
            <w:shd w:val="clear" w:color="auto" w:fill="auto"/>
            <w:vAlign w:val="center"/>
          </w:tcPr>
          <w:p w14:paraId="25936653"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8428,9</w:t>
            </w:r>
          </w:p>
        </w:tc>
        <w:tc>
          <w:tcPr>
            <w:tcW w:w="1169" w:type="dxa"/>
            <w:shd w:val="clear" w:color="auto" w:fill="auto"/>
            <w:vAlign w:val="center"/>
          </w:tcPr>
          <w:p w14:paraId="22C93228"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-674,1</w:t>
            </w:r>
          </w:p>
        </w:tc>
      </w:tr>
    </w:tbl>
    <w:p w14:paraId="62EEBED0" w14:textId="77777777" w:rsidR="001177AB" w:rsidRPr="00DD6A7A" w:rsidRDefault="001177AB" w:rsidP="001177AB">
      <w:pPr>
        <w:suppressAutoHyphens/>
        <w:spacing w:after="0" w:line="240" w:lineRule="auto"/>
        <w:rPr>
          <w:rFonts w:ascii="Times New Roman" w:eastAsia="Times New Roman" w:hAnsi="Times New Roman" w:cs="Times New Roman"/>
          <w:sz w:val="20"/>
          <w:szCs w:val="20"/>
          <w:lang w:val="ro-RO" w:eastAsia="ar-SA"/>
        </w:rPr>
      </w:pPr>
    </w:p>
    <w:p w14:paraId="7C1B2998" w14:textId="77777777" w:rsidR="001177AB" w:rsidRPr="00DD6A7A" w:rsidRDefault="001177AB" w:rsidP="001177AB">
      <w:pPr>
        <w:suppressAutoHyphens/>
        <w:spacing w:after="0" w:line="240" w:lineRule="auto"/>
        <w:rPr>
          <w:rFonts w:ascii="Times New Roman" w:eastAsia="Times New Roman" w:hAnsi="Times New Roman" w:cs="Times New Roman"/>
          <w:sz w:val="20"/>
          <w:szCs w:val="20"/>
          <w:lang w:val="ro-RO" w:eastAsia="ar-S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
        <w:gridCol w:w="3186"/>
        <w:gridCol w:w="944"/>
        <w:gridCol w:w="903"/>
        <w:gridCol w:w="993"/>
        <w:gridCol w:w="1203"/>
        <w:gridCol w:w="1281"/>
      </w:tblGrid>
      <w:tr w:rsidR="001177AB" w:rsidRPr="00DD6A7A" w14:paraId="4EA70E32" w14:textId="77777777" w:rsidTr="001208C3">
        <w:trPr>
          <w:trHeight w:val="461"/>
        </w:trPr>
        <w:tc>
          <w:tcPr>
            <w:tcW w:w="9781" w:type="dxa"/>
            <w:gridSpan w:val="8"/>
            <w:shd w:val="clear" w:color="auto" w:fill="auto"/>
            <w:noWrap/>
            <w:vAlign w:val="center"/>
          </w:tcPr>
          <w:p w14:paraId="3917ABF9" w14:textId="77777777" w:rsidR="001177AB" w:rsidRPr="00DD6A7A" w:rsidRDefault="001177AB" w:rsidP="006E1CD3">
            <w:pPr>
              <w:suppressAutoHyphens/>
              <w:spacing w:after="0" w:line="240" w:lineRule="auto"/>
              <w:jc w:val="center"/>
              <w:rPr>
                <w:rFonts w:ascii="Times New Roman" w:eastAsia="Times New Roman" w:hAnsi="Times New Roman" w:cs="Times New Roman"/>
                <w:b/>
                <w:bCs/>
                <w:color w:val="000000"/>
                <w:sz w:val="18"/>
                <w:szCs w:val="18"/>
                <w:lang w:val="ro-RO" w:eastAsia="ar-SA"/>
              </w:rPr>
            </w:pPr>
            <w:r w:rsidRPr="00DD6A7A">
              <w:rPr>
                <w:rFonts w:ascii="Times New Roman" w:eastAsia="Times New Roman" w:hAnsi="Times New Roman" w:cs="Times New Roman"/>
                <w:b/>
                <w:sz w:val="18"/>
                <w:szCs w:val="18"/>
                <w:lang w:val="ro-RO" w:eastAsia="ar-SA"/>
              </w:rPr>
              <w:t>Raport de performanță</w:t>
            </w:r>
            <w:r w:rsidRPr="00DD6A7A">
              <w:rPr>
                <w:rFonts w:ascii="Times New Roman" w:eastAsia="Times New Roman" w:hAnsi="Times New Roman" w:cs="Times New Roman"/>
                <w:b/>
                <w:sz w:val="18"/>
                <w:szCs w:val="18"/>
                <w:vertAlign w:val="superscript"/>
                <w:lang w:val="ro-RO" w:eastAsia="ar-SA"/>
              </w:rPr>
              <w:t xml:space="preserve"> </w:t>
            </w:r>
            <w:r w:rsidRPr="00DD6A7A">
              <w:rPr>
                <w:rFonts w:ascii="Times New Roman" w:eastAsia="Times New Roman" w:hAnsi="Times New Roman" w:cs="Times New Roman"/>
                <w:b/>
                <w:sz w:val="18"/>
                <w:szCs w:val="18"/>
                <w:lang w:val="ro-RO" w:eastAsia="ar-SA"/>
              </w:rPr>
              <w:t xml:space="preserve">al </w:t>
            </w:r>
            <w:r w:rsidRPr="00DD6A7A">
              <w:rPr>
                <w:rFonts w:ascii="Times New Roman" w:eastAsia="Times New Roman" w:hAnsi="Times New Roman" w:cs="Times New Roman"/>
                <w:b/>
                <w:bCs/>
                <w:color w:val="000000"/>
                <w:sz w:val="18"/>
                <w:szCs w:val="18"/>
                <w:lang w:val="ro-RO" w:eastAsia="ar-SA"/>
              </w:rPr>
              <w:t>Centrului Național pentru Protecția Datelor cu Caracter Personal</w:t>
            </w:r>
          </w:p>
          <w:p w14:paraId="5C2D3DC1" w14:textId="77777777" w:rsidR="001177AB" w:rsidRPr="00DD6A7A" w:rsidRDefault="001177AB" w:rsidP="006E1CD3">
            <w:pPr>
              <w:suppressAutoHyphens/>
              <w:spacing w:after="0" w:line="240" w:lineRule="auto"/>
              <w:jc w:val="center"/>
              <w:rPr>
                <w:rFonts w:ascii="Times New Roman" w:eastAsia="Times New Roman" w:hAnsi="Times New Roman" w:cs="Times New Roman"/>
                <w:b/>
                <w:sz w:val="18"/>
                <w:szCs w:val="18"/>
                <w:vertAlign w:val="superscript"/>
                <w:lang w:val="ro-RO" w:eastAsia="ar-SA"/>
              </w:rPr>
            </w:pPr>
            <w:r w:rsidRPr="00DD6A7A">
              <w:rPr>
                <w:rFonts w:ascii="Times New Roman" w:eastAsia="Times New Roman" w:hAnsi="Times New Roman" w:cs="Times New Roman"/>
                <w:b/>
                <w:sz w:val="18"/>
                <w:szCs w:val="18"/>
                <w:lang w:val="ro-RO" w:eastAsia="ar-SA"/>
              </w:rPr>
              <w:t>la situația din 31 decembrie 2020</w:t>
            </w:r>
          </w:p>
        </w:tc>
      </w:tr>
      <w:tr w:rsidR="001177AB" w:rsidRPr="00DD6A7A" w14:paraId="41B2C398" w14:textId="77777777" w:rsidTr="00D4082B">
        <w:trPr>
          <w:trHeight w:val="27"/>
        </w:trPr>
        <w:tc>
          <w:tcPr>
            <w:tcW w:w="846" w:type="dxa"/>
            <w:vMerge w:val="restart"/>
            <w:shd w:val="clear" w:color="auto" w:fill="00B0F0"/>
            <w:vAlign w:val="center"/>
          </w:tcPr>
          <w:p w14:paraId="79D88261"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Categoria</w:t>
            </w:r>
          </w:p>
        </w:tc>
        <w:tc>
          <w:tcPr>
            <w:tcW w:w="425" w:type="dxa"/>
            <w:vMerge w:val="restart"/>
            <w:shd w:val="clear" w:color="auto" w:fill="00B0F0"/>
            <w:vAlign w:val="center"/>
          </w:tcPr>
          <w:p w14:paraId="020ECADD"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 xml:space="preserve">Cod </w:t>
            </w:r>
          </w:p>
        </w:tc>
        <w:tc>
          <w:tcPr>
            <w:tcW w:w="3186" w:type="dxa"/>
            <w:vMerge w:val="restart"/>
            <w:shd w:val="clear" w:color="auto" w:fill="00B0F0"/>
            <w:vAlign w:val="center"/>
          </w:tcPr>
          <w:p w14:paraId="0C892B13"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Denumirea</w:t>
            </w:r>
            <w:r w:rsidRPr="00DD6A7A" w:rsidDel="00D20F90">
              <w:rPr>
                <w:rFonts w:ascii="Times New Roman" w:eastAsia="Times New Roman" w:hAnsi="Times New Roman" w:cs="Times New Roman"/>
                <w:b/>
                <w:color w:val="000000"/>
                <w:sz w:val="18"/>
                <w:szCs w:val="18"/>
                <w:lang w:val="ro-RO" w:eastAsia="ar-SA"/>
              </w:rPr>
              <w:t xml:space="preserve"> </w:t>
            </w:r>
          </w:p>
        </w:tc>
        <w:tc>
          <w:tcPr>
            <w:tcW w:w="944" w:type="dxa"/>
            <w:vMerge w:val="restart"/>
            <w:shd w:val="clear" w:color="auto" w:fill="00B0F0"/>
            <w:vAlign w:val="center"/>
          </w:tcPr>
          <w:p w14:paraId="05462085"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Unitatea de măsură</w:t>
            </w:r>
          </w:p>
        </w:tc>
        <w:tc>
          <w:tcPr>
            <w:tcW w:w="903" w:type="dxa"/>
            <w:vMerge w:val="restart"/>
            <w:shd w:val="clear" w:color="auto" w:fill="00B0F0"/>
            <w:vAlign w:val="center"/>
          </w:tcPr>
          <w:p w14:paraId="6E5A43A7"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Aprobat</w:t>
            </w:r>
          </w:p>
        </w:tc>
        <w:tc>
          <w:tcPr>
            <w:tcW w:w="993" w:type="dxa"/>
            <w:vMerge w:val="restart"/>
            <w:shd w:val="clear" w:color="auto" w:fill="00B0F0"/>
            <w:vAlign w:val="center"/>
          </w:tcPr>
          <w:p w14:paraId="17E25B34"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Executat</w:t>
            </w:r>
            <w:r w:rsidRPr="00DD6A7A">
              <w:rPr>
                <w:rFonts w:ascii="Times New Roman" w:eastAsia="Times New Roman" w:hAnsi="Times New Roman" w:cs="Times New Roman"/>
                <w:b/>
                <w:sz w:val="18"/>
                <w:szCs w:val="18"/>
                <w:vertAlign w:val="superscript"/>
                <w:lang w:val="ro-RO" w:eastAsia="zh-CN"/>
              </w:rPr>
              <w:t>3</w:t>
            </w:r>
          </w:p>
        </w:tc>
        <w:tc>
          <w:tcPr>
            <w:tcW w:w="2484" w:type="dxa"/>
            <w:gridSpan w:val="2"/>
            <w:shd w:val="clear" w:color="auto" w:fill="00B0F0"/>
            <w:vAlign w:val="center"/>
          </w:tcPr>
          <w:p w14:paraId="61D19E4C"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Devieri</w:t>
            </w:r>
          </w:p>
        </w:tc>
      </w:tr>
      <w:tr w:rsidR="001177AB" w:rsidRPr="00DD6A7A" w14:paraId="2AB61191" w14:textId="77777777" w:rsidTr="00D4082B">
        <w:trPr>
          <w:trHeight w:val="27"/>
        </w:trPr>
        <w:tc>
          <w:tcPr>
            <w:tcW w:w="846" w:type="dxa"/>
            <w:vMerge/>
            <w:shd w:val="clear" w:color="auto" w:fill="00B0F0"/>
            <w:vAlign w:val="center"/>
          </w:tcPr>
          <w:p w14:paraId="02066CF9" w14:textId="77777777" w:rsidR="001177AB" w:rsidRPr="00DD6A7A" w:rsidRDefault="001177AB" w:rsidP="00ED5A00">
            <w:pPr>
              <w:keepNext/>
              <w:numPr>
                <w:ilvl w:val="0"/>
                <w:numId w:val="13"/>
              </w:numPr>
              <w:suppressAutoHyphens/>
              <w:spacing w:after="1960" w:line="240" w:lineRule="auto"/>
              <w:rPr>
                <w:rFonts w:ascii="Times New Roman" w:eastAsia="Times New Roman" w:hAnsi="Times New Roman" w:cs="Times New Roman"/>
                <w:b/>
                <w:color w:val="000000"/>
                <w:sz w:val="18"/>
                <w:szCs w:val="18"/>
                <w:lang w:val="ro-RO" w:eastAsia="ar-SA"/>
              </w:rPr>
            </w:pPr>
          </w:p>
        </w:tc>
        <w:tc>
          <w:tcPr>
            <w:tcW w:w="425" w:type="dxa"/>
            <w:vMerge/>
            <w:shd w:val="clear" w:color="auto" w:fill="00B0F0"/>
            <w:vAlign w:val="center"/>
          </w:tcPr>
          <w:p w14:paraId="4B8F3C43" w14:textId="77777777" w:rsidR="001177AB" w:rsidRPr="00DD6A7A" w:rsidRDefault="001177AB" w:rsidP="00ED5A00">
            <w:pPr>
              <w:keepNext/>
              <w:numPr>
                <w:ilvl w:val="0"/>
                <w:numId w:val="13"/>
              </w:numPr>
              <w:suppressAutoHyphens/>
              <w:spacing w:after="1960" w:line="240" w:lineRule="auto"/>
              <w:rPr>
                <w:rFonts w:ascii="Times New Roman" w:eastAsia="Times New Roman" w:hAnsi="Times New Roman" w:cs="Times New Roman"/>
                <w:b/>
                <w:color w:val="000000"/>
                <w:sz w:val="18"/>
                <w:szCs w:val="18"/>
                <w:lang w:val="ro-RO" w:eastAsia="ar-SA"/>
              </w:rPr>
            </w:pPr>
          </w:p>
        </w:tc>
        <w:tc>
          <w:tcPr>
            <w:tcW w:w="3186" w:type="dxa"/>
            <w:vMerge/>
            <w:shd w:val="clear" w:color="auto" w:fill="00B0F0"/>
            <w:vAlign w:val="center"/>
          </w:tcPr>
          <w:p w14:paraId="5107ABD6" w14:textId="77777777" w:rsidR="001177AB" w:rsidRPr="00DD6A7A" w:rsidRDefault="001177AB" w:rsidP="00ED5A00">
            <w:pPr>
              <w:keepNext/>
              <w:numPr>
                <w:ilvl w:val="0"/>
                <w:numId w:val="13"/>
              </w:numPr>
              <w:suppressAutoHyphens/>
              <w:spacing w:after="1960" w:line="240" w:lineRule="auto"/>
              <w:jc w:val="center"/>
              <w:rPr>
                <w:rFonts w:ascii="Times New Roman" w:eastAsia="Times New Roman" w:hAnsi="Times New Roman" w:cs="Times New Roman"/>
                <w:b/>
                <w:color w:val="000000"/>
                <w:sz w:val="18"/>
                <w:szCs w:val="18"/>
                <w:lang w:val="ro-RO" w:eastAsia="ar-SA"/>
              </w:rPr>
            </w:pPr>
          </w:p>
        </w:tc>
        <w:tc>
          <w:tcPr>
            <w:tcW w:w="944" w:type="dxa"/>
            <w:vMerge/>
            <w:shd w:val="clear" w:color="auto" w:fill="00B0F0"/>
            <w:vAlign w:val="center"/>
          </w:tcPr>
          <w:p w14:paraId="2E5804E3" w14:textId="77777777" w:rsidR="001177AB" w:rsidRPr="00DD6A7A" w:rsidRDefault="001177AB" w:rsidP="00ED5A00">
            <w:pPr>
              <w:keepNext/>
              <w:numPr>
                <w:ilvl w:val="0"/>
                <w:numId w:val="13"/>
              </w:numPr>
              <w:suppressAutoHyphens/>
              <w:spacing w:after="1960" w:line="240" w:lineRule="auto"/>
              <w:jc w:val="center"/>
              <w:rPr>
                <w:rFonts w:ascii="Times New Roman" w:eastAsia="Times New Roman" w:hAnsi="Times New Roman" w:cs="Times New Roman"/>
                <w:b/>
                <w:color w:val="000000"/>
                <w:sz w:val="18"/>
                <w:szCs w:val="18"/>
                <w:lang w:val="ro-RO" w:eastAsia="ar-SA"/>
              </w:rPr>
            </w:pPr>
          </w:p>
        </w:tc>
        <w:tc>
          <w:tcPr>
            <w:tcW w:w="903" w:type="dxa"/>
            <w:vMerge/>
            <w:shd w:val="clear" w:color="auto" w:fill="00B0F0"/>
            <w:vAlign w:val="center"/>
          </w:tcPr>
          <w:p w14:paraId="01C051A2"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993" w:type="dxa"/>
            <w:vMerge/>
            <w:shd w:val="clear" w:color="auto" w:fill="00B0F0"/>
            <w:vAlign w:val="center"/>
          </w:tcPr>
          <w:p w14:paraId="4A086D2C"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1203" w:type="dxa"/>
            <w:shd w:val="clear" w:color="auto" w:fill="00B0F0"/>
            <w:vAlign w:val="center"/>
          </w:tcPr>
          <w:p w14:paraId="4051091A"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Valoarea</w:t>
            </w:r>
          </w:p>
          <w:p w14:paraId="7FD70C4C"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 xml:space="preserve">(+/-) </w:t>
            </w:r>
          </w:p>
        </w:tc>
        <w:tc>
          <w:tcPr>
            <w:tcW w:w="1281" w:type="dxa"/>
            <w:shd w:val="clear" w:color="auto" w:fill="00B0F0"/>
            <w:vAlign w:val="center"/>
          </w:tcPr>
          <w:p w14:paraId="77FFC85A"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vertAlign w:val="superscript"/>
                <w:lang w:val="ro-RO" w:eastAsia="ar-SA"/>
              </w:rPr>
            </w:pPr>
            <w:r w:rsidRPr="00DD6A7A">
              <w:rPr>
                <w:rFonts w:ascii="Times New Roman" w:eastAsia="Times New Roman" w:hAnsi="Times New Roman" w:cs="Times New Roman"/>
                <w:b/>
                <w:color w:val="000000"/>
                <w:sz w:val="18"/>
                <w:szCs w:val="18"/>
                <w:lang w:val="ro-RO" w:eastAsia="ar-SA"/>
              </w:rPr>
              <w:t>Explicații</w:t>
            </w:r>
          </w:p>
        </w:tc>
      </w:tr>
      <w:tr w:rsidR="001177AB" w:rsidRPr="00DD6A7A" w14:paraId="1C31BC20" w14:textId="77777777" w:rsidTr="00D25589">
        <w:trPr>
          <w:trHeight w:val="27"/>
        </w:trPr>
        <w:tc>
          <w:tcPr>
            <w:tcW w:w="846" w:type="dxa"/>
            <w:shd w:val="clear" w:color="auto" w:fill="auto"/>
            <w:vAlign w:val="center"/>
          </w:tcPr>
          <w:p w14:paraId="25CCBEAB"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1</w:t>
            </w:r>
          </w:p>
        </w:tc>
        <w:tc>
          <w:tcPr>
            <w:tcW w:w="425" w:type="dxa"/>
            <w:shd w:val="clear" w:color="auto" w:fill="auto"/>
            <w:vAlign w:val="center"/>
          </w:tcPr>
          <w:p w14:paraId="3ABB7B8A"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2</w:t>
            </w:r>
          </w:p>
        </w:tc>
        <w:tc>
          <w:tcPr>
            <w:tcW w:w="3186" w:type="dxa"/>
            <w:shd w:val="clear" w:color="auto" w:fill="auto"/>
            <w:vAlign w:val="bottom"/>
          </w:tcPr>
          <w:p w14:paraId="457F39AB"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3</w:t>
            </w:r>
          </w:p>
        </w:tc>
        <w:tc>
          <w:tcPr>
            <w:tcW w:w="944" w:type="dxa"/>
            <w:shd w:val="clear" w:color="auto" w:fill="auto"/>
            <w:vAlign w:val="center"/>
          </w:tcPr>
          <w:p w14:paraId="3CD43B79"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4</w:t>
            </w:r>
          </w:p>
        </w:tc>
        <w:tc>
          <w:tcPr>
            <w:tcW w:w="903" w:type="dxa"/>
            <w:shd w:val="clear" w:color="auto" w:fill="auto"/>
            <w:vAlign w:val="center"/>
          </w:tcPr>
          <w:p w14:paraId="34FA6F71"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5</w:t>
            </w:r>
          </w:p>
        </w:tc>
        <w:tc>
          <w:tcPr>
            <w:tcW w:w="993" w:type="dxa"/>
            <w:shd w:val="clear" w:color="auto" w:fill="auto"/>
            <w:vAlign w:val="center"/>
          </w:tcPr>
          <w:p w14:paraId="06921DC4"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6</w:t>
            </w:r>
          </w:p>
        </w:tc>
        <w:tc>
          <w:tcPr>
            <w:tcW w:w="1203" w:type="dxa"/>
            <w:shd w:val="clear" w:color="auto" w:fill="auto"/>
            <w:vAlign w:val="center"/>
          </w:tcPr>
          <w:p w14:paraId="2E8CA845"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7(6-5)</w:t>
            </w:r>
          </w:p>
        </w:tc>
        <w:tc>
          <w:tcPr>
            <w:tcW w:w="1281" w:type="dxa"/>
            <w:shd w:val="clear" w:color="auto" w:fill="auto"/>
            <w:vAlign w:val="center"/>
          </w:tcPr>
          <w:p w14:paraId="65201E27"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8</w:t>
            </w:r>
          </w:p>
        </w:tc>
      </w:tr>
      <w:tr w:rsidR="001177AB" w:rsidRPr="00DD6A7A" w14:paraId="2A0FBFBF" w14:textId="77777777" w:rsidTr="001208C3">
        <w:trPr>
          <w:trHeight w:val="27"/>
        </w:trPr>
        <w:tc>
          <w:tcPr>
            <w:tcW w:w="9781" w:type="dxa"/>
            <w:gridSpan w:val="8"/>
            <w:shd w:val="clear" w:color="auto" w:fill="auto"/>
          </w:tcPr>
          <w:p w14:paraId="3B0AD810" w14:textId="77777777" w:rsidR="001177AB" w:rsidRPr="00DD6A7A" w:rsidRDefault="001177AB" w:rsidP="006E1CD3">
            <w:pPr>
              <w:tabs>
                <w:tab w:val="left" w:pos="4111"/>
              </w:tabs>
              <w:suppressAutoHyphens/>
              <w:spacing w:after="0" w:line="240" w:lineRule="auto"/>
              <w:rPr>
                <w:rFonts w:ascii="Times New Roman" w:eastAsia="Times New Roman" w:hAnsi="Times New Roman" w:cs="Times New Roman"/>
                <w:b/>
                <w:sz w:val="18"/>
                <w:szCs w:val="18"/>
                <w:lang w:val="ro-RO" w:eastAsia="zh-CN"/>
              </w:rPr>
            </w:pPr>
            <w:r w:rsidRPr="00DD6A7A">
              <w:rPr>
                <w:rFonts w:ascii="Times New Roman" w:eastAsia="Times New Roman" w:hAnsi="Times New Roman" w:cs="Times New Roman"/>
                <w:b/>
                <w:bCs/>
                <w:sz w:val="18"/>
                <w:szCs w:val="18"/>
                <w:lang w:val="ro-RO" w:eastAsia="ar-SA"/>
              </w:rPr>
              <w:t>Program: Edificarea societății informaționale</w:t>
            </w:r>
          </w:p>
        </w:tc>
      </w:tr>
      <w:tr w:rsidR="001177AB" w:rsidRPr="00DD6A7A" w14:paraId="450FB630" w14:textId="77777777" w:rsidTr="001208C3">
        <w:trPr>
          <w:trHeight w:val="27"/>
        </w:trPr>
        <w:tc>
          <w:tcPr>
            <w:tcW w:w="9781" w:type="dxa"/>
            <w:gridSpan w:val="8"/>
            <w:shd w:val="clear" w:color="auto" w:fill="auto"/>
            <w:vAlign w:val="center"/>
          </w:tcPr>
          <w:p w14:paraId="393BC560" w14:textId="77777777" w:rsidR="001177AB" w:rsidRPr="00DD6A7A" w:rsidRDefault="001177AB" w:rsidP="006E1CD3">
            <w:pPr>
              <w:suppressAutoHyphens/>
              <w:spacing w:after="0" w:line="240" w:lineRule="auto"/>
              <w:rPr>
                <w:rFonts w:ascii="Times New Roman" w:eastAsia="Times New Roman" w:hAnsi="Times New Roman" w:cs="Times New Roman"/>
                <w:b/>
                <w:bCs/>
                <w:sz w:val="18"/>
                <w:szCs w:val="18"/>
                <w:lang w:val="ro-RO" w:eastAsia="ar-SA"/>
              </w:rPr>
            </w:pPr>
            <w:r w:rsidRPr="00DD6A7A">
              <w:rPr>
                <w:rFonts w:ascii="Times New Roman" w:eastAsia="Times New Roman" w:hAnsi="Times New Roman" w:cs="Times New Roman"/>
                <w:b/>
                <w:color w:val="000000"/>
                <w:sz w:val="18"/>
                <w:szCs w:val="18"/>
                <w:lang w:val="ro-RO" w:eastAsia="ar-SA"/>
              </w:rPr>
              <w:t>Subprogram:  Protecția datelor cu caracter personal</w:t>
            </w:r>
          </w:p>
        </w:tc>
      </w:tr>
      <w:tr w:rsidR="001177AB" w:rsidRPr="00DD6A7A" w14:paraId="06484AE5" w14:textId="77777777" w:rsidTr="001208C3">
        <w:trPr>
          <w:trHeight w:val="27"/>
        </w:trPr>
        <w:tc>
          <w:tcPr>
            <w:tcW w:w="9781" w:type="dxa"/>
            <w:gridSpan w:val="8"/>
            <w:shd w:val="clear" w:color="auto" w:fill="auto"/>
          </w:tcPr>
          <w:p w14:paraId="06CD1FC4" w14:textId="77777777" w:rsidR="001177AB" w:rsidRPr="00DD6A7A" w:rsidRDefault="001177AB" w:rsidP="006E1CD3">
            <w:pPr>
              <w:suppressAutoHyphens/>
              <w:spacing w:after="0" w:line="240" w:lineRule="auto"/>
              <w:jc w:val="both"/>
              <w:rPr>
                <w:rFonts w:ascii="Times New Roman" w:eastAsia="Times New Roman" w:hAnsi="Times New Roman" w:cs="Times New Roman"/>
                <w:b/>
                <w:sz w:val="18"/>
                <w:szCs w:val="18"/>
                <w:lang w:val="ro-RO" w:eastAsia="zh-CN"/>
              </w:rPr>
            </w:pPr>
            <w:r w:rsidRPr="00DD6A7A">
              <w:rPr>
                <w:rFonts w:ascii="Times New Roman" w:eastAsia="Times New Roman" w:hAnsi="Times New Roman" w:cs="Times New Roman"/>
                <w:b/>
                <w:color w:val="000000"/>
                <w:sz w:val="18"/>
                <w:szCs w:val="18"/>
                <w:lang w:val="ro-RO" w:eastAsia="ar-SA"/>
              </w:rPr>
              <w:t>Scop: </w:t>
            </w:r>
            <w:r w:rsidRPr="00DD6A7A">
              <w:rPr>
                <w:rFonts w:ascii="Times New Roman" w:eastAsia="Times New Roman" w:hAnsi="Times New Roman" w:cs="Times New Roman"/>
                <w:b/>
                <w:sz w:val="18"/>
                <w:szCs w:val="18"/>
                <w:lang w:val="ro-RO" w:eastAsia="ar-SA"/>
              </w:rPr>
              <w:t xml:space="preserve"> Asigurarea unui nivel adecvat de protecție a datelor cu caracter personal în Republica Moldova, conform standardelor europene</w:t>
            </w:r>
          </w:p>
        </w:tc>
      </w:tr>
      <w:tr w:rsidR="001177AB" w:rsidRPr="00DD6A7A" w14:paraId="7717B83C" w14:textId="77777777" w:rsidTr="001208C3">
        <w:trPr>
          <w:trHeight w:val="27"/>
        </w:trPr>
        <w:tc>
          <w:tcPr>
            <w:tcW w:w="9781" w:type="dxa"/>
            <w:gridSpan w:val="8"/>
            <w:shd w:val="clear" w:color="auto" w:fill="auto"/>
          </w:tcPr>
          <w:p w14:paraId="1E6DD882"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bCs/>
                <w:color w:val="000000"/>
                <w:sz w:val="18"/>
                <w:szCs w:val="18"/>
                <w:lang w:val="ro-RO" w:eastAsia="ar-SA"/>
              </w:rPr>
              <w:t>Indicatori de performanță neexecutați:</w:t>
            </w:r>
          </w:p>
        </w:tc>
      </w:tr>
      <w:tr w:rsidR="001177AB" w:rsidRPr="00DD6A7A" w14:paraId="0609EEF1" w14:textId="77777777" w:rsidTr="009A3743">
        <w:trPr>
          <w:trHeight w:val="370"/>
        </w:trPr>
        <w:tc>
          <w:tcPr>
            <w:tcW w:w="846" w:type="dxa"/>
            <w:vMerge w:val="restart"/>
            <w:shd w:val="clear" w:color="auto" w:fill="auto"/>
            <w:vAlign w:val="center"/>
          </w:tcPr>
          <w:p w14:paraId="6403BACC"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De produs</w:t>
            </w:r>
          </w:p>
        </w:tc>
        <w:tc>
          <w:tcPr>
            <w:tcW w:w="425" w:type="dxa"/>
            <w:shd w:val="clear" w:color="auto" w:fill="auto"/>
            <w:vAlign w:val="center"/>
          </w:tcPr>
          <w:p w14:paraId="7E221E9D" w14:textId="77777777" w:rsidR="001177AB" w:rsidRPr="00DD6A7A" w:rsidRDefault="001177AB" w:rsidP="006E1CD3">
            <w:pPr>
              <w:suppressAutoHyphens/>
              <w:spacing w:after="0" w:line="240" w:lineRule="auto"/>
              <w:jc w:val="center"/>
              <w:rPr>
                <w:rFonts w:ascii="Times New Roman" w:eastAsia="Times New Roman" w:hAnsi="Times New Roman" w:cs="Times New Roman"/>
                <w:sz w:val="18"/>
                <w:szCs w:val="18"/>
                <w:lang w:val="ro-RO" w:eastAsia="ar-SA"/>
              </w:rPr>
            </w:pPr>
            <w:r w:rsidRPr="00DD6A7A">
              <w:rPr>
                <w:rFonts w:ascii="Times New Roman" w:eastAsia="Times New Roman" w:hAnsi="Times New Roman" w:cs="Times New Roman"/>
                <w:b/>
                <w:color w:val="000000"/>
                <w:sz w:val="18"/>
                <w:szCs w:val="18"/>
                <w:lang w:val="ro-RO" w:eastAsia="ar-SA"/>
              </w:rPr>
              <w:t>o4</w:t>
            </w:r>
          </w:p>
        </w:tc>
        <w:tc>
          <w:tcPr>
            <w:tcW w:w="3186" w:type="dxa"/>
            <w:shd w:val="clear" w:color="auto" w:fill="auto"/>
            <w:vAlign w:val="center"/>
          </w:tcPr>
          <w:p w14:paraId="7DFD6C8F" w14:textId="77777777" w:rsidR="001177AB" w:rsidRPr="00DD6A7A" w:rsidRDefault="001177AB" w:rsidP="006E1CD3">
            <w:pPr>
              <w:suppressAutoHyphens/>
              <w:spacing w:after="0" w:line="276" w:lineRule="auto"/>
              <w:rPr>
                <w:rFonts w:ascii="Times New Roman" w:eastAsia="Times New Roman" w:hAnsi="Times New Roman" w:cs="Times New Roman"/>
                <w:color w:val="000000"/>
                <w:sz w:val="18"/>
                <w:szCs w:val="18"/>
                <w:lang w:val="ro-RO" w:eastAsia="ar-SA"/>
              </w:rPr>
            </w:pPr>
            <w:r w:rsidRPr="00DD6A7A">
              <w:rPr>
                <w:rFonts w:ascii="Times New Roman" w:eastAsia="Times New Roman" w:hAnsi="Times New Roman" w:cs="Times New Roman"/>
                <w:color w:val="000000"/>
                <w:sz w:val="18"/>
                <w:szCs w:val="18"/>
                <w:lang w:val="ro-RO" w:eastAsia="ar-SA"/>
              </w:rPr>
              <w:t>Numărul instrucţiunilor (liniilor directorii) elaborate privind prelucrarea datelor cu caracter personal în diferite sectoare (medical, electoral, educaţional, financiar-bancar, poliţienesc etc.)</w:t>
            </w:r>
          </w:p>
        </w:tc>
        <w:tc>
          <w:tcPr>
            <w:tcW w:w="944" w:type="dxa"/>
            <w:shd w:val="clear" w:color="auto" w:fill="auto"/>
            <w:vAlign w:val="center"/>
          </w:tcPr>
          <w:p w14:paraId="7E3AB024" w14:textId="77777777" w:rsidR="001177AB" w:rsidRPr="00DD6A7A" w:rsidRDefault="001177AB" w:rsidP="006E1CD3">
            <w:pPr>
              <w:suppressAutoHyphens/>
              <w:spacing w:after="0" w:line="240" w:lineRule="auto"/>
              <w:jc w:val="center"/>
              <w:rPr>
                <w:rFonts w:ascii="Times New Roman" w:eastAsia="Times New Roman" w:hAnsi="Times New Roman" w:cs="Times New Roman"/>
                <w:sz w:val="18"/>
                <w:szCs w:val="18"/>
                <w:lang w:val="ro-RO" w:eastAsia="ar-SA"/>
              </w:rPr>
            </w:pPr>
            <w:r w:rsidRPr="00DD6A7A">
              <w:rPr>
                <w:rFonts w:ascii="Times New Roman" w:eastAsia="Times New Roman" w:hAnsi="Times New Roman" w:cs="Times New Roman"/>
                <w:b/>
                <w:color w:val="000000"/>
                <w:sz w:val="18"/>
                <w:szCs w:val="18"/>
                <w:lang w:val="ro-RO" w:eastAsia="ar-SA"/>
              </w:rPr>
              <w:t>unităţi</w:t>
            </w:r>
          </w:p>
        </w:tc>
        <w:tc>
          <w:tcPr>
            <w:tcW w:w="903" w:type="dxa"/>
            <w:shd w:val="clear" w:color="auto" w:fill="auto"/>
            <w:vAlign w:val="center"/>
          </w:tcPr>
          <w:p w14:paraId="2C846192"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5</w:t>
            </w:r>
          </w:p>
        </w:tc>
        <w:tc>
          <w:tcPr>
            <w:tcW w:w="993" w:type="dxa"/>
            <w:shd w:val="clear" w:color="auto" w:fill="auto"/>
            <w:vAlign w:val="center"/>
          </w:tcPr>
          <w:p w14:paraId="6D9FE7B1"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2</w:t>
            </w:r>
          </w:p>
        </w:tc>
        <w:tc>
          <w:tcPr>
            <w:tcW w:w="1203" w:type="dxa"/>
            <w:shd w:val="clear" w:color="auto" w:fill="auto"/>
            <w:vAlign w:val="center"/>
          </w:tcPr>
          <w:p w14:paraId="2A886059"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-3</w:t>
            </w:r>
          </w:p>
        </w:tc>
        <w:tc>
          <w:tcPr>
            <w:tcW w:w="1281" w:type="dxa"/>
            <w:shd w:val="clear" w:color="auto" w:fill="auto"/>
            <w:vAlign w:val="center"/>
          </w:tcPr>
          <w:p w14:paraId="4CE4F14D"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r>
      <w:tr w:rsidR="001177AB" w:rsidRPr="00DD6A7A" w14:paraId="4C6D725A" w14:textId="77777777" w:rsidTr="009A3743">
        <w:trPr>
          <w:trHeight w:val="370"/>
        </w:trPr>
        <w:tc>
          <w:tcPr>
            <w:tcW w:w="846" w:type="dxa"/>
            <w:vMerge/>
            <w:shd w:val="clear" w:color="auto" w:fill="auto"/>
            <w:textDirection w:val="btLr"/>
            <w:vAlign w:val="center"/>
          </w:tcPr>
          <w:p w14:paraId="46205078" w14:textId="77777777" w:rsidR="001177AB" w:rsidRPr="00DD6A7A" w:rsidRDefault="001177AB" w:rsidP="006E1CD3">
            <w:pPr>
              <w:suppressAutoHyphens/>
              <w:spacing w:after="0" w:line="240" w:lineRule="auto"/>
              <w:ind w:left="113" w:right="113"/>
              <w:jc w:val="center"/>
              <w:rPr>
                <w:rFonts w:ascii="Times New Roman" w:eastAsia="Times New Roman" w:hAnsi="Times New Roman" w:cs="Times New Roman"/>
                <w:b/>
                <w:color w:val="000000"/>
                <w:sz w:val="18"/>
                <w:szCs w:val="18"/>
                <w:lang w:val="ro-RO" w:eastAsia="ar-SA"/>
              </w:rPr>
            </w:pPr>
          </w:p>
        </w:tc>
        <w:tc>
          <w:tcPr>
            <w:tcW w:w="425" w:type="dxa"/>
            <w:shd w:val="clear" w:color="auto" w:fill="auto"/>
            <w:vAlign w:val="center"/>
          </w:tcPr>
          <w:p w14:paraId="60BBD8EB"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o7</w:t>
            </w:r>
          </w:p>
        </w:tc>
        <w:tc>
          <w:tcPr>
            <w:tcW w:w="3186" w:type="dxa"/>
            <w:shd w:val="clear" w:color="auto" w:fill="auto"/>
            <w:vAlign w:val="center"/>
          </w:tcPr>
          <w:p w14:paraId="217D9A98" w14:textId="77777777" w:rsidR="001177AB" w:rsidRPr="00DD6A7A" w:rsidRDefault="001177AB" w:rsidP="006E1CD3">
            <w:pPr>
              <w:suppressAutoHyphens/>
              <w:spacing w:after="0" w:line="276" w:lineRule="auto"/>
              <w:rPr>
                <w:rFonts w:ascii="Times New Roman" w:eastAsia="Times New Roman" w:hAnsi="Times New Roman" w:cs="Times New Roman"/>
                <w:color w:val="000000"/>
                <w:sz w:val="18"/>
                <w:szCs w:val="18"/>
                <w:lang w:val="ro-RO" w:eastAsia="ar-SA"/>
              </w:rPr>
            </w:pPr>
            <w:r w:rsidRPr="00DD6A7A">
              <w:rPr>
                <w:rFonts w:ascii="Times New Roman" w:eastAsia="Times New Roman" w:hAnsi="Times New Roman" w:cs="Times New Roman"/>
                <w:color w:val="000000"/>
                <w:sz w:val="18"/>
                <w:szCs w:val="18"/>
                <w:lang w:val="ro-RO" w:eastAsia="ar-SA"/>
              </w:rPr>
              <w:t>Numărul seminarelor/trainingurilor de informare organizate, inclusiv cu participarea experţilor europeni</w:t>
            </w:r>
          </w:p>
        </w:tc>
        <w:tc>
          <w:tcPr>
            <w:tcW w:w="944" w:type="dxa"/>
            <w:shd w:val="clear" w:color="auto" w:fill="auto"/>
            <w:vAlign w:val="center"/>
          </w:tcPr>
          <w:p w14:paraId="6AA09048" w14:textId="77777777" w:rsidR="001177AB" w:rsidRPr="00DD6A7A" w:rsidRDefault="001177AB" w:rsidP="006E1CD3">
            <w:pPr>
              <w:suppressAutoHyphens/>
              <w:spacing w:after="0" w:line="240" w:lineRule="auto"/>
              <w:jc w:val="center"/>
              <w:rPr>
                <w:rFonts w:ascii="Times New Roman" w:eastAsia="Times New Roman" w:hAnsi="Times New Roman" w:cs="Times New Roman"/>
                <w:sz w:val="18"/>
                <w:szCs w:val="18"/>
                <w:lang w:val="ro-RO" w:eastAsia="ar-SA"/>
              </w:rPr>
            </w:pPr>
            <w:r w:rsidRPr="00DD6A7A">
              <w:rPr>
                <w:rFonts w:ascii="Times New Roman" w:eastAsia="Times New Roman" w:hAnsi="Times New Roman" w:cs="Times New Roman"/>
                <w:b/>
                <w:color w:val="000000"/>
                <w:sz w:val="18"/>
                <w:szCs w:val="18"/>
                <w:lang w:val="ro-RO" w:eastAsia="ar-SA"/>
              </w:rPr>
              <w:t>unităţi</w:t>
            </w:r>
          </w:p>
        </w:tc>
        <w:tc>
          <w:tcPr>
            <w:tcW w:w="903" w:type="dxa"/>
            <w:shd w:val="clear" w:color="auto" w:fill="auto"/>
            <w:vAlign w:val="center"/>
          </w:tcPr>
          <w:p w14:paraId="2CCC1CE8"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50</w:t>
            </w:r>
          </w:p>
        </w:tc>
        <w:tc>
          <w:tcPr>
            <w:tcW w:w="993" w:type="dxa"/>
            <w:shd w:val="clear" w:color="auto" w:fill="auto"/>
            <w:vAlign w:val="center"/>
          </w:tcPr>
          <w:p w14:paraId="2D7DC8B3"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14</w:t>
            </w:r>
          </w:p>
        </w:tc>
        <w:tc>
          <w:tcPr>
            <w:tcW w:w="1203" w:type="dxa"/>
            <w:shd w:val="clear" w:color="auto" w:fill="auto"/>
            <w:vAlign w:val="center"/>
          </w:tcPr>
          <w:p w14:paraId="4D893B64"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-36</w:t>
            </w:r>
          </w:p>
        </w:tc>
        <w:tc>
          <w:tcPr>
            <w:tcW w:w="1281" w:type="dxa"/>
            <w:shd w:val="clear" w:color="auto" w:fill="auto"/>
            <w:vAlign w:val="center"/>
          </w:tcPr>
          <w:p w14:paraId="24B8464B"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r>
      <w:tr w:rsidR="001177AB" w:rsidRPr="00DD6A7A" w14:paraId="7069B190" w14:textId="77777777" w:rsidTr="009A3743">
        <w:trPr>
          <w:trHeight w:val="370"/>
        </w:trPr>
        <w:tc>
          <w:tcPr>
            <w:tcW w:w="846" w:type="dxa"/>
            <w:vMerge/>
            <w:shd w:val="clear" w:color="auto" w:fill="auto"/>
            <w:textDirection w:val="btLr"/>
            <w:vAlign w:val="center"/>
          </w:tcPr>
          <w:p w14:paraId="1DC8CEFF" w14:textId="77777777" w:rsidR="001177AB" w:rsidRPr="00DD6A7A" w:rsidRDefault="001177AB" w:rsidP="006E1CD3">
            <w:pPr>
              <w:suppressAutoHyphens/>
              <w:spacing w:after="0" w:line="240" w:lineRule="auto"/>
              <w:ind w:left="113" w:right="113"/>
              <w:jc w:val="center"/>
              <w:rPr>
                <w:rFonts w:ascii="Times New Roman" w:eastAsia="Times New Roman" w:hAnsi="Times New Roman" w:cs="Times New Roman"/>
                <w:b/>
                <w:color w:val="000000"/>
                <w:sz w:val="18"/>
                <w:szCs w:val="18"/>
                <w:lang w:val="ro-RO" w:eastAsia="ar-SA"/>
              </w:rPr>
            </w:pPr>
          </w:p>
        </w:tc>
        <w:tc>
          <w:tcPr>
            <w:tcW w:w="425" w:type="dxa"/>
            <w:shd w:val="clear" w:color="auto" w:fill="auto"/>
            <w:vAlign w:val="center"/>
          </w:tcPr>
          <w:p w14:paraId="3BB9E07B"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o8</w:t>
            </w:r>
          </w:p>
        </w:tc>
        <w:tc>
          <w:tcPr>
            <w:tcW w:w="3186" w:type="dxa"/>
            <w:shd w:val="clear" w:color="auto" w:fill="auto"/>
            <w:vAlign w:val="center"/>
          </w:tcPr>
          <w:p w14:paraId="64E5B256" w14:textId="77777777" w:rsidR="001177AB" w:rsidRPr="00DD6A7A" w:rsidRDefault="001177AB" w:rsidP="006E1CD3">
            <w:pPr>
              <w:suppressAutoHyphens/>
              <w:spacing w:after="0" w:line="276" w:lineRule="auto"/>
              <w:rPr>
                <w:rFonts w:ascii="Times New Roman" w:eastAsia="Times New Roman" w:hAnsi="Times New Roman" w:cs="Times New Roman"/>
                <w:color w:val="000000"/>
                <w:sz w:val="18"/>
                <w:szCs w:val="18"/>
                <w:lang w:val="ro-RO" w:eastAsia="ar-SA"/>
              </w:rPr>
            </w:pPr>
            <w:r w:rsidRPr="00DD6A7A">
              <w:rPr>
                <w:rFonts w:ascii="Times New Roman" w:eastAsia="Times New Roman" w:hAnsi="Times New Roman" w:cs="Times New Roman"/>
                <w:color w:val="000000"/>
                <w:sz w:val="18"/>
                <w:szCs w:val="18"/>
                <w:lang w:val="ro-RO" w:eastAsia="ar-SA"/>
              </w:rPr>
              <w:t>Numărul Acordurilor încheiate de Republica Moldova cu Uniunea Europeană</w:t>
            </w:r>
          </w:p>
        </w:tc>
        <w:tc>
          <w:tcPr>
            <w:tcW w:w="944" w:type="dxa"/>
            <w:shd w:val="clear" w:color="auto" w:fill="auto"/>
          </w:tcPr>
          <w:p w14:paraId="5AF77D69" w14:textId="77777777" w:rsidR="001177AB" w:rsidRPr="00DD6A7A" w:rsidRDefault="001177AB" w:rsidP="006E1CD3">
            <w:pPr>
              <w:suppressAutoHyphens/>
              <w:spacing w:after="0" w:line="240" w:lineRule="auto"/>
              <w:jc w:val="center"/>
              <w:rPr>
                <w:rFonts w:ascii="Times New Roman" w:eastAsia="Times New Roman" w:hAnsi="Times New Roman" w:cs="Times New Roman"/>
                <w:sz w:val="18"/>
                <w:szCs w:val="18"/>
                <w:lang w:val="ro-RO" w:eastAsia="ar-SA"/>
              </w:rPr>
            </w:pPr>
            <w:r w:rsidRPr="00DD6A7A">
              <w:rPr>
                <w:rFonts w:ascii="Times New Roman" w:eastAsia="Times New Roman" w:hAnsi="Times New Roman" w:cs="Times New Roman"/>
                <w:b/>
                <w:color w:val="000000"/>
                <w:sz w:val="18"/>
                <w:szCs w:val="18"/>
                <w:lang w:val="ro-RO" w:eastAsia="ar-SA"/>
              </w:rPr>
              <w:t>unităţi</w:t>
            </w:r>
          </w:p>
        </w:tc>
        <w:tc>
          <w:tcPr>
            <w:tcW w:w="903" w:type="dxa"/>
            <w:shd w:val="clear" w:color="auto" w:fill="auto"/>
            <w:vAlign w:val="center"/>
          </w:tcPr>
          <w:p w14:paraId="6392FBC3"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c>
          <w:tcPr>
            <w:tcW w:w="993" w:type="dxa"/>
            <w:shd w:val="clear" w:color="auto" w:fill="auto"/>
            <w:vAlign w:val="center"/>
          </w:tcPr>
          <w:p w14:paraId="18D140C8"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c>
          <w:tcPr>
            <w:tcW w:w="1203" w:type="dxa"/>
            <w:shd w:val="clear" w:color="auto" w:fill="auto"/>
            <w:vAlign w:val="center"/>
          </w:tcPr>
          <w:p w14:paraId="2EAF0370"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c>
          <w:tcPr>
            <w:tcW w:w="1281" w:type="dxa"/>
            <w:shd w:val="clear" w:color="auto" w:fill="auto"/>
            <w:vAlign w:val="center"/>
          </w:tcPr>
          <w:p w14:paraId="0B239DCE"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r>
      <w:tr w:rsidR="001177AB" w:rsidRPr="00DD6A7A" w14:paraId="343316AC" w14:textId="77777777" w:rsidTr="009A3743">
        <w:trPr>
          <w:trHeight w:val="340"/>
        </w:trPr>
        <w:tc>
          <w:tcPr>
            <w:tcW w:w="846" w:type="dxa"/>
            <w:vMerge w:val="restart"/>
            <w:shd w:val="clear" w:color="auto" w:fill="auto"/>
            <w:vAlign w:val="center"/>
          </w:tcPr>
          <w:p w14:paraId="21CDD754"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De eficiență</w:t>
            </w:r>
          </w:p>
        </w:tc>
        <w:tc>
          <w:tcPr>
            <w:tcW w:w="425" w:type="dxa"/>
            <w:shd w:val="clear" w:color="auto" w:fill="auto"/>
            <w:vAlign w:val="center"/>
          </w:tcPr>
          <w:p w14:paraId="70CA6849"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e4</w:t>
            </w:r>
          </w:p>
        </w:tc>
        <w:tc>
          <w:tcPr>
            <w:tcW w:w="3186" w:type="dxa"/>
            <w:shd w:val="clear" w:color="auto" w:fill="auto"/>
            <w:vAlign w:val="center"/>
          </w:tcPr>
          <w:p w14:paraId="200FB042" w14:textId="77777777" w:rsidR="001177AB" w:rsidRPr="00DD6A7A" w:rsidRDefault="001177AB" w:rsidP="006E1CD3">
            <w:pPr>
              <w:suppressAutoHyphens/>
              <w:spacing w:after="0" w:line="276" w:lineRule="auto"/>
              <w:rPr>
                <w:rFonts w:ascii="Times New Roman" w:eastAsia="Times New Roman" w:hAnsi="Times New Roman" w:cs="Times New Roman"/>
                <w:sz w:val="18"/>
                <w:szCs w:val="18"/>
                <w:lang w:val="ro-RO" w:eastAsia="nl-NL"/>
              </w:rPr>
            </w:pPr>
            <w:r w:rsidRPr="00DD6A7A">
              <w:rPr>
                <w:rFonts w:ascii="Times New Roman" w:eastAsia="Times New Roman" w:hAnsi="Times New Roman" w:cs="Times New Roman"/>
                <w:sz w:val="18"/>
                <w:szCs w:val="18"/>
                <w:lang w:val="ro-RO" w:eastAsia="nl-NL"/>
              </w:rPr>
              <w:t>Cheltuieli necesare pentru organizarea unei acţiuni de promovare a noţiunilor de "date cu caracter personal" şi "viaţă privată", precum şi a principiilor de protecţie a datelor cu caracter personal</w:t>
            </w:r>
          </w:p>
        </w:tc>
        <w:tc>
          <w:tcPr>
            <w:tcW w:w="944" w:type="dxa"/>
            <w:shd w:val="clear" w:color="auto" w:fill="auto"/>
            <w:vAlign w:val="center"/>
          </w:tcPr>
          <w:p w14:paraId="14E991A5"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lei/unitate</w:t>
            </w:r>
          </w:p>
        </w:tc>
        <w:tc>
          <w:tcPr>
            <w:tcW w:w="903" w:type="dxa"/>
            <w:shd w:val="clear" w:color="auto" w:fill="auto"/>
            <w:vAlign w:val="center"/>
          </w:tcPr>
          <w:p w14:paraId="5F852D39"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3000</w:t>
            </w:r>
          </w:p>
        </w:tc>
        <w:tc>
          <w:tcPr>
            <w:tcW w:w="993" w:type="dxa"/>
            <w:shd w:val="clear" w:color="auto" w:fill="auto"/>
            <w:vAlign w:val="center"/>
          </w:tcPr>
          <w:p w14:paraId="1324CC16"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3599</w:t>
            </w:r>
          </w:p>
        </w:tc>
        <w:tc>
          <w:tcPr>
            <w:tcW w:w="1203" w:type="dxa"/>
            <w:shd w:val="clear" w:color="auto" w:fill="auto"/>
            <w:vAlign w:val="center"/>
          </w:tcPr>
          <w:p w14:paraId="05B61C72"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+599</w:t>
            </w:r>
          </w:p>
        </w:tc>
        <w:tc>
          <w:tcPr>
            <w:tcW w:w="1281" w:type="dxa"/>
            <w:shd w:val="clear" w:color="auto" w:fill="auto"/>
            <w:vAlign w:val="center"/>
          </w:tcPr>
          <w:p w14:paraId="366DFA96"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r>
      <w:tr w:rsidR="001177AB" w:rsidRPr="00DD6A7A" w14:paraId="15D274B1" w14:textId="77777777" w:rsidTr="009A3743">
        <w:trPr>
          <w:trHeight w:val="340"/>
        </w:trPr>
        <w:tc>
          <w:tcPr>
            <w:tcW w:w="846" w:type="dxa"/>
            <w:vMerge/>
            <w:shd w:val="clear" w:color="auto" w:fill="auto"/>
            <w:vAlign w:val="center"/>
          </w:tcPr>
          <w:p w14:paraId="26F99795"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425" w:type="dxa"/>
            <w:shd w:val="clear" w:color="auto" w:fill="auto"/>
            <w:vAlign w:val="center"/>
          </w:tcPr>
          <w:p w14:paraId="5038F376"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e5</w:t>
            </w:r>
          </w:p>
        </w:tc>
        <w:tc>
          <w:tcPr>
            <w:tcW w:w="3186" w:type="dxa"/>
            <w:shd w:val="clear" w:color="auto" w:fill="auto"/>
            <w:vAlign w:val="center"/>
          </w:tcPr>
          <w:p w14:paraId="33E0E8E2" w14:textId="77777777" w:rsidR="001177AB" w:rsidRPr="00DD6A7A" w:rsidRDefault="001177AB" w:rsidP="006E1CD3">
            <w:pPr>
              <w:suppressAutoHyphens/>
              <w:spacing w:after="0" w:line="276" w:lineRule="auto"/>
              <w:rPr>
                <w:rFonts w:ascii="Times New Roman" w:eastAsia="Times New Roman" w:hAnsi="Times New Roman" w:cs="Times New Roman"/>
                <w:sz w:val="18"/>
                <w:szCs w:val="18"/>
                <w:lang w:val="ro-RO" w:eastAsia="nl-NL"/>
              </w:rPr>
            </w:pPr>
            <w:r w:rsidRPr="00DD6A7A">
              <w:rPr>
                <w:rFonts w:ascii="Times New Roman" w:eastAsia="Times New Roman" w:hAnsi="Times New Roman" w:cs="Times New Roman"/>
                <w:sz w:val="18"/>
                <w:szCs w:val="18"/>
                <w:lang w:val="ro-RO" w:eastAsia="nl-NL"/>
              </w:rPr>
              <w:t>Timpul necesar elaborării instrucțiunilor sectoriale privind prelucrarea datelor cu caracter personal</w:t>
            </w:r>
          </w:p>
        </w:tc>
        <w:tc>
          <w:tcPr>
            <w:tcW w:w="944" w:type="dxa"/>
            <w:shd w:val="clear" w:color="auto" w:fill="auto"/>
            <w:vAlign w:val="center"/>
          </w:tcPr>
          <w:p w14:paraId="5652F8F9"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ore/instrucțiune</w:t>
            </w:r>
          </w:p>
        </w:tc>
        <w:tc>
          <w:tcPr>
            <w:tcW w:w="903" w:type="dxa"/>
            <w:shd w:val="clear" w:color="auto" w:fill="auto"/>
            <w:vAlign w:val="center"/>
          </w:tcPr>
          <w:p w14:paraId="48263E40"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440</w:t>
            </w:r>
          </w:p>
        </w:tc>
        <w:tc>
          <w:tcPr>
            <w:tcW w:w="993" w:type="dxa"/>
            <w:shd w:val="clear" w:color="auto" w:fill="auto"/>
            <w:vAlign w:val="center"/>
          </w:tcPr>
          <w:p w14:paraId="7E2EF643"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2</w:t>
            </w:r>
          </w:p>
        </w:tc>
        <w:tc>
          <w:tcPr>
            <w:tcW w:w="1203" w:type="dxa"/>
            <w:shd w:val="clear" w:color="auto" w:fill="auto"/>
            <w:vAlign w:val="center"/>
          </w:tcPr>
          <w:p w14:paraId="6AAA6073"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-438</w:t>
            </w:r>
          </w:p>
        </w:tc>
        <w:tc>
          <w:tcPr>
            <w:tcW w:w="1281" w:type="dxa"/>
            <w:shd w:val="clear" w:color="auto" w:fill="auto"/>
            <w:vAlign w:val="center"/>
          </w:tcPr>
          <w:p w14:paraId="2542FC36"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r>
      <w:tr w:rsidR="001177AB" w:rsidRPr="00DD6A7A" w14:paraId="55C4C68D" w14:textId="77777777" w:rsidTr="001208C3">
        <w:trPr>
          <w:trHeight w:val="340"/>
        </w:trPr>
        <w:tc>
          <w:tcPr>
            <w:tcW w:w="4457" w:type="dxa"/>
            <w:gridSpan w:val="3"/>
            <w:shd w:val="clear" w:color="auto" w:fill="auto"/>
            <w:vAlign w:val="center"/>
          </w:tcPr>
          <w:p w14:paraId="45D3724F" w14:textId="77777777" w:rsidR="001177AB" w:rsidRPr="00DD6A7A" w:rsidRDefault="001177AB" w:rsidP="006E1CD3">
            <w:pPr>
              <w:suppressAutoHyphens/>
              <w:spacing w:after="0" w:line="276" w:lineRule="auto"/>
              <w:rPr>
                <w:rFonts w:ascii="Times New Roman" w:eastAsia="Times New Roman" w:hAnsi="Times New Roman" w:cs="Times New Roman"/>
                <w:sz w:val="18"/>
                <w:szCs w:val="18"/>
                <w:lang w:val="ro-RO" w:eastAsia="nl-NL"/>
              </w:rPr>
            </w:pPr>
            <w:r w:rsidRPr="00DD6A7A">
              <w:rPr>
                <w:rFonts w:ascii="Times New Roman" w:eastAsia="Times New Roman" w:hAnsi="Times New Roman" w:cs="Times New Roman"/>
                <w:b/>
                <w:color w:val="000000"/>
                <w:sz w:val="18"/>
                <w:szCs w:val="18"/>
                <w:lang w:val="ro-RO" w:eastAsia="ar-SA"/>
              </w:rPr>
              <w:t>Cheltuieli, mii lei</w:t>
            </w:r>
          </w:p>
        </w:tc>
        <w:tc>
          <w:tcPr>
            <w:tcW w:w="944" w:type="dxa"/>
            <w:shd w:val="clear" w:color="auto" w:fill="auto"/>
            <w:vAlign w:val="center"/>
          </w:tcPr>
          <w:p w14:paraId="5BD50987"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903" w:type="dxa"/>
            <w:shd w:val="clear" w:color="auto" w:fill="auto"/>
            <w:vAlign w:val="center"/>
          </w:tcPr>
          <w:p w14:paraId="16DB6F2A"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Aprobat</w:t>
            </w:r>
          </w:p>
        </w:tc>
        <w:tc>
          <w:tcPr>
            <w:tcW w:w="993" w:type="dxa"/>
            <w:shd w:val="clear" w:color="auto" w:fill="auto"/>
            <w:vAlign w:val="center"/>
          </w:tcPr>
          <w:p w14:paraId="7B44600B"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Precizat</w:t>
            </w:r>
          </w:p>
        </w:tc>
        <w:tc>
          <w:tcPr>
            <w:tcW w:w="1203" w:type="dxa"/>
            <w:shd w:val="clear" w:color="auto" w:fill="auto"/>
            <w:vAlign w:val="center"/>
          </w:tcPr>
          <w:p w14:paraId="09257245"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Executat</w:t>
            </w:r>
          </w:p>
        </w:tc>
        <w:tc>
          <w:tcPr>
            <w:tcW w:w="1281" w:type="dxa"/>
            <w:shd w:val="clear" w:color="auto" w:fill="auto"/>
            <w:vAlign w:val="center"/>
          </w:tcPr>
          <w:p w14:paraId="7C9D86AC"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Devieri -+</w:t>
            </w:r>
          </w:p>
          <w:p w14:paraId="42446ADF"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(7-6)</w:t>
            </w:r>
          </w:p>
        </w:tc>
      </w:tr>
      <w:tr w:rsidR="001177AB" w:rsidRPr="00DD6A7A" w14:paraId="4DD6C6D6" w14:textId="77777777" w:rsidTr="001208C3">
        <w:trPr>
          <w:trHeight w:val="340"/>
        </w:trPr>
        <w:tc>
          <w:tcPr>
            <w:tcW w:w="4457" w:type="dxa"/>
            <w:gridSpan w:val="3"/>
            <w:shd w:val="clear" w:color="auto" w:fill="auto"/>
            <w:vAlign w:val="center"/>
          </w:tcPr>
          <w:p w14:paraId="7901EB62" w14:textId="77777777" w:rsidR="001177AB" w:rsidRPr="00DD6A7A" w:rsidRDefault="001177AB" w:rsidP="006E1CD3">
            <w:pPr>
              <w:suppressAutoHyphens/>
              <w:spacing w:after="0" w:line="276" w:lineRule="auto"/>
              <w:rPr>
                <w:rFonts w:ascii="Times New Roman" w:eastAsia="Times New Roman" w:hAnsi="Times New Roman" w:cs="Times New Roman"/>
                <w:sz w:val="18"/>
                <w:szCs w:val="18"/>
                <w:lang w:val="ro-RO" w:eastAsia="nl-NL"/>
              </w:rPr>
            </w:pPr>
          </w:p>
        </w:tc>
        <w:tc>
          <w:tcPr>
            <w:tcW w:w="944" w:type="dxa"/>
            <w:shd w:val="clear" w:color="auto" w:fill="auto"/>
            <w:vAlign w:val="center"/>
          </w:tcPr>
          <w:p w14:paraId="59AFF879"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903" w:type="dxa"/>
            <w:shd w:val="clear" w:color="auto" w:fill="auto"/>
            <w:vAlign w:val="center"/>
          </w:tcPr>
          <w:p w14:paraId="4EDC2D1F"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7907,9</w:t>
            </w:r>
          </w:p>
        </w:tc>
        <w:tc>
          <w:tcPr>
            <w:tcW w:w="993" w:type="dxa"/>
            <w:shd w:val="clear" w:color="auto" w:fill="auto"/>
            <w:vAlign w:val="center"/>
          </w:tcPr>
          <w:p w14:paraId="6FBBDF11"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8385,9</w:t>
            </w:r>
          </w:p>
        </w:tc>
        <w:tc>
          <w:tcPr>
            <w:tcW w:w="1203" w:type="dxa"/>
            <w:shd w:val="clear" w:color="auto" w:fill="auto"/>
            <w:vAlign w:val="center"/>
          </w:tcPr>
          <w:p w14:paraId="15698318"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7583,4</w:t>
            </w:r>
          </w:p>
        </w:tc>
        <w:tc>
          <w:tcPr>
            <w:tcW w:w="1281" w:type="dxa"/>
            <w:shd w:val="clear" w:color="auto" w:fill="auto"/>
            <w:vAlign w:val="center"/>
          </w:tcPr>
          <w:p w14:paraId="0BD6E333"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-802,6</w:t>
            </w:r>
          </w:p>
        </w:tc>
      </w:tr>
    </w:tbl>
    <w:p w14:paraId="4396D922" w14:textId="77777777" w:rsidR="001177AB" w:rsidRPr="00DD6A7A" w:rsidRDefault="001177AB" w:rsidP="001177AB">
      <w:pPr>
        <w:suppressAutoHyphens/>
        <w:spacing w:after="0" w:line="240" w:lineRule="auto"/>
        <w:rPr>
          <w:rFonts w:ascii="Times New Roman" w:eastAsia="Times New Roman" w:hAnsi="Times New Roman" w:cs="Times New Roman"/>
          <w:sz w:val="20"/>
          <w:szCs w:val="20"/>
          <w:lang w:val="ro-RO" w:eastAsia="ar-SA"/>
        </w:rPr>
      </w:pPr>
    </w:p>
    <w:p w14:paraId="0D14BB95" w14:textId="77777777" w:rsidR="001177AB" w:rsidRPr="00DD6A7A" w:rsidRDefault="001177AB" w:rsidP="001177AB">
      <w:pPr>
        <w:suppressAutoHyphens/>
        <w:spacing w:after="0" w:line="240" w:lineRule="auto"/>
        <w:rPr>
          <w:rFonts w:ascii="Times New Roman" w:eastAsia="Times New Roman" w:hAnsi="Times New Roman" w:cs="Times New Roman"/>
          <w:sz w:val="20"/>
          <w:szCs w:val="20"/>
          <w:lang w:val="ro-RO" w:eastAsia="ar-SA"/>
        </w:rPr>
      </w:pPr>
    </w:p>
    <w:tbl>
      <w:tblPr>
        <w:tblW w:w="98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
        <w:gridCol w:w="3455"/>
        <w:gridCol w:w="992"/>
        <w:gridCol w:w="850"/>
        <w:gridCol w:w="1128"/>
        <w:gridCol w:w="857"/>
        <w:gridCol w:w="1169"/>
      </w:tblGrid>
      <w:tr w:rsidR="001177AB" w:rsidRPr="00DD6A7A" w14:paraId="4D61D847" w14:textId="77777777" w:rsidTr="00280524">
        <w:trPr>
          <w:trHeight w:val="461"/>
        </w:trPr>
        <w:tc>
          <w:tcPr>
            <w:tcW w:w="9869" w:type="dxa"/>
            <w:gridSpan w:val="8"/>
            <w:shd w:val="clear" w:color="auto" w:fill="auto"/>
            <w:noWrap/>
            <w:vAlign w:val="center"/>
          </w:tcPr>
          <w:p w14:paraId="6F6CE884" w14:textId="77777777" w:rsidR="001177AB" w:rsidRPr="00DD6A7A" w:rsidRDefault="001177AB" w:rsidP="006E1CD3">
            <w:pPr>
              <w:suppressAutoHyphens/>
              <w:spacing w:after="0" w:line="240" w:lineRule="auto"/>
              <w:jc w:val="center"/>
              <w:rPr>
                <w:rFonts w:ascii="Times New Roman" w:eastAsia="Times New Roman" w:hAnsi="Times New Roman" w:cs="Times New Roman"/>
                <w:b/>
                <w:bCs/>
                <w:color w:val="000000"/>
                <w:sz w:val="18"/>
                <w:szCs w:val="18"/>
                <w:lang w:val="ro-RO" w:eastAsia="ar-SA"/>
              </w:rPr>
            </w:pPr>
            <w:r w:rsidRPr="00DD6A7A">
              <w:rPr>
                <w:rFonts w:ascii="Times New Roman" w:eastAsia="Times New Roman" w:hAnsi="Times New Roman" w:cs="Times New Roman"/>
                <w:b/>
                <w:sz w:val="18"/>
                <w:szCs w:val="18"/>
                <w:lang w:val="ro-RO" w:eastAsia="ar-SA"/>
              </w:rPr>
              <w:t>Raport de performanță</w:t>
            </w:r>
            <w:r w:rsidRPr="00DD6A7A">
              <w:rPr>
                <w:rFonts w:ascii="Times New Roman" w:eastAsia="Times New Roman" w:hAnsi="Times New Roman" w:cs="Times New Roman"/>
                <w:b/>
                <w:sz w:val="18"/>
                <w:szCs w:val="18"/>
                <w:vertAlign w:val="superscript"/>
                <w:lang w:val="ro-RO" w:eastAsia="ar-SA"/>
              </w:rPr>
              <w:t xml:space="preserve"> </w:t>
            </w:r>
            <w:r w:rsidRPr="00DD6A7A">
              <w:rPr>
                <w:rFonts w:ascii="Times New Roman" w:eastAsia="Times New Roman" w:hAnsi="Times New Roman" w:cs="Times New Roman"/>
                <w:b/>
                <w:sz w:val="18"/>
                <w:szCs w:val="18"/>
                <w:lang w:val="ro-RO" w:eastAsia="ar-SA"/>
              </w:rPr>
              <w:t xml:space="preserve">al </w:t>
            </w:r>
            <w:r w:rsidRPr="00DD6A7A">
              <w:rPr>
                <w:rFonts w:ascii="Times New Roman" w:eastAsia="Times New Roman" w:hAnsi="Times New Roman" w:cs="Times New Roman"/>
                <w:b/>
                <w:bCs/>
                <w:color w:val="000000"/>
                <w:sz w:val="18"/>
                <w:szCs w:val="18"/>
                <w:lang w:val="ro-RO" w:eastAsia="ar-SA"/>
              </w:rPr>
              <w:t>Centrului Național pentru Protecția Datelor cu Caracter Personal</w:t>
            </w:r>
          </w:p>
          <w:p w14:paraId="4021024B" w14:textId="77777777" w:rsidR="001177AB" w:rsidRPr="00DD6A7A" w:rsidRDefault="001177AB" w:rsidP="006E1CD3">
            <w:pPr>
              <w:suppressAutoHyphens/>
              <w:spacing w:after="0" w:line="240" w:lineRule="auto"/>
              <w:jc w:val="center"/>
              <w:rPr>
                <w:rFonts w:ascii="Times New Roman" w:eastAsia="Times New Roman" w:hAnsi="Times New Roman" w:cs="Times New Roman"/>
                <w:b/>
                <w:sz w:val="18"/>
                <w:szCs w:val="18"/>
                <w:vertAlign w:val="superscript"/>
                <w:lang w:val="ro-RO" w:eastAsia="ar-SA"/>
              </w:rPr>
            </w:pPr>
            <w:r w:rsidRPr="00DD6A7A">
              <w:rPr>
                <w:rFonts w:ascii="Times New Roman" w:eastAsia="Times New Roman" w:hAnsi="Times New Roman" w:cs="Times New Roman"/>
                <w:b/>
                <w:sz w:val="18"/>
                <w:szCs w:val="18"/>
                <w:lang w:val="ro-RO" w:eastAsia="ar-SA"/>
              </w:rPr>
              <w:t>la situația din 31 decembrie 2019</w:t>
            </w:r>
          </w:p>
        </w:tc>
      </w:tr>
      <w:tr w:rsidR="001177AB" w:rsidRPr="00DD6A7A" w14:paraId="1E75FFDB" w14:textId="77777777" w:rsidTr="00D4082B">
        <w:trPr>
          <w:trHeight w:val="27"/>
        </w:trPr>
        <w:tc>
          <w:tcPr>
            <w:tcW w:w="993" w:type="dxa"/>
            <w:vMerge w:val="restart"/>
            <w:shd w:val="clear" w:color="auto" w:fill="00B0F0"/>
            <w:vAlign w:val="center"/>
          </w:tcPr>
          <w:p w14:paraId="3DB2FE40"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Categoria</w:t>
            </w:r>
          </w:p>
        </w:tc>
        <w:tc>
          <w:tcPr>
            <w:tcW w:w="425" w:type="dxa"/>
            <w:vMerge w:val="restart"/>
            <w:shd w:val="clear" w:color="auto" w:fill="00B0F0"/>
            <w:vAlign w:val="center"/>
          </w:tcPr>
          <w:p w14:paraId="16D0AAA7"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 xml:space="preserve">Cod </w:t>
            </w:r>
          </w:p>
        </w:tc>
        <w:tc>
          <w:tcPr>
            <w:tcW w:w="3455" w:type="dxa"/>
            <w:vMerge w:val="restart"/>
            <w:shd w:val="clear" w:color="auto" w:fill="00B0F0"/>
            <w:vAlign w:val="center"/>
          </w:tcPr>
          <w:p w14:paraId="5E2F947E"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Denumirea</w:t>
            </w:r>
            <w:r w:rsidRPr="00DD6A7A" w:rsidDel="00D20F90">
              <w:rPr>
                <w:rFonts w:ascii="Times New Roman" w:eastAsia="Times New Roman" w:hAnsi="Times New Roman" w:cs="Times New Roman"/>
                <w:b/>
                <w:color w:val="000000"/>
                <w:sz w:val="18"/>
                <w:szCs w:val="18"/>
                <w:lang w:val="ro-RO" w:eastAsia="ar-SA"/>
              </w:rPr>
              <w:t xml:space="preserve"> </w:t>
            </w:r>
          </w:p>
        </w:tc>
        <w:tc>
          <w:tcPr>
            <w:tcW w:w="992" w:type="dxa"/>
            <w:vMerge w:val="restart"/>
            <w:shd w:val="clear" w:color="auto" w:fill="00B0F0"/>
            <w:vAlign w:val="center"/>
          </w:tcPr>
          <w:p w14:paraId="62609F15"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Unitatea de măsură</w:t>
            </w:r>
          </w:p>
        </w:tc>
        <w:tc>
          <w:tcPr>
            <w:tcW w:w="850" w:type="dxa"/>
            <w:vMerge w:val="restart"/>
            <w:shd w:val="clear" w:color="auto" w:fill="00B0F0"/>
            <w:vAlign w:val="center"/>
          </w:tcPr>
          <w:p w14:paraId="2FC3C564"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Aprobat</w:t>
            </w:r>
          </w:p>
        </w:tc>
        <w:tc>
          <w:tcPr>
            <w:tcW w:w="1128" w:type="dxa"/>
            <w:vMerge w:val="restart"/>
            <w:shd w:val="clear" w:color="auto" w:fill="00B0F0"/>
            <w:vAlign w:val="center"/>
          </w:tcPr>
          <w:p w14:paraId="0478623A"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Executat</w:t>
            </w:r>
            <w:r w:rsidRPr="00DD6A7A">
              <w:rPr>
                <w:rFonts w:ascii="Times New Roman" w:eastAsia="Times New Roman" w:hAnsi="Times New Roman" w:cs="Times New Roman"/>
                <w:b/>
                <w:sz w:val="18"/>
                <w:szCs w:val="18"/>
                <w:vertAlign w:val="superscript"/>
                <w:lang w:val="ro-RO" w:eastAsia="zh-CN"/>
              </w:rPr>
              <w:t>3</w:t>
            </w:r>
          </w:p>
        </w:tc>
        <w:tc>
          <w:tcPr>
            <w:tcW w:w="2026" w:type="dxa"/>
            <w:gridSpan w:val="2"/>
            <w:shd w:val="clear" w:color="auto" w:fill="00B0F0"/>
            <w:vAlign w:val="center"/>
          </w:tcPr>
          <w:p w14:paraId="195CF6D5"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Devieri</w:t>
            </w:r>
          </w:p>
        </w:tc>
      </w:tr>
      <w:tr w:rsidR="001177AB" w:rsidRPr="00DD6A7A" w14:paraId="2C661A1C" w14:textId="77777777" w:rsidTr="00D4082B">
        <w:trPr>
          <w:trHeight w:val="27"/>
        </w:trPr>
        <w:tc>
          <w:tcPr>
            <w:tcW w:w="993" w:type="dxa"/>
            <w:vMerge/>
            <w:shd w:val="clear" w:color="auto" w:fill="00B0F0"/>
            <w:vAlign w:val="center"/>
          </w:tcPr>
          <w:p w14:paraId="2FE52A0F" w14:textId="77777777" w:rsidR="001177AB" w:rsidRPr="00DD6A7A" w:rsidRDefault="001177AB" w:rsidP="00ED5A00">
            <w:pPr>
              <w:keepNext/>
              <w:numPr>
                <w:ilvl w:val="0"/>
                <w:numId w:val="13"/>
              </w:numPr>
              <w:suppressAutoHyphens/>
              <w:spacing w:after="1960" w:line="240" w:lineRule="auto"/>
              <w:rPr>
                <w:rFonts w:ascii="Times New Roman" w:eastAsia="Times New Roman" w:hAnsi="Times New Roman" w:cs="Times New Roman"/>
                <w:b/>
                <w:color w:val="000000"/>
                <w:sz w:val="18"/>
                <w:szCs w:val="18"/>
                <w:lang w:val="ro-RO" w:eastAsia="ar-SA"/>
              </w:rPr>
            </w:pPr>
          </w:p>
        </w:tc>
        <w:tc>
          <w:tcPr>
            <w:tcW w:w="425" w:type="dxa"/>
            <w:vMerge/>
            <w:shd w:val="clear" w:color="auto" w:fill="00B0F0"/>
            <w:vAlign w:val="center"/>
          </w:tcPr>
          <w:p w14:paraId="058B4F74" w14:textId="77777777" w:rsidR="001177AB" w:rsidRPr="00DD6A7A" w:rsidRDefault="001177AB" w:rsidP="00ED5A00">
            <w:pPr>
              <w:keepNext/>
              <w:numPr>
                <w:ilvl w:val="0"/>
                <w:numId w:val="13"/>
              </w:numPr>
              <w:suppressAutoHyphens/>
              <w:spacing w:after="1960" w:line="240" w:lineRule="auto"/>
              <w:rPr>
                <w:rFonts w:ascii="Times New Roman" w:eastAsia="Times New Roman" w:hAnsi="Times New Roman" w:cs="Times New Roman"/>
                <w:b/>
                <w:color w:val="000000"/>
                <w:sz w:val="18"/>
                <w:szCs w:val="18"/>
                <w:lang w:val="ro-RO" w:eastAsia="ar-SA"/>
              </w:rPr>
            </w:pPr>
          </w:p>
        </w:tc>
        <w:tc>
          <w:tcPr>
            <w:tcW w:w="3455" w:type="dxa"/>
            <w:vMerge/>
            <w:shd w:val="clear" w:color="auto" w:fill="00B0F0"/>
            <w:vAlign w:val="center"/>
          </w:tcPr>
          <w:p w14:paraId="4C73CBFD" w14:textId="77777777" w:rsidR="001177AB" w:rsidRPr="00DD6A7A" w:rsidRDefault="001177AB" w:rsidP="00ED5A00">
            <w:pPr>
              <w:keepNext/>
              <w:numPr>
                <w:ilvl w:val="0"/>
                <w:numId w:val="13"/>
              </w:numPr>
              <w:suppressAutoHyphens/>
              <w:spacing w:after="1960" w:line="240" w:lineRule="auto"/>
              <w:jc w:val="center"/>
              <w:rPr>
                <w:rFonts w:ascii="Times New Roman" w:eastAsia="Times New Roman" w:hAnsi="Times New Roman" w:cs="Times New Roman"/>
                <w:b/>
                <w:color w:val="000000"/>
                <w:sz w:val="18"/>
                <w:szCs w:val="18"/>
                <w:lang w:val="ro-RO" w:eastAsia="ar-SA"/>
              </w:rPr>
            </w:pPr>
          </w:p>
        </w:tc>
        <w:tc>
          <w:tcPr>
            <w:tcW w:w="992" w:type="dxa"/>
            <w:vMerge/>
            <w:shd w:val="clear" w:color="auto" w:fill="00B0F0"/>
            <w:vAlign w:val="center"/>
          </w:tcPr>
          <w:p w14:paraId="11658141" w14:textId="77777777" w:rsidR="001177AB" w:rsidRPr="00DD6A7A" w:rsidRDefault="001177AB" w:rsidP="00ED5A00">
            <w:pPr>
              <w:keepNext/>
              <w:numPr>
                <w:ilvl w:val="0"/>
                <w:numId w:val="13"/>
              </w:numPr>
              <w:suppressAutoHyphens/>
              <w:spacing w:after="1960" w:line="240" w:lineRule="auto"/>
              <w:jc w:val="center"/>
              <w:rPr>
                <w:rFonts w:ascii="Times New Roman" w:eastAsia="Times New Roman" w:hAnsi="Times New Roman" w:cs="Times New Roman"/>
                <w:b/>
                <w:color w:val="000000"/>
                <w:sz w:val="18"/>
                <w:szCs w:val="18"/>
                <w:lang w:val="ro-RO" w:eastAsia="ar-SA"/>
              </w:rPr>
            </w:pPr>
          </w:p>
        </w:tc>
        <w:tc>
          <w:tcPr>
            <w:tcW w:w="850" w:type="dxa"/>
            <w:vMerge/>
            <w:shd w:val="clear" w:color="auto" w:fill="00B0F0"/>
            <w:vAlign w:val="center"/>
          </w:tcPr>
          <w:p w14:paraId="7E1C5401"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1128" w:type="dxa"/>
            <w:vMerge/>
            <w:shd w:val="clear" w:color="auto" w:fill="00B0F0"/>
            <w:vAlign w:val="center"/>
          </w:tcPr>
          <w:p w14:paraId="1FCFAFD0"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857" w:type="dxa"/>
            <w:shd w:val="clear" w:color="auto" w:fill="00B0F0"/>
            <w:vAlign w:val="center"/>
          </w:tcPr>
          <w:p w14:paraId="7D98855E"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Valoarea</w:t>
            </w:r>
          </w:p>
          <w:p w14:paraId="5F4159F0"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 xml:space="preserve">(+/-) </w:t>
            </w:r>
          </w:p>
        </w:tc>
        <w:tc>
          <w:tcPr>
            <w:tcW w:w="1169" w:type="dxa"/>
            <w:shd w:val="clear" w:color="auto" w:fill="00B0F0"/>
            <w:vAlign w:val="center"/>
          </w:tcPr>
          <w:p w14:paraId="69243084"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vertAlign w:val="superscript"/>
                <w:lang w:val="ro-RO" w:eastAsia="ar-SA"/>
              </w:rPr>
            </w:pPr>
            <w:r w:rsidRPr="00DD6A7A">
              <w:rPr>
                <w:rFonts w:ascii="Times New Roman" w:eastAsia="Times New Roman" w:hAnsi="Times New Roman" w:cs="Times New Roman"/>
                <w:b/>
                <w:color w:val="000000"/>
                <w:sz w:val="18"/>
                <w:szCs w:val="18"/>
                <w:lang w:val="ro-RO" w:eastAsia="ar-SA"/>
              </w:rPr>
              <w:t>Explicații</w:t>
            </w:r>
            <w:r w:rsidRPr="00DD6A7A">
              <w:rPr>
                <w:rFonts w:ascii="Times New Roman" w:eastAsia="Times New Roman" w:hAnsi="Times New Roman" w:cs="Times New Roman"/>
                <w:b/>
                <w:color w:val="000000"/>
                <w:sz w:val="18"/>
                <w:szCs w:val="18"/>
                <w:vertAlign w:val="superscript"/>
                <w:lang w:val="ro-RO" w:eastAsia="ar-SA"/>
              </w:rPr>
              <w:t>4</w:t>
            </w:r>
          </w:p>
        </w:tc>
      </w:tr>
      <w:tr w:rsidR="001177AB" w:rsidRPr="00DD6A7A" w14:paraId="435EEFA9" w14:textId="77777777" w:rsidTr="00D25589">
        <w:trPr>
          <w:trHeight w:val="27"/>
        </w:trPr>
        <w:tc>
          <w:tcPr>
            <w:tcW w:w="993" w:type="dxa"/>
            <w:shd w:val="clear" w:color="auto" w:fill="auto"/>
            <w:vAlign w:val="center"/>
          </w:tcPr>
          <w:p w14:paraId="64047C10"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1</w:t>
            </w:r>
          </w:p>
        </w:tc>
        <w:tc>
          <w:tcPr>
            <w:tcW w:w="425" w:type="dxa"/>
            <w:shd w:val="clear" w:color="auto" w:fill="auto"/>
            <w:vAlign w:val="center"/>
          </w:tcPr>
          <w:p w14:paraId="1B184E20"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2</w:t>
            </w:r>
          </w:p>
        </w:tc>
        <w:tc>
          <w:tcPr>
            <w:tcW w:w="3455" w:type="dxa"/>
            <w:shd w:val="clear" w:color="auto" w:fill="auto"/>
            <w:vAlign w:val="bottom"/>
          </w:tcPr>
          <w:p w14:paraId="0E79F313"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3</w:t>
            </w:r>
          </w:p>
        </w:tc>
        <w:tc>
          <w:tcPr>
            <w:tcW w:w="992" w:type="dxa"/>
            <w:shd w:val="clear" w:color="auto" w:fill="auto"/>
            <w:vAlign w:val="center"/>
          </w:tcPr>
          <w:p w14:paraId="776EE462"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4</w:t>
            </w:r>
          </w:p>
        </w:tc>
        <w:tc>
          <w:tcPr>
            <w:tcW w:w="850" w:type="dxa"/>
            <w:shd w:val="clear" w:color="auto" w:fill="auto"/>
            <w:vAlign w:val="center"/>
          </w:tcPr>
          <w:p w14:paraId="743C848D"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5</w:t>
            </w:r>
          </w:p>
        </w:tc>
        <w:tc>
          <w:tcPr>
            <w:tcW w:w="1128" w:type="dxa"/>
            <w:shd w:val="clear" w:color="auto" w:fill="auto"/>
            <w:vAlign w:val="center"/>
          </w:tcPr>
          <w:p w14:paraId="50B6064A"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6</w:t>
            </w:r>
          </w:p>
        </w:tc>
        <w:tc>
          <w:tcPr>
            <w:tcW w:w="857" w:type="dxa"/>
            <w:shd w:val="clear" w:color="auto" w:fill="auto"/>
            <w:vAlign w:val="center"/>
          </w:tcPr>
          <w:p w14:paraId="721C2277"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7(6-5)</w:t>
            </w:r>
          </w:p>
        </w:tc>
        <w:tc>
          <w:tcPr>
            <w:tcW w:w="1169" w:type="dxa"/>
            <w:shd w:val="clear" w:color="auto" w:fill="auto"/>
            <w:vAlign w:val="center"/>
          </w:tcPr>
          <w:p w14:paraId="3C632A6A"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8</w:t>
            </w:r>
          </w:p>
        </w:tc>
      </w:tr>
      <w:tr w:rsidR="001177AB" w:rsidRPr="00DD6A7A" w14:paraId="70AFE32E" w14:textId="77777777" w:rsidTr="00280524">
        <w:trPr>
          <w:trHeight w:val="27"/>
        </w:trPr>
        <w:tc>
          <w:tcPr>
            <w:tcW w:w="9869" w:type="dxa"/>
            <w:gridSpan w:val="8"/>
            <w:shd w:val="clear" w:color="auto" w:fill="auto"/>
          </w:tcPr>
          <w:p w14:paraId="2C1D075A" w14:textId="77777777" w:rsidR="001177AB" w:rsidRPr="00DD6A7A" w:rsidRDefault="001177AB" w:rsidP="006E1CD3">
            <w:pPr>
              <w:tabs>
                <w:tab w:val="left" w:pos="4111"/>
              </w:tabs>
              <w:suppressAutoHyphens/>
              <w:spacing w:after="0" w:line="240" w:lineRule="auto"/>
              <w:rPr>
                <w:rFonts w:ascii="Times New Roman" w:eastAsia="Times New Roman" w:hAnsi="Times New Roman" w:cs="Times New Roman"/>
                <w:b/>
                <w:sz w:val="18"/>
                <w:szCs w:val="18"/>
                <w:lang w:val="ro-RO" w:eastAsia="zh-CN"/>
              </w:rPr>
            </w:pPr>
            <w:r w:rsidRPr="00DD6A7A">
              <w:rPr>
                <w:rFonts w:ascii="Times New Roman" w:eastAsia="Times New Roman" w:hAnsi="Times New Roman" w:cs="Times New Roman"/>
                <w:b/>
                <w:bCs/>
                <w:sz w:val="18"/>
                <w:szCs w:val="18"/>
                <w:lang w:val="ro-RO" w:eastAsia="ar-SA"/>
              </w:rPr>
              <w:t>Program: Edificarea societății informaționale</w:t>
            </w:r>
          </w:p>
        </w:tc>
      </w:tr>
      <w:tr w:rsidR="001177AB" w:rsidRPr="00DD6A7A" w14:paraId="15B2E00A" w14:textId="77777777" w:rsidTr="00280524">
        <w:trPr>
          <w:trHeight w:val="27"/>
        </w:trPr>
        <w:tc>
          <w:tcPr>
            <w:tcW w:w="9869" w:type="dxa"/>
            <w:gridSpan w:val="8"/>
            <w:shd w:val="clear" w:color="auto" w:fill="auto"/>
            <w:vAlign w:val="center"/>
          </w:tcPr>
          <w:p w14:paraId="26AB5399" w14:textId="77777777" w:rsidR="001177AB" w:rsidRPr="00DD6A7A" w:rsidRDefault="001177AB" w:rsidP="006E1CD3">
            <w:pPr>
              <w:suppressAutoHyphens/>
              <w:spacing w:after="0" w:line="240" w:lineRule="auto"/>
              <w:rPr>
                <w:rFonts w:ascii="Times New Roman" w:eastAsia="Times New Roman" w:hAnsi="Times New Roman" w:cs="Times New Roman"/>
                <w:b/>
                <w:bCs/>
                <w:sz w:val="18"/>
                <w:szCs w:val="18"/>
                <w:lang w:val="ro-RO" w:eastAsia="ar-SA"/>
              </w:rPr>
            </w:pPr>
            <w:r w:rsidRPr="00DD6A7A">
              <w:rPr>
                <w:rFonts w:ascii="Times New Roman" w:eastAsia="Times New Roman" w:hAnsi="Times New Roman" w:cs="Times New Roman"/>
                <w:b/>
                <w:color w:val="000000"/>
                <w:sz w:val="18"/>
                <w:szCs w:val="18"/>
                <w:lang w:val="ro-RO" w:eastAsia="ar-SA"/>
              </w:rPr>
              <w:t>Subprogram:  Protecția datelor cu caracter personal</w:t>
            </w:r>
          </w:p>
        </w:tc>
      </w:tr>
      <w:tr w:rsidR="001177AB" w:rsidRPr="00DD6A7A" w14:paraId="431C10AA" w14:textId="77777777" w:rsidTr="00280524">
        <w:trPr>
          <w:trHeight w:val="27"/>
        </w:trPr>
        <w:tc>
          <w:tcPr>
            <w:tcW w:w="9869" w:type="dxa"/>
            <w:gridSpan w:val="8"/>
            <w:shd w:val="clear" w:color="auto" w:fill="auto"/>
          </w:tcPr>
          <w:p w14:paraId="0A498FBE" w14:textId="77777777" w:rsidR="001177AB" w:rsidRPr="00DD6A7A" w:rsidRDefault="001177AB" w:rsidP="006E1CD3">
            <w:pPr>
              <w:suppressAutoHyphens/>
              <w:spacing w:after="0" w:line="240" w:lineRule="auto"/>
              <w:jc w:val="both"/>
              <w:rPr>
                <w:rFonts w:ascii="Times New Roman" w:eastAsia="Times New Roman" w:hAnsi="Times New Roman" w:cs="Times New Roman"/>
                <w:b/>
                <w:sz w:val="18"/>
                <w:szCs w:val="18"/>
                <w:lang w:val="ro-RO" w:eastAsia="zh-CN"/>
              </w:rPr>
            </w:pPr>
            <w:r w:rsidRPr="00DD6A7A">
              <w:rPr>
                <w:rFonts w:ascii="Times New Roman" w:eastAsia="Times New Roman" w:hAnsi="Times New Roman" w:cs="Times New Roman"/>
                <w:b/>
                <w:color w:val="000000"/>
                <w:sz w:val="18"/>
                <w:szCs w:val="18"/>
                <w:lang w:val="ro-RO" w:eastAsia="ar-SA"/>
              </w:rPr>
              <w:t>Scop: </w:t>
            </w:r>
            <w:r w:rsidRPr="00DD6A7A">
              <w:rPr>
                <w:rFonts w:ascii="Times New Roman" w:eastAsia="Times New Roman" w:hAnsi="Times New Roman" w:cs="Times New Roman"/>
                <w:b/>
                <w:sz w:val="18"/>
                <w:szCs w:val="18"/>
                <w:lang w:val="ro-RO" w:eastAsia="ar-SA"/>
              </w:rPr>
              <w:t xml:space="preserve"> Asigurarea unui nivel adecvat de protecție a datelor cu caracter personal în Republica Moldova, conform standardelor europene</w:t>
            </w:r>
          </w:p>
        </w:tc>
      </w:tr>
      <w:tr w:rsidR="001177AB" w:rsidRPr="00DD6A7A" w14:paraId="0034E207" w14:textId="77777777" w:rsidTr="00280524">
        <w:trPr>
          <w:trHeight w:val="27"/>
        </w:trPr>
        <w:tc>
          <w:tcPr>
            <w:tcW w:w="9869" w:type="dxa"/>
            <w:gridSpan w:val="8"/>
            <w:shd w:val="clear" w:color="auto" w:fill="auto"/>
          </w:tcPr>
          <w:p w14:paraId="26B81CC8"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bCs/>
                <w:color w:val="000000"/>
                <w:sz w:val="18"/>
                <w:szCs w:val="18"/>
                <w:lang w:val="ro-RO" w:eastAsia="ar-SA"/>
              </w:rPr>
              <w:t>Indicatori de performanță neexecutați:</w:t>
            </w:r>
          </w:p>
        </w:tc>
      </w:tr>
      <w:tr w:rsidR="001177AB" w:rsidRPr="00DD6A7A" w14:paraId="1F92A895" w14:textId="77777777" w:rsidTr="00280524">
        <w:trPr>
          <w:trHeight w:val="267"/>
        </w:trPr>
        <w:tc>
          <w:tcPr>
            <w:tcW w:w="993" w:type="dxa"/>
            <w:vMerge w:val="restart"/>
            <w:shd w:val="clear" w:color="auto" w:fill="auto"/>
            <w:vAlign w:val="center"/>
          </w:tcPr>
          <w:p w14:paraId="07CFD0F5" w14:textId="77777777" w:rsidR="001177AB" w:rsidRPr="00DD6A7A" w:rsidRDefault="001177AB" w:rsidP="006E1CD3">
            <w:pPr>
              <w:suppressAutoHyphens/>
              <w:spacing w:after="0" w:line="240" w:lineRule="auto"/>
              <w:rPr>
                <w:rFonts w:ascii="Times New Roman" w:eastAsia="Times New Roman" w:hAnsi="Times New Roman" w:cs="Times New Roman"/>
                <w:b/>
                <w:sz w:val="18"/>
                <w:szCs w:val="18"/>
                <w:lang w:val="ro-RO" w:eastAsia="nl-NL"/>
              </w:rPr>
            </w:pPr>
            <w:r w:rsidRPr="00DD6A7A">
              <w:rPr>
                <w:rFonts w:ascii="Times New Roman" w:eastAsia="Times New Roman" w:hAnsi="Times New Roman" w:cs="Times New Roman"/>
                <w:b/>
                <w:sz w:val="18"/>
                <w:szCs w:val="18"/>
                <w:lang w:val="ro-RO" w:eastAsia="nl-NL"/>
              </w:rPr>
              <w:t xml:space="preserve">De rezultat </w:t>
            </w:r>
          </w:p>
        </w:tc>
        <w:tc>
          <w:tcPr>
            <w:tcW w:w="425" w:type="dxa"/>
            <w:shd w:val="clear" w:color="auto" w:fill="auto"/>
            <w:vAlign w:val="center"/>
          </w:tcPr>
          <w:p w14:paraId="4A8FF323" w14:textId="77777777" w:rsidR="001177AB" w:rsidRPr="00DD6A7A" w:rsidRDefault="001177AB" w:rsidP="006E1CD3">
            <w:pPr>
              <w:suppressAutoHyphens/>
              <w:spacing w:after="0" w:line="240" w:lineRule="auto"/>
              <w:rPr>
                <w:rFonts w:ascii="Times New Roman" w:eastAsia="Times New Roman" w:hAnsi="Times New Roman" w:cs="Times New Roman"/>
                <w:b/>
                <w:sz w:val="18"/>
                <w:szCs w:val="18"/>
                <w:lang w:val="ro-RO" w:eastAsia="nl-NL"/>
              </w:rPr>
            </w:pPr>
            <w:r w:rsidRPr="00DD6A7A">
              <w:rPr>
                <w:rFonts w:ascii="Times New Roman" w:eastAsia="Times New Roman" w:hAnsi="Times New Roman" w:cs="Times New Roman"/>
                <w:b/>
                <w:sz w:val="18"/>
                <w:szCs w:val="18"/>
                <w:lang w:val="ro-RO" w:eastAsia="nl-NL"/>
              </w:rPr>
              <w:t>r1</w:t>
            </w:r>
          </w:p>
        </w:tc>
        <w:tc>
          <w:tcPr>
            <w:tcW w:w="3455" w:type="dxa"/>
            <w:shd w:val="clear" w:color="auto" w:fill="auto"/>
            <w:vAlign w:val="bottom"/>
          </w:tcPr>
          <w:p w14:paraId="0F6F6D69" w14:textId="77777777" w:rsidR="001177AB" w:rsidRPr="00DD6A7A" w:rsidRDefault="001177AB" w:rsidP="006E1CD3">
            <w:pPr>
              <w:suppressAutoHyphens/>
              <w:spacing w:after="0" w:line="240" w:lineRule="auto"/>
              <w:jc w:val="both"/>
              <w:rPr>
                <w:rFonts w:ascii="Times New Roman" w:eastAsia="Times New Roman" w:hAnsi="Times New Roman" w:cs="Times New Roman"/>
                <w:color w:val="000000"/>
                <w:sz w:val="18"/>
                <w:szCs w:val="18"/>
                <w:lang w:val="ro-RO" w:eastAsia="ar-SA"/>
              </w:rPr>
            </w:pPr>
            <w:r w:rsidRPr="00DD6A7A">
              <w:rPr>
                <w:rFonts w:ascii="Times New Roman" w:eastAsia="Times New Roman" w:hAnsi="Times New Roman" w:cs="Times New Roman"/>
                <w:sz w:val="18"/>
                <w:szCs w:val="18"/>
                <w:lang w:val="ro-RO" w:eastAsia="nl-NL"/>
              </w:rPr>
              <w:t>Gradul de percepere şi conştientizare de către operatori a necesităţii şi importanţei protecţiei datelor cu caracter personal prelucrate</w:t>
            </w:r>
          </w:p>
        </w:tc>
        <w:tc>
          <w:tcPr>
            <w:tcW w:w="992" w:type="dxa"/>
            <w:shd w:val="clear" w:color="auto" w:fill="auto"/>
            <w:vAlign w:val="center"/>
          </w:tcPr>
          <w:p w14:paraId="40C50852"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c>
          <w:tcPr>
            <w:tcW w:w="850" w:type="dxa"/>
            <w:shd w:val="clear" w:color="auto" w:fill="auto"/>
            <w:vAlign w:val="center"/>
          </w:tcPr>
          <w:p w14:paraId="61DD0DF3"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55</w:t>
            </w:r>
          </w:p>
        </w:tc>
        <w:tc>
          <w:tcPr>
            <w:tcW w:w="1128" w:type="dxa"/>
            <w:shd w:val="clear" w:color="auto" w:fill="auto"/>
            <w:vAlign w:val="center"/>
          </w:tcPr>
          <w:p w14:paraId="786D0D26"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45</w:t>
            </w:r>
          </w:p>
        </w:tc>
        <w:tc>
          <w:tcPr>
            <w:tcW w:w="857" w:type="dxa"/>
            <w:shd w:val="clear" w:color="auto" w:fill="auto"/>
            <w:vAlign w:val="center"/>
          </w:tcPr>
          <w:p w14:paraId="0A9E5DE6"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-10</w:t>
            </w:r>
          </w:p>
        </w:tc>
        <w:tc>
          <w:tcPr>
            <w:tcW w:w="1169" w:type="dxa"/>
            <w:shd w:val="clear" w:color="auto" w:fill="auto"/>
            <w:vAlign w:val="center"/>
          </w:tcPr>
          <w:p w14:paraId="7884F407"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r>
      <w:tr w:rsidR="001177AB" w:rsidRPr="00DD6A7A" w14:paraId="4F9515EA" w14:textId="77777777" w:rsidTr="00280524">
        <w:trPr>
          <w:trHeight w:val="329"/>
        </w:trPr>
        <w:tc>
          <w:tcPr>
            <w:tcW w:w="993" w:type="dxa"/>
            <w:vMerge/>
            <w:shd w:val="clear" w:color="auto" w:fill="auto"/>
            <w:textDirection w:val="btLr"/>
            <w:vAlign w:val="center"/>
          </w:tcPr>
          <w:p w14:paraId="585A0F4E" w14:textId="77777777" w:rsidR="001177AB" w:rsidRPr="00DD6A7A" w:rsidRDefault="001177AB" w:rsidP="006E1CD3">
            <w:pPr>
              <w:suppressAutoHyphens/>
              <w:spacing w:after="0" w:line="240" w:lineRule="auto"/>
              <w:ind w:left="113" w:right="113"/>
              <w:jc w:val="center"/>
              <w:rPr>
                <w:rFonts w:ascii="Times New Roman" w:eastAsia="Times New Roman" w:hAnsi="Times New Roman" w:cs="Times New Roman"/>
                <w:b/>
                <w:color w:val="000000"/>
                <w:sz w:val="18"/>
                <w:szCs w:val="18"/>
                <w:lang w:val="ro-RO" w:eastAsia="ar-SA"/>
              </w:rPr>
            </w:pPr>
          </w:p>
        </w:tc>
        <w:tc>
          <w:tcPr>
            <w:tcW w:w="425" w:type="dxa"/>
            <w:shd w:val="clear" w:color="auto" w:fill="auto"/>
            <w:vAlign w:val="center"/>
          </w:tcPr>
          <w:p w14:paraId="1209FF80" w14:textId="77777777" w:rsidR="001177AB" w:rsidRPr="00DD6A7A" w:rsidRDefault="001177AB" w:rsidP="006E1CD3">
            <w:pPr>
              <w:suppressAutoHyphens/>
              <w:spacing w:after="0" w:line="240" w:lineRule="auto"/>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r2</w:t>
            </w:r>
          </w:p>
        </w:tc>
        <w:tc>
          <w:tcPr>
            <w:tcW w:w="3455" w:type="dxa"/>
            <w:shd w:val="clear" w:color="auto" w:fill="auto"/>
            <w:vAlign w:val="center"/>
          </w:tcPr>
          <w:p w14:paraId="249B9503" w14:textId="77777777" w:rsidR="001177AB" w:rsidRPr="00DD6A7A" w:rsidRDefault="001177AB" w:rsidP="006E1CD3">
            <w:pPr>
              <w:suppressAutoHyphens/>
              <w:spacing w:after="0" w:line="240" w:lineRule="auto"/>
              <w:jc w:val="both"/>
              <w:rPr>
                <w:rFonts w:ascii="Times New Roman" w:eastAsia="Times New Roman" w:hAnsi="Times New Roman" w:cs="Times New Roman"/>
                <w:color w:val="000000"/>
                <w:sz w:val="18"/>
                <w:szCs w:val="18"/>
                <w:lang w:val="ro-RO" w:eastAsia="ar-SA"/>
              </w:rPr>
            </w:pPr>
            <w:r w:rsidRPr="00DD6A7A">
              <w:rPr>
                <w:rFonts w:ascii="Times New Roman" w:eastAsia="Times New Roman" w:hAnsi="Times New Roman" w:cs="Times New Roman"/>
                <w:sz w:val="18"/>
                <w:szCs w:val="18"/>
                <w:lang w:val="ro-RO" w:eastAsia="nl-NL"/>
              </w:rPr>
              <w:t xml:space="preserve">Gradul de recunoaştere internaţională a faptului că Republica Moldova asigură un </w:t>
            </w:r>
            <w:r w:rsidRPr="00DD6A7A">
              <w:rPr>
                <w:rFonts w:ascii="Times New Roman" w:eastAsia="Times New Roman" w:hAnsi="Times New Roman" w:cs="Times New Roman"/>
                <w:sz w:val="18"/>
                <w:szCs w:val="18"/>
                <w:lang w:val="ro-RO" w:eastAsia="nl-NL"/>
              </w:rPr>
              <w:lastRenderedPageBreak/>
              <w:t>nivel adecvat de protecţie a datelor cu caracter personal</w:t>
            </w:r>
          </w:p>
        </w:tc>
        <w:tc>
          <w:tcPr>
            <w:tcW w:w="992" w:type="dxa"/>
            <w:shd w:val="clear" w:color="auto" w:fill="auto"/>
            <w:vAlign w:val="center"/>
          </w:tcPr>
          <w:p w14:paraId="7FB060D0"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lastRenderedPageBreak/>
              <w:t>%</w:t>
            </w:r>
          </w:p>
        </w:tc>
        <w:tc>
          <w:tcPr>
            <w:tcW w:w="850" w:type="dxa"/>
            <w:shd w:val="clear" w:color="auto" w:fill="auto"/>
            <w:vAlign w:val="center"/>
          </w:tcPr>
          <w:p w14:paraId="2C7F0BC4"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90</w:t>
            </w:r>
          </w:p>
        </w:tc>
        <w:tc>
          <w:tcPr>
            <w:tcW w:w="1128" w:type="dxa"/>
            <w:shd w:val="clear" w:color="auto" w:fill="auto"/>
            <w:vAlign w:val="center"/>
          </w:tcPr>
          <w:p w14:paraId="20F32FF4"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10</w:t>
            </w:r>
          </w:p>
        </w:tc>
        <w:tc>
          <w:tcPr>
            <w:tcW w:w="857" w:type="dxa"/>
            <w:shd w:val="clear" w:color="auto" w:fill="auto"/>
            <w:vAlign w:val="center"/>
          </w:tcPr>
          <w:p w14:paraId="2C835DA3"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-80</w:t>
            </w:r>
          </w:p>
        </w:tc>
        <w:tc>
          <w:tcPr>
            <w:tcW w:w="1169" w:type="dxa"/>
            <w:shd w:val="clear" w:color="auto" w:fill="auto"/>
            <w:vAlign w:val="center"/>
          </w:tcPr>
          <w:p w14:paraId="46AC0052"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r>
      <w:tr w:rsidR="001177AB" w:rsidRPr="00DD6A7A" w14:paraId="0EA7072A" w14:textId="77777777" w:rsidTr="00280524">
        <w:trPr>
          <w:trHeight w:val="885"/>
        </w:trPr>
        <w:tc>
          <w:tcPr>
            <w:tcW w:w="993" w:type="dxa"/>
            <w:vMerge/>
            <w:shd w:val="clear" w:color="auto" w:fill="auto"/>
            <w:vAlign w:val="center"/>
          </w:tcPr>
          <w:p w14:paraId="2576A0D4"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425" w:type="dxa"/>
            <w:shd w:val="clear" w:color="auto" w:fill="auto"/>
            <w:vAlign w:val="center"/>
          </w:tcPr>
          <w:p w14:paraId="5304B14B" w14:textId="77777777" w:rsidR="001177AB" w:rsidRPr="00DD6A7A" w:rsidRDefault="001177AB" w:rsidP="006E1CD3">
            <w:pPr>
              <w:suppressAutoHyphens/>
              <w:spacing w:after="0" w:line="240" w:lineRule="auto"/>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r3</w:t>
            </w:r>
          </w:p>
        </w:tc>
        <w:tc>
          <w:tcPr>
            <w:tcW w:w="3455" w:type="dxa"/>
            <w:shd w:val="clear" w:color="auto" w:fill="auto"/>
            <w:vAlign w:val="center"/>
          </w:tcPr>
          <w:p w14:paraId="761260A3" w14:textId="77777777" w:rsidR="001177AB" w:rsidRPr="00DD6A7A" w:rsidRDefault="001177AB" w:rsidP="006E1CD3">
            <w:pPr>
              <w:suppressAutoHyphens/>
              <w:spacing w:after="0" w:line="240" w:lineRule="auto"/>
              <w:jc w:val="both"/>
              <w:rPr>
                <w:rFonts w:ascii="Times New Roman" w:eastAsia="Times New Roman" w:hAnsi="Times New Roman" w:cs="Times New Roman"/>
                <w:sz w:val="18"/>
                <w:szCs w:val="18"/>
                <w:lang w:val="ro-RO" w:eastAsia="nl-NL"/>
              </w:rPr>
            </w:pPr>
            <w:r w:rsidRPr="00DD6A7A">
              <w:rPr>
                <w:rFonts w:ascii="Times New Roman" w:eastAsia="Times New Roman" w:hAnsi="Times New Roman" w:cs="Times New Roman"/>
                <w:sz w:val="18"/>
                <w:szCs w:val="18"/>
                <w:lang w:val="ro-RO" w:eastAsia="nl-NL"/>
              </w:rPr>
              <w:t>Gradul de percepere şi conştientizare de către subiecţi a importanţei dreptului la protecţia datelor cu caracter personal prelucrate</w:t>
            </w:r>
          </w:p>
        </w:tc>
        <w:tc>
          <w:tcPr>
            <w:tcW w:w="992" w:type="dxa"/>
            <w:shd w:val="clear" w:color="auto" w:fill="auto"/>
            <w:vAlign w:val="center"/>
          </w:tcPr>
          <w:p w14:paraId="3A12379D"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c>
          <w:tcPr>
            <w:tcW w:w="850" w:type="dxa"/>
            <w:shd w:val="clear" w:color="auto" w:fill="auto"/>
            <w:vAlign w:val="center"/>
          </w:tcPr>
          <w:p w14:paraId="67EC592D"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35</w:t>
            </w:r>
          </w:p>
        </w:tc>
        <w:tc>
          <w:tcPr>
            <w:tcW w:w="1128" w:type="dxa"/>
            <w:shd w:val="clear" w:color="auto" w:fill="auto"/>
            <w:vAlign w:val="center"/>
          </w:tcPr>
          <w:p w14:paraId="7125F6B3"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30</w:t>
            </w:r>
          </w:p>
        </w:tc>
        <w:tc>
          <w:tcPr>
            <w:tcW w:w="857" w:type="dxa"/>
            <w:shd w:val="clear" w:color="auto" w:fill="auto"/>
            <w:vAlign w:val="center"/>
          </w:tcPr>
          <w:p w14:paraId="58762BAF"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-5</w:t>
            </w:r>
          </w:p>
        </w:tc>
        <w:tc>
          <w:tcPr>
            <w:tcW w:w="1169" w:type="dxa"/>
            <w:shd w:val="clear" w:color="auto" w:fill="auto"/>
            <w:vAlign w:val="center"/>
          </w:tcPr>
          <w:p w14:paraId="4876BFC0"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r>
      <w:tr w:rsidR="001177AB" w:rsidRPr="00DD6A7A" w14:paraId="13DDCD57" w14:textId="77777777" w:rsidTr="00280524">
        <w:trPr>
          <w:trHeight w:val="370"/>
        </w:trPr>
        <w:tc>
          <w:tcPr>
            <w:tcW w:w="993" w:type="dxa"/>
            <w:shd w:val="clear" w:color="auto" w:fill="auto"/>
            <w:vAlign w:val="center"/>
          </w:tcPr>
          <w:p w14:paraId="38CA84A4"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De produs</w:t>
            </w:r>
          </w:p>
        </w:tc>
        <w:tc>
          <w:tcPr>
            <w:tcW w:w="425" w:type="dxa"/>
            <w:shd w:val="clear" w:color="auto" w:fill="auto"/>
          </w:tcPr>
          <w:p w14:paraId="4C4F4BC3" w14:textId="77777777" w:rsidR="001177AB" w:rsidRPr="00DD6A7A" w:rsidRDefault="001177AB" w:rsidP="006E1CD3">
            <w:pPr>
              <w:suppressAutoHyphens/>
              <w:spacing w:after="0" w:line="240" w:lineRule="auto"/>
              <w:rPr>
                <w:rFonts w:ascii="Times New Roman" w:eastAsia="Times New Roman" w:hAnsi="Times New Roman" w:cs="Times New Roman"/>
                <w:sz w:val="18"/>
                <w:szCs w:val="18"/>
                <w:lang w:val="ro-RO" w:eastAsia="ar-SA"/>
              </w:rPr>
            </w:pPr>
            <w:r w:rsidRPr="00DD6A7A">
              <w:rPr>
                <w:rFonts w:ascii="Times New Roman" w:eastAsia="Times New Roman" w:hAnsi="Times New Roman" w:cs="Times New Roman"/>
                <w:b/>
                <w:color w:val="000000"/>
                <w:sz w:val="18"/>
                <w:szCs w:val="18"/>
                <w:lang w:val="ro-RO" w:eastAsia="ar-SA"/>
              </w:rPr>
              <w:t>o4</w:t>
            </w:r>
          </w:p>
        </w:tc>
        <w:tc>
          <w:tcPr>
            <w:tcW w:w="3455" w:type="dxa"/>
            <w:shd w:val="clear" w:color="auto" w:fill="auto"/>
            <w:vAlign w:val="center"/>
          </w:tcPr>
          <w:p w14:paraId="191A5CEC" w14:textId="77777777" w:rsidR="001177AB" w:rsidRPr="00DD6A7A" w:rsidRDefault="001177AB" w:rsidP="006E1CD3">
            <w:pPr>
              <w:suppressAutoHyphens/>
              <w:spacing w:after="0" w:line="240" w:lineRule="auto"/>
              <w:jc w:val="both"/>
              <w:rPr>
                <w:rFonts w:ascii="Times New Roman" w:eastAsia="Times New Roman" w:hAnsi="Times New Roman" w:cs="Times New Roman"/>
                <w:color w:val="000000"/>
                <w:sz w:val="18"/>
                <w:szCs w:val="18"/>
                <w:lang w:val="ro-RO" w:eastAsia="ar-SA"/>
              </w:rPr>
            </w:pPr>
            <w:r w:rsidRPr="00DD6A7A">
              <w:rPr>
                <w:rFonts w:ascii="Times New Roman" w:eastAsia="Times New Roman" w:hAnsi="Times New Roman" w:cs="Times New Roman"/>
                <w:color w:val="000000"/>
                <w:sz w:val="18"/>
                <w:szCs w:val="18"/>
                <w:lang w:val="ro-RO" w:eastAsia="ar-SA"/>
              </w:rPr>
              <w:t>Numărul instrucţiunilor (liniilor directorii) elaborate privind prelucrarea datelor cu caracter personal în diferite sectoare (medical, electoral, educaţional, financiar-bancar, poliţienesc etc.)</w:t>
            </w:r>
          </w:p>
        </w:tc>
        <w:tc>
          <w:tcPr>
            <w:tcW w:w="992" w:type="dxa"/>
            <w:shd w:val="clear" w:color="auto" w:fill="auto"/>
            <w:vAlign w:val="center"/>
          </w:tcPr>
          <w:p w14:paraId="236B7E7C" w14:textId="77777777" w:rsidR="001177AB" w:rsidRPr="00DD6A7A" w:rsidRDefault="001177AB" w:rsidP="006E1CD3">
            <w:pPr>
              <w:suppressAutoHyphens/>
              <w:spacing w:after="0" w:line="240" w:lineRule="auto"/>
              <w:jc w:val="center"/>
              <w:rPr>
                <w:rFonts w:ascii="Times New Roman" w:eastAsia="Times New Roman" w:hAnsi="Times New Roman" w:cs="Times New Roman"/>
                <w:sz w:val="18"/>
                <w:szCs w:val="18"/>
                <w:lang w:val="ro-RO" w:eastAsia="ar-SA"/>
              </w:rPr>
            </w:pPr>
            <w:r w:rsidRPr="00DD6A7A">
              <w:rPr>
                <w:rFonts w:ascii="Times New Roman" w:eastAsia="Times New Roman" w:hAnsi="Times New Roman" w:cs="Times New Roman"/>
                <w:b/>
                <w:color w:val="000000"/>
                <w:sz w:val="18"/>
                <w:szCs w:val="18"/>
                <w:lang w:val="ro-RO" w:eastAsia="ar-SA"/>
              </w:rPr>
              <w:t>unităţi</w:t>
            </w:r>
          </w:p>
        </w:tc>
        <w:tc>
          <w:tcPr>
            <w:tcW w:w="850" w:type="dxa"/>
            <w:shd w:val="clear" w:color="auto" w:fill="auto"/>
            <w:vAlign w:val="center"/>
          </w:tcPr>
          <w:p w14:paraId="6DE03017"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3</w:t>
            </w:r>
          </w:p>
        </w:tc>
        <w:tc>
          <w:tcPr>
            <w:tcW w:w="1128" w:type="dxa"/>
            <w:shd w:val="clear" w:color="auto" w:fill="auto"/>
            <w:vAlign w:val="center"/>
          </w:tcPr>
          <w:p w14:paraId="4CA1C26A"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1</w:t>
            </w:r>
          </w:p>
        </w:tc>
        <w:tc>
          <w:tcPr>
            <w:tcW w:w="857" w:type="dxa"/>
            <w:shd w:val="clear" w:color="auto" w:fill="auto"/>
            <w:vAlign w:val="center"/>
          </w:tcPr>
          <w:p w14:paraId="74AC3140"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-2</w:t>
            </w:r>
          </w:p>
        </w:tc>
        <w:tc>
          <w:tcPr>
            <w:tcW w:w="1169" w:type="dxa"/>
            <w:shd w:val="clear" w:color="auto" w:fill="auto"/>
            <w:vAlign w:val="center"/>
          </w:tcPr>
          <w:p w14:paraId="0CEA4ECD"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r>
      <w:tr w:rsidR="001177AB" w:rsidRPr="00DD6A7A" w14:paraId="5CF7C6DF" w14:textId="77777777" w:rsidTr="00280524">
        <w:trPr>
          <w:trHeight w:val="370"/>
        </w:trPr>
        <w:tc>
          <w:tcPr>
            <w:tcW w:w="993" w:type="dxa"/>
            <w:shd w:val="clear" w:color="auto" w:fill="auto"/>
            <w:vAlign w:val="center"/>
          </w:tcPr>
          <w:p w14:paraId="3F1B454B" w14:textId="77777777" w:rsidR="001177AB" w:rsidRPr="00DD6A7A" w:rsidRDefault="009A3743"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De eficiență</w:t>
            </w:r>
          </w:p>
        </w:tc>
        <w:tc>
          <w:tcPr>
            <w:tcW w:w="425" w:type="dxa"/>
            <w:shd w:val="clear" w:color="auto" w:fill="auto"/>
          </w:tcPr>
          <w:p w14:paraId="143E1B0D" w14:textId="77777777" w:rsidR="001177AB" w:rsidRPr="00DD6A7A" w:rsidRDefault="001177AB" w:rsidP="006E1CD3">
            <w:pPr>
              <w:suppressAutoHyphens/>
              <w:spacing w:after="0" w:line="240" w:lineRule="auto"/>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e2</w:t>
            </w:r>
          </w:p>
        </w:tc>
        <w:tc>
          <w:tcPr>
            <w:tcW w:w="3455" w:type="dxa"/>
            <w:shd w:val="clear" w:color="auto" w:fill="auto"/>
            <w:vAlign w:val="center"/>
          </w:tcPr>
          <w:p w14:paraId="2DA07C2B" w14:textId="77777777" w:rsidR="001177AB" w:rsidRPr="00DD6A7A" w:rsidRDefault="001177AB" w:rsidP="006E1CD3">
            <w:pPr>
              <w:suppressAutoHyphens/>
              <w:spacing w:after="0" w:line="240" w:lineRule="auto"/>
              <w:jc w:val="both"/>
              <w:rPr>
                <w:rFonts w:ascii="Times New Roman" w:eastAsia="Times New Roman" w:hAnsi="Times New Roman" w:cs="Times New Roman"/>
                <w:color w:val="000000"/>
                <w:sz w:val="18"/>
                <w:szCs w:val="18"/>
                <w:lang w:val="ro-RO" w:eastAsia="ar-SA"/>
              </w:rPr>
            </w:pPr>
            <w:r w:rsidRPr="00DD6A7A">
              <w:rPr>
                <w:rFonts w:ascii="Times New Roman" w:eastAsia="Times New Roman" w:hAnsi="Times New Roman" w:cs="Times New Roman"/>
                <w:sz w:val="18"/>
                <w:szCs w:val="18"/>
                <w:lang w:val="ro-RO" w:eastAsia="nl-NL"/>
              </w:rPr>
              <w:t>Timpul necesar elaborării instrucțiunilor sectoriale privind prelucrarea datelor cu caracter personal</w:t>
            </w:r>
          </w:p>
        </w:tc>
        <w:tc>
          <w:tcPr>
            <w:tcW w:w="992" w:type="dxa"/>
            <w:shd w:val="clear" w:color="auto" w:fill="auto"/>
            <w:vAlign w:val="center"/>
          </w:tcPr>
          <w:p w14:paraId="00C84B2D"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zile</w:t>
            </w:r>
          </w:p>
        </w:tc>
        <w:tc>
          <w:tcPr>
            <w:tcW w:w="850" w:type="dxa"/>
            <w:shd w:val="clear" w:color="auto" w:fill="auto"/>
            <w:vAlign w:val="center"/>
          </w:tcPr>
          <w:p w14:paraId="1EF8B0C0"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50</w:t>
            </w:r>
          </w:p>
        </w:tc>
        <w:tc>
          <w:tcPr>
            <w:tcW w:w="1128" w:type="dxa"/>
            <w:shd w:val="clear" w:color="auto" w:fill="auto"/>
            <w:vAlign w:val="center"/>
          </w:tcPr>
          <w:p w14:paraId="45A18074"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60</w:t>
            </w:r>
          </w:p>
        </w:tc>
        <w:tc>
          <w:tcPr>
            <w:tcW w:w="857" w:type="dxa"/>
            <w:shd w:val="clear" w:color="auto" w:fill="auto"/>
            <w:vAlign w:val="center"/>
          </w:tcPr>
          <w:p w14:paraId="5FC9CB27"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+10</w:t>
            </w:r>
          </w:p>
        </w:tc>
        <w:tc>
          <w:tcPr>
            <w:tcW w:w="1169" w:type="dxa"/>
            <w:shd w:val="clear" w:color="auto" w:fill="auto"/>
            <w:vAlign w:val="center"/>
          </w:tcPr>
          <w:p w14:paraId="5B8373A1"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r>
      <w:tr w:rsidR="001177AB" w:rsidRPr="00DD6A7A" w14:paraId="5A911E6D" w14:textId="77777777" w:rsidTr="00280524">
        <w:trPr>
          <w:trHeight w:val="340"/>
        </w:trPr>
        <w:tc>
          <w:tcPr>
            <w:tcW w:w="4873" w:type="dxa"/>
            <w:gridSpan w:val="3"/>
            <w:shd w:val="clear" w:color="auto" w:fill="auto"/>
            <w:vAlign w:val="center"/>
          </w:tcPr>
          <w:p w14:paraId="28953B9E" w14:textId="77777777" w:rsidR="001177AB" w:rsidRPr="00DD6A7A" w:rsidRDefault="001177AB" w:rsidP="006E1CD3">
            <w:pPr>
              <w:suppressAutoHyphens/>
              <w:spacing w:after="0" w:line="240" w:lineRule="auto"/>
              <w:rPr>
                <w:rFonts w:ascii="Times New Roman" w:eastAsia="Times New Roman" w:hAnsi="Times New Roman" w:cs="Times New Roman"/>
                <w:sz w:val="18"/>
                <w:szCs w:val="18"/>
                <w:lang w:val="ro-RO" w:eastAsia="nl-NL"/>
              </w:rPr>
            </w:pPr>
            <w:r w:rsidRPr="00DD6A7A">
              <w:rPr>
                <w:rFonts w:ascii="Times New Roman" w:eastAsia="Times New Roman" w:hAnsi="Times New Roman" w:cs="Times New Roman"/>
                <w:b/>
                <w:color w:val="000000"/>
                <w:sz w:val="18"/>
                <w:szCs w:val="18"/>
                <w:lang w:val="ro-RO" w:eastAsia="ar-SA"/>
              </w:rPr>
              <w:t>Cheltuieli, mii lei</w:t>
            </w:r>
          </w:p>
        </w:tc>
        <w:tc>
          <w:tcPr>
            <w:tcW w:w="992" w:type="dxa"/>
            <w:shd w:val="clear" w:color="auto" w:fill="auto"/>
            <w:vAlign w:val="center"/>
          </w:tcPr>
          <w:p w14:paraId="001CF7BE"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850" w:type="dxa"/>
            <w:shd w:val="clear" w:color="auto" w:fill="auto"/>
            <w:vAlign w:val="center"/>
          </w:tcPr>
          <w:p w14:paraId="7258D13E"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Aprobat</w:t>
            </w:r>
          </w:p>
        </w:tc>
        <w:tc>
          <w:tcPr>
            <w:tcW w:w="1128" w:type="dxa"/>
            <w:shd w:val="clear" w:color="auto" w:fill="auto"/>
            <w:vAlign w:val="center"/>
          </w:tcPr>
          <w:p w14:paraId="54603195"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Precizat</w:t>
            </w:r>
          </w:p>
        </w:tc>
        <w:tc>
          <w:tcPr>
            <w:tcW w:w="857" w:type="dxa"/>
            <w:shd w:val="clear" w:color="auto" w:fill="auto"/>
            <w:vAlign w:val="center"/>
          </w:tcPr>
          <w:p w14:paraId="095B0550"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Executat</w:t>
            </w:r>
          </w:p>
        </w:tc>
        <w:tc>
          <w:tcPr>
            <w:tcW w:w="1169" w:type="dxa"/>
            <w:shd w:val="clear" w:color="auto" w:fill="auto"/>
            <w:vAlign w:val="center"/>
          </w:tcPr>
          <w:p w14:paraId="03E77BEC"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Devieri -+</w:t>
            </w:r>
          </w:p>
          <w:p w14:paraId="6289C681"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(7-6)</w:t>
            </w:r>
          </w:p>
        </w:tc>
      </w:tr>
      <w:tr w:rsidR="001177AB" w:rsidRPr="00DD6A7A" w14:paraId="7C1B9D66" w14:textId="77777777" w:rsidTr="00280524">
        <w:trPr>
          <w:trHeight w:val="340"/>
        </w:trPr>
        <w:tc>
          <w:tcPr>
            <w:tcW w:w="4873" w:type="dxa"/>
            <w:gridSpan w:val="3"/>
            <w:shd w:val="clear" w:color="auto" w:fill="auto"/>
            <w:vAlign w:val="center"/>
          </w:tcPr>
          <w:p w14:paraId="0C491417" w14:textId="77777777" w:rsidR="001177AB" w:rsidRPr="00DD6A7A" w:rsidRDefault="001177AB" w:rsidP="006E1CD3">
            <w:pPr>
              <w:suppressAutoHyphens/>
              <w:spacing w:after="0" w:line="240" w:lineRule="auto"/>
              <w:rPr>
                <w:rFonts w:ascii="Times New Roman" w:eastAsia="Times New Roman" w:hAnsi="Times New Roman" w:cs="Times New Roman"/>
                <w:sz w:val="18"/>
                <w:szCs w:val="18"/>
                <w:lang w:val="ro-RO" w:eastAsia="nl-NL"/>
              </w:rPr>
            </w:pPr>
          </w:p>
        </w:tc>
        <w:tc>
          <w:tcPr>
            <w:tcW w:w="992" w:type="dxa"/>
            <w:shd w:val="clear" w:color="auto" w:fill="auto"/>
            <w:vAlign w:val="center"/>
          </w:tcPr>
          <w:p w14:paraId="6A947DAF"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850" w:type="dxa"/>
            <w:shd w:val="clear" w:color="auto" w:fill="auto"/>
            <w:vAlign w:val="center"/>
          </w:tcPr>
          <w:p w14:paraId="5DA69FC7"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7665</w:t>
            </w:r>
          </w:p>
        </w:tc>
        <w:tc>
          <w:tcPr>
            <w:tcW w:w="1128" w:type="dxa"/>
            <w:shd w:val="clear" w:color="auto" w:fill="auto"/>
            <w:vAlign w:val="center"/>
          </w:tcPr>
          <w:p w14:paraId="5C4C8323"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7798,2</w:t>
            </w:r>
          </w:p>
        </w:tc>
        <w:tc>
          <w:tcPr>
            <w:tcW w:w="857" w:type="dxa"/>
            <w:shd w:val="clear" w:color="auto" w:fill="auto"/>
            <w:vAlign w:val="center"/>
          </w:tcPr>
          <w:p w14:paraId="7E4FBA7D"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6785.8</w:t>
            </w:r>
          </w:p>
        </w:tc>
        <w:tc>
          <w:tcPr>
            <w:tcW w:w="1169" w:type="dxa"/>
            <w:shd w:val="clear" w:color="auto" w:fill="auto"/>
            <w:vAlign w:val="center"/>
          </w:tcPr>
          <w:p w14:paraId="53B25960"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-1012,5</w:t>
            </w:r>
          </w:p>
        </w:tc>
      </w:tr>
    </w:tbl>
    <w:p w14:paraId="4A7256FA" w14:textId="77777777" w:rsidR="001177AB" w:rsidRPr="00DD6A7A" w:rsidRDefault="001177AB" w:rsidP="001177AB">
      <w:pPr>
        <w:suppressAutoHyphens/>
        <w:spacing w:after="0" w:line="240" w:lineRule="auto"/>
        <w:rPr>
          <w:rFonts w:ascii="Times New Roman" w:eastAsia="Times New Roman" w:hAnsi="Times New Roman" w:cs="Times New Roman"/>
          <w:sz w:val="20"/>
          <w:szCs w:val="20"/>
          <w:lang w:val="ro-RO" w:eastAsia="ar-SA"/>
        </w:rPr>
      </w:pPr>
    </w:p>
    <w:p w14:paraId="1F7F97A7" w14:textId="77777777" w:rsidR="001177AB" w:rsidRPr="00DD6A7A" w:rsidRDefault="001177AB" w:rsidP="001177AB">
      <w:pPr>
        <w:suppressAutoHyphens/>
        <w:spacing w:after="0" w:line="240" w:lineRule="auto"/>
        <w:rPr>
          <w:rFonts w:ascii="Times New Roman" w:eastAsia="Times New Roman" w:hAnsi="Times New Roman" w:cs="Times New Roman"/>
          <w:sz w:val="20"/>
          <w:szCs w:val="20"/>
          <w:lang w:val="ro-RO" w:eastAsia="ar-SA"/>
        </w:rPr>
      </w:pPr>
    </w:p>
    <w:tbl>
      <w:tblPr>
        <w:tblW w:w="98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4"/>
        <w:gridCol w:w="3296"/>
        <w:gridCol w:w="992"/>
        <w:gridCol w:w="850"/>
        <w:gridCol w:w="1128"/>
        <w:gridCol w:w="857"/>
        <w:gridCol w:w="1169"/>
      </w:tblGrid>
      <w:tr w:rsidR="001177AB" w:rsidRPr="00DD6A7A" w14:paraId="282FA54F" w14:textId="77777777" w:rsidTr="00280524">
        <w:trPr>
          <w:trHeight w:val="461"/>
        </w:trPr>
        <w:tc>
          <w:tcPr>
            <w:tcW w:w="9869" w:type="dxa"/>
            <w:gridSpan w:val="8"/>
            <w:shd w:val="clear" w:color="auto" w:fill="auto"/>
            <w:noWrap/>
            <w:vAlign w:val="center"/>
          </w:tcPr>
          <w:p w14:paraId="7CE9AB8B" w14:textId="77777777" w:rsidR="001177AB" w:rsidRPr="00DD6A7A" w:rsidRDefault="001177AB" w:rsidP="006E1CD3">
            <w:pPr>
              <w:suppressAutoHyphens/>
              <w:spacing w:after="0" w:line="240" w:lineRule="auto"/>
              <w:jc w:val="center"/>
              <w:rPr>
                <w:rFonts w:ascii="Times New Roman" w:eastAsia="Times New Roman" w:hAnsi="Times New Roman" w:cs="Times New Roman"/>
                <w:b/>
                <w:bCs/>
                <w:color w:val="000000"/>
                <w:sz w:val="18"/>
                <w:szCs w:val="18"/>
                <w:lang w:val="ro-RO" w:eastAsia="ar-SA"/>
              </w:rPr>
            </w:pPr>
            <w:r w:rsidRPr="00DD6A7A">
              <w:rPr>
                <w:rFonts w:ascii="Times New Roman" w:eastAsia="Times New Roman" w:hAnsi="Times New Roman" w:cs="Times New Roman"/>
                <w:b/>
                <w:sz w:val="18"/>
                <w:szCs w:val="18"/>
                <w:lang w:val="ro-RO" w:eastAsia="ar-SA"/>
              </w:rPr>
              <w:t>Raport de performanță</w:t>
            </w:r>
            <w:r w:rsidRPr="00DD6A7A">
              <w:rPr>
                <w:rFonts w:ascii="Times New Roman" w:eastAsia="Times New Roman" w:hAnsi="Times New Roman" w:cs="Times New Roman"/>
                <w:b/>
                <w:sz w:val="18"/>
                <w:szCs w:val="18"/>
                <w:vertAlign w:val="superscript"/>
                <w:lang w:val="ro-RO" w:eastAsia="ar-SA"/>
              </w:rPr>
              <w:t xml:space="preserve"> </w:t>
            </w:r>
            <w:r w:rsidRPr="00DD6A7A">
              <w:rPr>
                <w:rFonts w:ascii="Times New Roman" w:eastAsia="Times New Roman" w:hAnsi="Times New Roman" w:cs="Times New Roman"/>
                <w:b/>
                <w:sz w:val="18"/>
                <w:szCs w:val="18"/>
                <w:lang w:val="ro-RO" w:eastAsia="ar-SA"/>
              </w:rPr>
              <w:t xml:space="preserve">al </w:t>
            </w:r>
            <w:r w:rsidRPr="00DD6A7A">
              <w:rPr>
                <w:rFonts w:ascii="Times New Roman" w:eastAsia="Times New Roman" w:hAnsi="Times New Roman" w:cs="Times New Roman"/>
                <w:b/>
                <w:bCs/>
                <w:color w:val="000000"/>
                <w:sz w:val="18"/>
                <w:szCs w:val="18"/>
                <w:lang w:val="ro-RO" w:eastAsia="ar-SA"/>
              </w:rPr>
              <w:t>Centrului Național pentru Protecția Datelor cu Caracter Personal</w:t>
            </w:r>
          </w:p>
          <w:p w14:paraId="2B66F772" w14:textId="77777777" w:rsidR="001177AB" w:rsidRPr="00DD6A7A" w:rsidRDefault="001177AB" w:rsidP="006E1CD3">
            <w:pPr>
              <w:suppressAutoHyphens/>
              <w:spacing w:after="0" w:line="240" w:lineRule="auto"/>
              <w:jc w:val="center"/>
              <w:rPr>
                <w:rFonts w:ascii="Times New Roman" w:eastAsia="Times New Roman" w:hAnsi="Times New Roman" w:cs="Times New Roman"/>
                <w:b/>
                <w:sz w:val="18"/>
                <w:szCs w:val="18"/>
                <w:vertAlign w:val="superscript"/>
                <w:lang w:val="ro-RO" w:eastAsia="ar-SA"/>
              </w:rPr>
            </w:pPr>
            <w:r w:rsidRPr="00DD6A7A">
              <w:rPr>
                <w:rFonts w:ascii="Times New Roman" w:eastAsia="Times New Roman" w:hAnsi="Times New Roman" w:cs="Times New Roman"/>
                <w:b/>
                <w:sz w:val="18"/>
                <w:szCs w:val="18"/>
                <w:lang w:val="ro-RO" w:eastAsia="ar-SA"/>
              </w:rPr>
              <w:t>la situația din 31 decembrie 2018</w:t>
            </w:r>
          </w:p>
        </w:tc>
      </w:tr>
      <w:tr w:rsidR="001177AB" w:rsidRPr="00DD6A7A" w14:paraId="40931F63" w14:textId="77777777" w:rsidTr="00D4082B">
        <w:trPr>
          <w:trHeight w:val="27"/>
        </w:trPr>
        <w:tc>
          <w:tcPr>
            <w:tcW w:w="993" w:type="dxa"/>
            <w:vMerge w:val="restart"/>
            <w:shd w:val="clear" w:color="auto" w:fill="00B0F0"/>
            <w:vAlign w:val="center"/>
          </w:tcPr>
          <w:p w14:paraId="46E599D2"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Categoria</w:t>
            </w:r>
          </w:p>
        </w:tc>
        <w:tc>
          <w:tcPr>
            <w:tcW w:w="584" w:type="dxa"/>
            <w:vMerge w:val="restart"/>
            <w:shd w:val="clear" w:color="auto" w:fill="00B0F0"/>
            <w:vAlign w:val="center"/>
          </w:tcPr>
          <w:p w14:paraId="714AEA1F"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 xml:space="preserve">Cod </w:t>
            </w:r>
          </w:p>
        </w:tc>
        <w:tc>
          <w:tcPr>
            <w:tcW w:w="3296" w:type="dxa"/>
            <w:vMerge w:val="restart"/>
            <w:shd w:val="clear" w:color="auto" w:fill="00B0F0"/>
            <w:vAlign w:val="center"/>
          </w:tcPr>
          <w:p w14:paraId="6204A97C"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Denumirea</w:t>
            </w:r>
            <w:r w:rsidRPr="00DD6A7A" w:rsidDel="00D20F90">
              <w:rPr>
                <w:rFonts w:ascii="Times New Roman" w:eastAsia="Times New Roman" w:hAnsi="Times New Roman" w:cs="Times New Roman"/>
                <w:b/>
                <w:color w:val="000000"/>
                <w:sz w:val="18"/>
                <w:szCs w:val="18"/>
                <w:lang w:val="ro-RO" w:eastAsia="ar-SA"/>
              </w:rPr>
              <w:t xml:space="preserve"> </w:t>
            </w:r>
          </w:p>
        </w:tc>
        <w:tc>
          <w:tcPr>
            <w:tcW w:w="992" w:type="dxa"/>
            <w:vMerge w:val="restart"/>
            <w:shd w:val="clear" w:color="auto" w:fill="00B0F0"/>
            <w:vAlign w:val="center"/>
          </w:tcPr>
          <w:p w14:paraId="67E6EE8F"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Unitatea de măsură</w:t>
            </w:r>
          </w:p>
        </w:tc>
        <w:tc>
          <w:tcPr>
            <w:tcW w:w="850" w:type="dxa"/>
            <w:vMerge w:val="restart"/>
            <w:shd w:val="clear" w:color="auto" w:fill="00B0F0"/>
            <w:vAlign w:val="center"/>
          </w:tcPr>
          <w:p w14:paraId="215ACF19"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Aprobat</w:t>
            </w:r>
          </w:p>
        </w:tc>
        <w:tc>
          <w:tcPr>
            <w:tcW w:w="1128" w:type="dxa"/>
            <w:vMerge w:val="restart"/>
            <w:shd w:val="clear" w:color="auto" w:fill="00B0F0"/>
            <w:vAlign w:val="center"/>
          </w:tcPr>
          <w:p w14:paraId="33C7C22E"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Executat</w:t>
            </w:r>
            <w:r w:rsidRPr="00DD6A7A">
              <w:rPr>
                <w:rFonts w:ascii="Times New Roman" w:eastAsia="Times New Roman" w:hAnsi="Times New Roman" w:cs="Times New Roman"/>
                <w:b/>
                <w:sz w:val="18"/>
                <w:szCs w:val="18"/>
                <w:vertAlign w:val="superscript"/>
                <w:lang w:val="ro-RO" w:eastAsia="zh-CN"/>
              </w:rPr>
              <w:t>3</w:t>
            </w:r>
          </w:p>
        </w:tc>
        <w:tc>
          <w:tcPr>
            <w:tcW w:w="2026" w:type="dxa"/>
            <w:gridSpan w:val="2"/>
            <w:shd w:val="clear" w:color="auto" w:fill="00B0F0"/>
            <w:vAlign w:val="center"/>
          </w:tcPr>
          <w:p w14:paraId="11713F39"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Devieri</w:t>
            </w:r>
          </w:p>
        </w:tc>
      </w:tr>
      <w:tr w:rsidR="001177AB" w:rsidRPr="00DD6A7A" w14:paraId="21932BF8" w14:textId="77777777" w:rsidTr="00D4082B">
        <w:trPr>
          <w:trHeight w:val="27"/>
        </w:trPr>
        <w:tc>
          <w:tcPr>
            <w:tcW w:w="993" w:type="dxa"/>
            <w:vMerge/>
            <w:shd w:val="clear" w:color="auto" w:fill="00B0F0"/>
            <w:vAlign w:val="center"/>
          </w:tcPr>
          <w:p w14:paraId="6727DCD9" w14:textId="77777777" w:rsidR="001177AB" w:rsidRPr="00DD6A7A" w:rsidRDefault="001177AB" w:rsidP="00ED5A00">
            <w:pPr>
              <w:keepNext/>
              <w:numPr>
                <w:ilvl w:val="0"/>
                <w:numId w:val="13"/>
              </w:numPr>
              <w:suppressAutoHyphens/>
              <w:spacing w:after="1960" w:line="240" w:lineRule="auto"/>
              <w:rPr>
                <w:rFonts w:ascii="Times New Roman" w:eastAsia="Times New Roman" w:hAnsi="Times New Roman" w:cs="Times New Roman"/>
                <w:b/>
                <w:color w:val="000000"/>
                <w:sz w:val="18"/>
                <w:szCs w:val="18"/>
                <w:lang w:val="ro-RO" w:eastAsia="ar-SA"/>
              </w:rPr>
            </w:pPr>
          </w:p>
        </w:tc>
        <w:tc>
          <w:tcPr>
            <w:tcW w:w="584" w:type="dxa"/>
            <w:vMerge/>
            <w:shd w:val="clear" w:color="auto" w:fill="00B0F0"/>
            <w:vAlign w:val="center"/>
          </w:tcPr>
          <w:p w14:paraId="7F506066" w14:textId="77777777" w:rsidR="001177AB" w:rsidRPr="00DD6A7A" w:rsidRDefault="001177AB" w:rsidP="00ED5A00">
            <w:pPr>
              <w:keepNext/>
              <w:numPr>
                <w:ilvl w:val="0"/>
                <w:numId w:val="13"/>
              </w:numPr>
              <w:suppressAutoHyphens/>
              <w:spacing w:after="1960" w:line="240" w:lineRule="auto"/>
              <w:rPr>
                <w:rFonts w:ascii="Times New Roman" w:eastAsia="Times New Roman" w:hAnsi="Times New Roman" w:cs="Times New Roman"/>
                <w:b/>
                <w:color w:val="000000"/>
                <w:sz w:val="18"/>
                <w:szCs w:val="18"/>
                <w:lang w:val="ro-RO" w:eastAsia="ar-SA"/>
              </w:rPr>
            </w:pPr>
          </w:p>
        </w:tc>
        <w:tc>
          <w:tcPr>
            <w:tcW w:w="3296" w:type="dxa"/>
            <w:vMerge/>
            <w:shd w:val="clear" w:color="auto" w:fill="00B0F0"/>
            <w:vAlign w:val="center"/>
          </w:tcPr>
          <w:p w14:paraId="498F14A7" w14:textId="77777777" w:rsidR="001177AB" w:rsidRPr="00DD6A7A" w:rsidRDefault="001177AB" w:rsidP="00ED5A00">
            <w:pPr>
              <w:keepNext/>
              <w:numPr>
                <w:ilvl w:val="0"/>
                <w:numId w:val="13"/>
              </w:numPr>
              <w:suppressAutoHyphens/>
              <w:spacing w:after="1960" w:line="240" w:lineRule="auto"/>
              <w:jc w:val="center"/>
              <w:rPr>
                <w:rFonts w:ascii="Times New Roman" w:eastAsia="Times New Roman" w:hAnsi="Times New Roman" w:cs="Times New Roman"/>
                <w:b/>
                <w:color w:val="000000"/>
                <w:sz w:val="18"/>
                <w:szCs w:val="18"/>
                <w:lang w:val="ro-RO" w:eastAsia="ar-SA"/>
              </w:rPr>
            </w:pPr>
          </w:p>
        </w:tc>
        <w:tc>
          <w:tcPr>
            <w:tcW w:w="992" w:type="dxa"/>
            <w:vMerge/>
            <w:shd w:val="clear" w:color="auto" w:fill="00B0F0"/>
            <w:vAlign w:val="center"/>
          </w:tcPr>
          <w:p w14:paraId="11181E37" w14:textId="77777777" w:rsidR="001177AB" w:rsidRPr="00DD6A7A" w:rsidRDefault="001177AB" w:rsidP="00ED5A00">
            <w:pPr>
              <w:keepNext/>
              <w:numPr>
                <w:ilvl w:val="0"/>
                <w:numId w:val="13"/>
              </w:numPr>
              <w:suppressAutoHyphens/>
              <w:spacing w:after="1960" w:line="240" w:lineRule="auto"/>
              <w:jc w:val="center"/>
              <w:rPr>
                <w:rFonts w:ascii="Times New Roman" w:eastAsia="Times New Roman" w:hAnsi="Times New Roman" w:cs="Times New Roman"/>
                <w:b/>
                <w:color w:val="000000"/>
                <w:sz w:val="18"/>
                <w:szCs w:val="18"/>
                <w:lang w:val="ro-RO" w:eastAsia="ar-SA"/>
              </w:rPr>
            </w:pPr>
          </w:p>
        </w:tc>
        <w:tc>
          <w:tcPr>
            <w:tcW w:w="850" w:type="dxa"/>
            <w:vMerge/>
            <w:shd w:val="clear" w:color="auto" w:fill="00B0F0"/>
            <w:vAlign w:val="center"/>
          </w:tcPr>
          <w:p w14:paraId="654BEBC3"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1128" w:type="dxa"/>
            <w:vMerge/>
            <w:shd w:val="clear" w:color="auto" w:fill="00B0F0"/>
            <w:vAlign w:val="center"/>
          </w:tcPr>
          <w:p w14:paraId="2CA07221"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857" w:type="dxa"/>
            <w:shd w:val="clear" w:color="auto" w:fill="00B0F0"/>
            <w:vAlign w:val="center"/>
          </w:tcPr>
          <w:p w14:paraId="2247311C"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Valoarea</w:t>
            </w:r>
          </w:p>
          <w:p w14:paraId="2033BFD6"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 xml:space="preserve">(+/-) </w:t>
            </w:r>
          </w:p>
        </w:tc>
        <w:tc>
          <w:tcPr>
            <w:tcW w:w="1169" w:type="dxa"/>
            <w:shd w:val="clear" w:color="auto" w:fill="00B0F0"/>
            <w:vAlign w:val="center"/>
          </w:tcPr>
          <w:p w14:paraId="7C534536"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vertAlign w:val="superscript"/>
                <w:lang w:val="ro-RO" w:eastAsia="ar-SA"/>
              </w:rPr>
            </w:pPr>
            <w:r w:rsidRPr="00DD6A7A">
              <w:rPr>
                <w:rFonts w:ascii="Times New Roman" w:eastAsia="Times New Roman" w:hAnsi="Times New Roman" w:cs="Times New Roman"/>
                <w:b/>
                <w:color w:val="000000"/>
                <w:sz w:val="18"/>
                <w:szCs w:val="18"/>
                <w:lang w:val="ro-RO" w:eastAsia="ar-SA"/>
              </w:rPr>
              <w:t>Explicații</w:t>
            </w:r>
            <w:r w:rsidRPr="00DD6A7A">
              <w:rPr>
                <w:rFonts w:ascii="Times New Roman" w:eastAsia="Times New Roman" w:hAnsi="Times New Roman" w:cs="Times New Roman"/>
                <w:b/>
                <w:color w:val="000000"/>
                <w:sz w:val="18"/>
                <w:szCs w:val="18"/>
                <w:vertAlign w:val="superscript"/>
                <w:lang w:val="ro-RO" w:eastAsia="ar-SA"/>
              </w:rPr>
              <w:t>4</w:t>
            </w:r>
          </w:p>
        </w:tc>
      </w:tr>
      <w:tr w:rsidR="001177AB" w:rsidRPr="00DD6A7A" w14:paraId="39BF32E8" w14:textId="77777777" w:rsidTr="00D25589">
        <w:trPr>
          <w:trHeight w:val="27"/>
        </w:trPr>
        <w:tc>
          <w:tcPr>
            <w:tcW w:w="993" w:type="dxa"/>
            <w:shd w:val="clear" w:color="auto" w:fill="auto"/>
            <w:vAlign w:val="center"/>
          </w:tcPr>
          <w:p w14:paraId="260A8C9B"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1</w:t>
            </w:r>
          </w:p>
        </w:tc>
        <w:tc>
          <w:tcPr>
            <w:tcW w:w="584" w:type="dxa"/>
            <w:shd w:val="clear" w:color="auto" w:fill="auto"/>
            <w:vAlign w:val="center"/>
          </w:tcPr>
          <w:p w14:paraId="7DC0E308"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2</w:t>
            </w:r>
          </w:p>
        </w:tc>
        <w:tc>
          <w:tcPr>
            <w:tcW w:w="3296" w:type="dxa"/>
            <w:shd w:val="clear" w:color="auto" w:fill="auto"/>
            <w:vAlign w:val="bottom"/>
          </w:tcPr>
          <w:p w14:paraId="6BD2AA1B"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3</w:t>
            </w:r>
          </w:p>
        </w:tc>
        <w:tc>
          <w:tcPr>
            <w:tcW w:w="992" w:type="dxa"/>
            <w:shd w:val="clear" w:color="auto" w:fill="auto"/>
            <w:vAlign w:val="center"/>
          </w:tcPr>
          <w:p w14:paraId="0BD4C5EC"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4</w:t>
            </w:r>
          </w:p>
        </w:tc>
        <w:tc>
          <w:tcPr>
            <w:tcW w:w="850" w:type="dxa"/>
            <w:shd w:val="clear" w:color="auto" w:fill="auto"/>
            <w:vAlign w:val="center"/>
          </w:tcPr>
          <w:p w14:paraId="7CB9A8CD"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5</w:t>
            </w:r>
          </w:p>
        </w:tc>
        <w:tc>
          <w:tcPr>
            <w:tcW w:w="1128" w:type="dxa"/>
            <w:shd w:val="clear" w:color="auto" w:fill="auto"/>
            <w:vAlign w:val="center"/>
          </w:tcPr>
          <w:p w14:paraId="798DB7E8"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6</w:t>
            </w:r>
          </w:p>
        </w:tc>
        <w:tc>
          <w:tcPr>
            <w:tcW w:w="857" w:type="dxa"/>
            <w:shd w:val="clear" w:color="auto" w:fill="auto"/>
            <w:vAlign w:val="center"/>
          </w:tcPr>
          <w:p w14:paraId="4CD52DCD"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7(6-5)</w:t>
            </w:r>
          </w:p>
        </w:tc>
        <w:tc>
          <w:tcPr>
            <w:tcW w:w="1169" w:type="dxa"/>
            <w:shd w:val="clear" w:color="auto" w:fill="auto"/>
            <w:vAlign w:val="center"/>
          </w:tcPr>
          <w:p w14:paraId="294AE851" w14:textId="77777777" w:rsidR="001177AB" w:rsidRPr="006F6515" w:rsidRDefault="001177AB" w:rsidP="006E1CD3">
            <w:pPr>
              <w:suppressAutoHyphens/>
              <w:spacing w:after="0" w:line="240" w:lineRule="auto"/>
              <w:jc w:val="center"/>
              <w:rPr>
                <w:rFonts w:ascii="Times New Roman" w:eastAsia="Times New Roman" w:hAnsi="Times New Roman" w:cs="Times New Roman"/>
                <w:i/>
                <w:color w:val="000000"/>
                <w:sz w:val="18"/>
                <w:szCs w:val="18"/>
                <w:lang w:val="ro-RO" w:eastAsia="ar-SA"/>
              </w:rPr>
            </w:pPr>
            <w:r w:rsidRPr="006F6515">
              <w:rPr>
                <w:rFonts w:ascii="Times New Roman" w:eastAsia="Times New Roman" w:hAnsi="Times New Roman" w:cs="Times New Roman"/>
                <w:i/>
                <w:color w:val="000000"/>
                <w:sz w:val="18"/>
                <w:szCs w:val="18"/>
                <w:lang w:val="ro-RO" w:eastAsia="ar-SA"/>
              </w:rPr>
              <w:t>8</w:t>
            </w:r>
          </w:p>
        </w:tc>
      </w:tr>
      <w:tr w:rsidR="001177AB" w:rsidRPr="00DD6A7A" w14:paraId="5B7DCC0D" w14:textId="77777777" w:rsidTr="00280524">
        <w:trPr>
          <w:trHeight w:val="27"/>
        </w:trPr>
        <w:tc>
          <w:tcPr>
            <w:tcW w:w="9869" w:type="dxa"/>
            <w:gridSpan w:val="8"/>
            <w:shd w:val="clear" w:color="auto" w:fill="auto"/>
            <w:vAlign w:val="center"/>
          </w:tcPr>
          <w:p w14:paraId="7710D30F" w14:textId="77777777" w:rsidR="001177AB" w:rsidRPr="00DD6A7A" w:rsidRDefault="001177AB" w:rsidP="006E1CD3">
            <w:pPr>
              <w:suppressAutoHyphens/>
              <w:spacing w:after="0" w:line="240" w:lineRule="auto"/>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bCs/>
                <w:sz w:val="18"/>
                <w:szCs w:val="18"/>
                <w:lang w:val="ro-RO" w:eastAsia="ar-SA"/>
              </w:rPr>
              <w:t>Program: Edificarea societății informaționale</w:t>
            </w:r>
          </w:p>
        </w:tc>
      </w:tr>
      <w:tr w:rsidR="001177AB" w:rsidRPr="00DD6A7A" w14:paraId="0CEC19D0" w14:textId="77777777" w:rsidTr="00280524">
        <w:trPr>
          <w:trHeight w:val="27"/>
        </w:trPr>
        <w:tc>
          <w:tcPr>
            <w:tcW w:w="9869" w:type="dxa"/>
            <w:gridSpan w:val="8"/>
            <w:shd w:val="clear" w:color="auto" w:fill="auto"/>
            <w:vAlign w:val="center"/>
          </w:tcPr>
          <w:p w14:paraId="0409F441" w14:textId="77777777" w:rsidR="001177AB" w:rsidRPr="00DD6A7A" w:rsidRDefault="001177AB" w:rsidP="006E1CD3">
            <w:pPr>
              <w:suppressAutoHyphens/>
              <w:spacing w:after="0" w:line="240" w:lineRule="auto"/>
              <w:rPr>
                <w:rFonts w:ascii="Times New Roman" w:eastAsia="Times New Roman" w:hAnsi="Times New Roman" w:cs="Times New Roman"/>
                <w:b/>
                <w:bCs/>
                <w:sz w:val="18"/>
                <w:szCs w:val="18"/>
                <w:lang w:val="ro-RO" w:eastAsia="ar-SA"/>
              </w:rPr>
            </w:pPr>
            <w:r w:rsidRPr="00DD6A7A">
              <w:rPr>
                <w:rFonts w:ascii="Times New Roman" w:eastAsia="Times New Roman" w:hAnsi="Times New Roman" w:cs="Times New Roman"/>
                <w:b/>
                <w:color w:val="000000"/>
                <w:sz w:val="18"/>
                <w:szCs w:val="18"/>
                <w:lang w:val="ro-RO" w:eastAsia="ar-SA"/>
              </w:rPr>
              <w:t>Subprogram:  Protecția datelor cu caracter personal</w:t>
            </w:r>
          </w:p>
        </w:tc>
      </w:tr>
      <w:tr w:rsidR="001177AB" w:rsidRPr="00DD6A7A" w14:paraId="1940260C" w14:textId="77777777" w:rsidTr="00280524">
        <w:trPr>
          <w:trHeight w:val="27"/>
        </w:trPr>
        <w:tc>
          <w:tcPr>
            <w:tcW w:w="9869" w:type="dxa"/>
            <w:gridSpan w:val="8"/>
            <w:shd w:val="clear" w:color="auto" w:fill="auto"/>
            <w:vAlign w:val="center"/>
          </w:tcPr>
          <w:p w14:paraId="58A6FCE1"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Scop: </w:t>
            </w:r>
            <w:r w:rsidRPr="00DD6A7A">
              <w:rPr>
                <w:rFonts w:ascii="Times New Roman" w:eastAsia="Times New Roman" w:hAnsi="Times New Roman" w:cs="Times New Roman"/>
                <w:b/>
                <w:sz w:val="18"/>
                <w:szCs w:val="18"/>
                <w:lang w:val="ro-RO" w:eastAsia="ar-SA"/>
              </w:rPr>
              <w:t xml:space="preserve"> Asigurarea unui nivel adecvat de protecție a datelor cu caracter personal în Republica Moldova, conform standardelor europene</w:t>
            </w:r>
          </w:p>
        </w:tc>
      </w:tr>
      <w:tr w:rsidR="001177AB" w:rsidRPr="00DD6A7A" w14:paraId="2182C7B9" w14:textId="77777777" w:rsidTr="00280524">
        <w:trPr>
          <w:trHeight w:val="27"/>
        </w:trPr>
        <w:tc>
          <w:tcPr>
            <w:tcW w:w="9869" w:type="dxa"/>
            <w:gridSpan w:val="8"/>
            <w:shd w:val="clear" w:color="auto" w:fill="auto"/>
            <w:vAlign w:val="center"/>
          </w:tcPr>
          <w:p w14:paraId="4D0059D3"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bCs/>
                <w:color w:val="000000"/>
                <w:sz w:val="18"/>
                <w:szCs w:val="18"/>
                <w:lang w:val="ro-RO" w:eastAsia="ar-SA"/>
              </w:rPr>
              <w:t>Indicatori de performanță neexecutați:</w:t>
            </w:r>
          </w:p>
        </w:tc>
      </w:tr>
      <w:tr w:rsidR="001177AB" w:rsidRPr="00DD6A7A" w14:paraId="7A0EA954" w14:textId="77777777" w:rsidTr="00280524">
        <w:trPr>
          <w:trHeight w:val="329"/>
        </w:trPr>
        <w:tc>
          <w:tcPr>
            <w:tcW w:w="993" w:type="dxa"/>
            <w:shd w:val="clear" w:color="auto" w:fill="auto"/>
            <w:vAlign w:val="center"/>
          </w:tcPr>
          <w:p w14:paraId="3134D668"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De rezultat</w:t>
            </w:r>
          </w:p>
        </w:tc>
        <w:tc>
          <w:tcPr>
            <w:tcW w:w="584" w:type="dxa"/>
            <w:shd w:val="clear" w:color="auto" w:fill="auto"/>
            <w:vAlign w:val="center"/>
          </w:tcPr>
          <w:p w14:paraId="53121139" w14:textId="77777777" w:rsidR="001177AB" w:rsidRPr="00DD6A7A" w:rsidRDefault="001177AB" w:rsidP="006E1CD3">
            <w:pPr>
              <w:suppressAutoHyphens/>
              <w:spacing w:after="0" w:line="240" w:lineRule="auto"/>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r2</w:t>
            </w:r>
          </w:p>
        </w:tc>
        <w:tc>
          <w:tcPr>
            <w:tcW w:w="3296" w:type="dxa"/>
            <w:shd w:val="clear" w:color="auto" w:fill="auto"/>
            <w:vAlign w:val="center"/>
          </w:tcPr>
          <w:p w14:paraId="772B8F72" w14:textId="77777777" w:rsidR="001177AB" w:rsidRPr="00DD6A7A" w:rsidRDefault="001177AB" w:rsidP="006E1CD3">
            <w:pPr>
              <w:suppressAutoHyphens/>
              <w:spacing w:after="0" w:line="240" w:lineRule="auto"/>
              <w:jc w:val="both"/>
              <w:rPr>
                <w:rFonts w:ascii="Times New Roman" w:eastAsia="Times New Roman" w:hAnsi="Times New Roman" w:cs="Times New Roman"/>
                <w:color w:val="000000"/>
                <w:sz w:val="18"/>
                <w:szCs w:val="18"/>
                <w:lang w:val="ro-RO" w:eastAsia="ar-SA"/>
              </w:rPr>
            </w:pPr>
            <w:r w:rsidRPr="00DD6A7A">
              <w:rPr>
                <w:rFonts w:ascii="Times New Roman" w:eastAsia="Times New Roman" w:hAnsi="Times New Roman" w:cs="Times New Roman"/>
                <w:sz w:val="18"/>
                <w:szCs w:val="18"/>
                <w:lang w:val="ro-RO" w:eastAsia="nl-NL"/>
              </w:rPr>
              <w:t>Gradul de recunoaştere internaţională a faptului că Republica Moldova asigură un nivel adecvat de protecţie a datelor cu caracter personal</w:t>
            </w:r>
          </w:p>
        </w:tc>
        <w:tc>
          <w:tcPr>
            <w:tcW w:w="992" w:type="dxa"/>
            <w:shd w:val="clear" w:color="auto" w:fill="auto"/>
            <w:vAlign w:val="center"/>
          </w:tcPr>
          <w:p w14:paraId="5D2AFD27"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c>
          <w:tcPr>
            <w:tcW w:w="850" w:type="dxa"/>
            <w:shd w:val="clear" w:color="auto" w:fill="auto"/>
            <w:vAlign w:val="center"/>
          </w:tcPr>
          <w:p w14:paraId="553E9B02"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90.0</w:t>
            </w:r>
          </w:p>
        </w:tc>
        <w:tc>
          <w:tcPr>
            <w:tcW w:w="1128" w:type="dxa"/>
            <w:shd w:val="clear" w:color="auto" w:fill="auto"/>
            <w:vAlign w:val="center"/>
          </w:tcPr>
          <w:p w14:paraId="5DCD6D66"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80.0</w:t>
            </w:r>
          </w:p>
        </w:tc>
        <w:tc>
          <w:tcPr>
            <w:tcW w:w="857" w:type="dxa"/>
            <w:shd w:val="clear" w:color="auto" w:fill="auto"/>
            <w:vAlign w:val="center"/>
          </w:tcPr>
          <w:p w14:paraId="2CEABB72"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-10</w:t>
            </w:r>
          </w:p>
        </w:tc>
        <w:tc>
          <w:tcPr>
            <w:tcW w:w="1169" w:type="dxa"/>
            <w:shd w:val="clear" w:color="auto" w:fill="auto"/>
            <w:vAlign w:val="center"/>
          </w:tcPr>
          <w:p w14:paraId="4425D2A4"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r>
      <w:tr w:rsidR="001177AB" w:rsidRPr="00DD6A7A" w14:paraId="2130F993" w14:textId="77777777" w:rsidTr="00280524">
        <w:trPr>
          <w:trHeight w:val="370"/>
        </w:trPr>
        <w:tc>
          <w:tcPr>
            <w:tcW w:w="993" w:type="dxa"/>
            <w:shd w:val="clear" w:color="auto" w:fill="auto"/>
            <w:vAlign w:val="center"/>
          </w:tcPr>
          <w:p w14:paraId="1F82EDDC"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De produs</w:t>
            </w:r>
          </w:p>
        </w:tc>
        <w:tc>
          <w:tcPr>
            <w:tcW w:w="584" w:type="dxa"/>
            <w:shd w:val="clear" w:color="auto" w:fill="auto"/>
          </w:tcPr>
          <w:p w14:paraId="7CEBCB96" w14:textId="77777777" w:rsidR="001177AB" w:rsidRPr="00DD6A7A" w:rsidRDefault="001177AB" w:rsidP="006E1CD3">
            <w:pPr>
              <w:suppressAutoHyphens/>
              <w:spacing w:after="0" w:line="240" w:lineRule="auto"/>
              <w:rPr>
                <w:rFonts w:ascii="Times New Roman" w:eastAsia="Times New Roman" w:hAnsi="Times New Roman" w:cs="Times New Roman"/>
                <w:sz w:val="18"/>
                <w:szCs w:val="18"/>
                <w:lang w:val="ro-RO" w:eastAsia="ar-SA"/>
              </w:rPr>
            </w:pPr>
            <w:r w:rsidRPr="00DD6A7A">
              <w:rPr>
                <w:rFonts w:ascii="Times New Roman" w:eastAsia="Times New Roman" w:hAnsi="Times New Roman" w:cs="Times New Roman"/>
                <w:b/>
                <w:color w:val="000000"/>
                <w:sz w:val="18"/>
                <w:szCs w:val="18"/>
                <w:lang w:val="ro-RO" w:eastAsia="ar-SA"/>
              </w:rPr>
              <w:t>o4</w:t>
            </w:r>
          </w:p>
        </w:tc>
        <w:tc>
          <w:tcPr>
            <w:tcW w:w="3296" w:type="dxa"/>
            <w:shd w:val="clear" w:color="auto" w:fill="auto"/>
            <w:vAlign w:val="center"/>
          </w:tcPr>
          <w:p w14:paraId="7CEE424F" w14:textId="77777777" w:rsidR="001177AB" w:rsidRPr="00DD6A7A" w:rsidRDefault="001177AB" w:rsidP="006E1CD3">
            <w:pPr>
              <w:suppressAutoHyphens/>
              <w:spacing w:after="0" w:line="240" w:lineRule="auto"/>
              <w:jc w:val="both"/>
              <w:rPr>
                <w:rFonts w:ascii="Times New Roman" w:eastAsia="Times New Roman" w:hAnsi="Times New Roman" w:cs="Times New Roman"/>
                <w:color w:val="000000"/>
                <w:sz w:val="18"/>
                <w:szCs w:val="18"/>
                <w:lang w:val="ro-RO" w:eastAsia="ar-SA"/>
              </w:rPr>
            </w:pPr>
            <w:r w:rsidRPr="00DD6A7A">
              <w:rPr>
                <w:rFonts w:ascii="Times New Roman" w:eastAsia="Times New Roman" w:hAnsi="Times New Roman" w:cs="Times New Roman"/>
                <w:color w:val="000000"/>
                <w:sz w:val="18"/>
                <w:szCs w:val="18"/>
                <w:lang w:val="ro-RO" w:eastAsia="ar-SA"/>
              </w:rPr>
              <w:t>Numărul instrucţiunilor (liniilor directorii) elaborate privind prelucrarea datelor cu caracter personal în diferite sectoare (medical, electoral, educaţional, financiar-bancar, poliţienesc etc.)</w:t>
            </w:r>
          </w:p>
        </w:tc>
        <w:tc>
          <w:tcPr>
            <w:tcW w:w="992" w:type="dxa"/>
            <w:shd w:val="clear" w:color="auto" w:fill="auto"/>
            <w:vAlign w:val="center"/>
          </w:tcPr>
          <w:p w14:paraId="5B72C49D" w14:textId="77777777" w:rsidR="001177AB" w:rsidRPr="00DD6A7A" w:rsidRDefault="001177AB" w:rsidP="006E1CD3">
            <w:pPr>
              <w:suppressAutoHyphens/>
              <w:spacing w:after="0" w:line="240" w:lineRule="auto"/>
              <w:jc w:val="center"/>
              <w:rPr>
                <w:rFonts w:ascii="Times New Roman" w:eastAsia="Times New Roman" w:hAnsi="Times New Roman" w:cs="Times New Roman"/>
                <w:sz w:val="18"/>
                <w:szCs w:val="18"/>
                <w:lang w:val="ro-RO" w:eastAsia="ar-SA"/>
              </w:rPr>
            </w:pPr>
            <w:r w:rsidRPr="00DD6A7A">
              <w:rPr>
                <w:rFonts w:ascii="Times New Roman" w:eastAsia="Times New Roman" w:hAnsi="Times New Roman" w:cs="Times New Roman"/>
                <w:b/>
                <w:color w:val="000000"/>
                <w:sz w:val="18"/>
                <w:szCs w:val="18"/>
                <w:lang w:val="ro-RO" w:eastAsia="ar-SA"/>
              </w:rPr>
              <w:t>unităţi</w:t>
            </w:r>
          </w:p>
        </w:tc>
        <w:tc>
          <w:tcPr>
            <w:tcW w:w="850" w:type="dxa"/>
            <w:shd w:val="clear" w:color="auto" w:fill="auto"/>
            <w:vAlign w:val="center"/>
          </w:tcPr>
          <w:p w14:paraId="5CED94DF"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2</w:t>
            </w:r>
          </w:p>
        </w:tc>
        <w:tc>
          <w:tcPr>
            <w:tcW w:w="1128" w:type="dxa"/>
            <w:shd w:val="clear" w:color="auto" w:fill="auto"/>
            <w:vAlign w:val="center"/>
          </w:tcPr>
          <w:p w14:paraId="2175270D"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c>
          <w:tcPr>
            <w:tcW w:w="857" w:type="dxa"/>
            <w:shd w:val="clear" w:color="auto" w:fill="auto"/>
            <w:vAlign w:val="center"/>
          </w:tcPr>
          <w:p w14:paraId="2667D0C0"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c>
          <w:tcPr>
            <w:tcW w:w="1169" w:type="dxa"/>
            <w:shd w:val="clear" w:color="auto" w:fill="auto"/>
            <w:vAlign w:val="center"/>
          </w:tcPr>
          <w:p w14:paraId="77C023F9"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r>
      <w:tr w:rsidR="001177AB" w:rsidRPr="00DD6A7A" w14:paraId="6CBAA6ED" w14:textId="77777777" w:rsidTr="00280524">
        <w:trPr>
          <w:trHeight w:val="340"/>
        </w:trPr>
        <w:tc>
          <w:tcPr>
            <w:tcW w:w="993" w:type="dxa"/>
            <w:vMerge w:val="restart"/>
            <w:shd w:val="clear" w:color="auto" w:fill="auto"/>
            <w:vAlign w:val="center"/>
          </w:tcPr>
          <w:p w14:paraId="6EE34874"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De eficiență</w:t>
            </w:r>
          </w:p>
        </w:tc>
        <w:tc>
          <w:tcPr>
            <w:tcW w:w="584" w:type="dxa"/>
            <w:shd w:val="clear" w:color="auto" w:fill="auto"/>
            <w:vAlign w:val="center"/>
          </w:tcPr>
          <w:p w14:paraId="205F71FE" w14:textId="77777777" w:rsidR="001177AB" w:rsidRPr="00DD6A7A" w:rsidRDefault="001177AB" w:rsidP="006E1CD3">
            <w:pPr>
              <w:suppressAutoHyphens/>
              <w:spacing w:after="0" w:line="240" w:lineRule="auto"/>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e4</w:t>
            </w:r>
          </w:p>
        </w:tc>
        <w:tc>
          <w:tcPr>
            <w:tcW w:w="3296" w:type="dxa"/>
            <w:shd w:val="clear" w:color="auto" w:fill="auto"/>
            <w:vAlign w:val="center"/>
          </w:tcPr>
          <w:p w14:paraId="08A4EDD3" w14:textId="77777777" w:rsidR="001177AB" w:rsidRPr="00DD6A7A" w:rsidRDefault="001177AB" w:rsidP="006E1CD3">
            <w:pPr>
              <w:suppressAutoHyphens/>
              <w:spacing w:after="0" w:line="240" w:lineRule="auto"/>
              <w:rPr>
                <w:rFonts w:ascii="Times New Roman" w:eastAsia="Times New Roman" w:hAnsi="Times New Roman" w:cs="Times New Roman"/>
                <w:sz w:val="18"/>
                <w:szCs w:val="18"/>
                <w:lang w:val="ro-RO" w:eastAsia="nl-NL"/>
              </w:rPr>
            </w:pPr>
            <w:r w:rsidRPr="00DD6A7A">
              <w:rPr>
                <w:rFonts w:ascii="Times New Roman" w:eastAsia="Times New Roman" w:hAnsi="Times New Roman" w:cs="Times New Roman"/>
                <w:sz w:val="18"/>
                <w:szCs w:val="18"/>
                <w:lang w:val="ro-RO" w:eastAsia="nl-NL"/>
              </w:rPr>
              <w:t>Cheltuieli necesare pentru organizarea unei acţiuni de promovare a noţiunilor de "date cu caracter personal" şi "viaţă privată", precum şi a principiilor de protecţie a datelor cu caracter personal</w:t>
            </w:r>
          </w:p>
        </w:tc>
        <w:tc>
          <w:tcPr>
            <w:tcW w:w="992" w:type="dxa"/>
            <w:shd w:val="clear" w:color="auto" w:fill="auto"/>
            <w:vAlign w:val="center"/>
          </w:tcPr>
          <w:p w14:paraId="3A44753E"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lei/unitate</w:t>
            </w:r>
          </w:p>
        </w:tc>
        <w:tc>
          <w:tcPr>
            <w:tcW w:w="850" w:type="dxa"/>
            <w:shd w:val="clear" w:color="auto" w:fill="auto"/>
            <w:vAlign w:val="center"/>
          </w:tcPr>
          <w:p w14:paraId="6F52B133"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5000</w:t>
            </w:r>
          </w:p>
        </w:tc>
        <w:tc>
          <w:tcPr>
            <w:tcW w:w="1128" w:type="dxa"/>
            <w:shd w:val="clear" w:color="auto" w:fill="auto"/>
            <w:vAlign w:val="center"/>
          </w:tcPr>
          <w:p w14:paraId="5264DE06"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5500</w:t>
            </w:r>
          </w:p>
        </w:tc>
        <w:tc>
          <w:tcPr>
            <w:tcW w:w="857" w:type="dxa"/>
            <w:shd w:val="clear" w:color="auto" w:fill="auto"/>
            <w:vAlign w:val="center"/>
          </w:tcPr>
          <w:p w14:paraId="02A6669F"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+500</w:t>
            </w:r>
          </w:p>
        </w:tc>
        <w:tc>
          <w:tcPr>
            <w:tcW w:w="1169" w:type="dxa"/>
            <w:shd w:val="clear" w:color="auto" w:fill="auto"/>
            <w:vAlign w:val="center"/>
          </w:tcPr>
          <w:p w14:paraId="44BB9E74" w14:textId="77777777" w:rsidR="001177AB" w:rsidRPr="00DD6A7A" w:rsidRDefault="001177AB" w:rsidP="006E1CD3">
            <w:pPr>
              <w:suppressAutoHyphens/>
              <w:spacing w:after="0" w:line="240" w:lineRule="auto"/>
              <w:jc w:val="center"/>
              <w:rPr>
                <w:rFonts w:ascii="Times New Roman" w:eastAsia="Times New Roman" w:hAnsi="Times New Roman" w:cs="Times New Roman"/>
                <w:color w:val="000000"/>
                <w:sz w:val="18"/>
                <w:szCs w:val="18"/>
                <w:lang w:val="ro-RO" w:eastAsia="ar-SA"/>
              </w:rPr>
            </w:pPr>
            <w:r w:rsidRPr="00DD6A7A">
              <w:rPr>
                <w:rFonts w:ascii="Times New Roman" w:eastAsia="Times New Roman" w:hAnsi="Times New Roman" w:cs="Times New Roman"/>
                <w:color w:val="000000"/>
                <w:sz w:val="18"/>
                <w:szCs w:val="18"/>
                <w:lang w:val="ro-RO" w:eastAsia="ar-SA"/>
              </w:rPr>
              <w:t>-</w:t>
            </w:r>
          </w:p>
        </w:tc>
      </w:tr>
      <w:tr w:rsidR="001177AB" w:rsidRPr="00DD6A7A" w14:paraId="2B976C78" w14:textId="77777777" w:rsidTr="00280524">
        <w:trPr>
          <w:trHeight w:val="340"/>
        </w:trPr>
        <w:tc>
          <w:tcPr>
            <w:tcW w:w="993" w:type="dxa"/>
            <w:vMerge/>
            <w:shd w:val="clear" w:color="auto" w:fill="auto"/>
            <w:vAlign w:val="center"/>
          </w:tcPr>
          <w:p w14:paraId="4FA2BA53"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584" w:type="dxa"/>
            <w:shd w:val="clear" w:color="auto" w:fill="auto"/>
            <w:vAlign w:val="center"/>
          </w:tcPr>
          <w:p w14:paraId="30D2CF1B"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e6</w:t>
            </w:r>
          </w:p>
        </w:tc>
        <w:tc>
          <w:tcPr>
            <w:tcW w:w="3296" w:type="dxa"/>
            <w:shd w:val="clear" w:color="auto" w:fill="auto"/>
            <w:vAlign w:val="center"/>
          </w:tcPr>
          <w:p w14:paraId="22600731" w14:textId="77777777" w:rsidR="001177AB" w:rsidRPr="00DD6A7A" w:rsidRDefault="001177AB" w:rsidP="006E1CD3">
            <w:pPr>
              <w:suppressAutoHyphens/>
              <w:spacing w:after="0" w:line="240" w:lineRule="auto"/>
              <w:rPr>
                <w:rFonts w:ascii="Times New Roman" w:eastAsia="Times New Roman" w:hAnsi="Times New Roman" w:cs="Times New Roman"/>
                <w:sz w:val="18"/>
                <w:szCs w:val="18"/>
                <w:lang w:val="ro-RO" w:eastAsia="nl-NL"/>
              </w:rPr>
            </w:pPr>
            <w:r w:rsidRPr="00DD6A7A">
              <w:rPr>
                <w:rFonts w:ascii="Times New Roman" w:eastAsia="Times New Roman" w:hAnsi="Times New Roman" w:cs="Times New Roman"/>
                <w:sz w:val="18"/>
                <w:szCs w:val="18"/>
                <w:lang w:val="ro-RO" w:eastAsia="nl-NL"/>
              </w:rPr>
              <w:t>Timpul necesar asigurării examinării procedurilor contravenționale și în ordine de contencios administrativ în instanța de judecată</w:t>
            </w:r>
          </w:p>
        </w:tc>
        <w:tc>
          <w:tcPr>
            <w:tcW w:w="992" w:type="dxa"/>
            <w:shd w:val="clear" w:color="auto" w:fill="auto"/>
            <w:vAlign w:val="center"/>
          </w:tcPr>
          <w:p w14:paraId="5900A81C"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zile</w:t>
            </w:r>
          </w:p>
        </w:tc>
        <w:tc>
          <w:tcPr>
            <w:tcW w:w="850" w:type="dxa"/>
            <w:shd w:val="clear" w:color="auto" w:fill="auto"/>
            <w:vAlign w:val="center"/>
          </w:tcPr>
          <w:p w14:paraId="093E14B0"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50</w:t>
            </w:r>
          </w:p>
        </w:tc>
        <w:tc>
          <w:tcPr>
            <w:tcW w:w="1128" w:type="dxa"/>
            <w:shd w:val="clear" w:color="auto" w:fill="auto"/>
            <w:vAlign w:val="center"/>
          </w:tcPr>
          <w:p w14:paraId="2DAC6799"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50</w:t>
            </w:r>
          </w:p>
        </w:tc>
        <w:tc>
          <w:tcPr>
            <w:tcW w:w="857" w:type="dxa"/>
            <w:shd w:val="clear" w:color="auto" w:fill="auto"/>
            <w:vAlign w:val="center"/>
          </w:tcPr>
          <w:p w14:paraId="4A0F333F"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w:t>
            </w:r>
          </w:p>
        </w:tc>
        <w:tc>
          <w:tcPr>
            <w:tcW w:w="1169" w:type="dxa"/>
            <w:shd w:val="clear" w:color="auto" w:fill="auto"/>
            <w:vAlign w:val="center"/>
          </w:tcPr>
          <w:p w14:paraId="442DC97C"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color w:val="000000"/>
                <w:sz w:val="18"/>
                <w:szCs w:val="18"/>
                <w:lang w:val="ro-RO" w:eastAsia="ar-SA"/>
              </w:rPr>
              <w:t>-</w:t>
            </w:r>
          </w:p>
        </w:tc>
      </w:tr>
      <w:tr w:rsidR="001177AB" w:rsidRPr="00DD6A7A" w14:paraId="0DDCD605" w14:textId="77777777" w:rsidTr="00280524">
        <w:trPr>
          <w:trHeight w:val="340"/>
        </w:trPr>
        <w:tc>
          <w:tcPr>
            <w:tcW w:w="4873" w:type="dxa"/>
            <w:gridSpan w:val="3"/>
            <w:shd w:val="clear" w:color="auto" w:fill="auto"/>
            <w:vAlign w:val="center"/>
          </w:tcPr>
          <w:p w14:paraId="6B2909F0" w14:textId="77777777" w:rsidR="001177AB" w:rsidRPr="00DD6A7A" w:rsidRDefault="001177AB" w:rsidP="006E1CD3">
            <w:pPr>
              <w:suppressAutoHyphens/>
              <w:spacing w:after="0" w:line="240" w:lineRule="auto"/>
              <w:rPr>
                <w:rFonts w:ascii="Times New Roman" w:eastAsia="Times New Roman" w:hAnsi="Times New Roman" w:cs="Times New Roman"/>
                <w:b/>
                <w:bCs/>
                <w:sz w:val="18"/>
                <w:szCs w:val="18"/>
                <w:lang w:val="ro-RO" w:eastAsia="ar-SA"/>
              </w:rPr>
            </w:pPr>
            <w:r w:rsidRPr="00DD6A7A">
              <w:rPr>
                <w:rFonts w:ascii="Times New Roman" w:eastAsia="Times New Roman" w:hAnsi="Times New Roman" w:cs="Times New Roman"/>
                <w:b/>
                <w:color w:val="000000"/>
                <w:sz w:val="18"/>
                <w:szCs w:val="18"/>
                <w:lang w:val="ro-RO" w:eastAsia="ar-SA"/>
              </w:rPr>
              <w:t>Cheltuieli, mii lei</w:t>
            </w:r>
          </w:p>
        </w:tc>
        <w:tc>
          <w:tcPr>
            <w:tcW w:w="992" w:type="dxa"/>
            <w:shd w:val="clear" w:color="auto" w:fill="auto"/>
            <w:vAlign w:val="center"/>
          </w:tcPr>
          <w:p w14:paraId="206F2DEE"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850" w:type="dxa"/>
            <w:shd w:val="clear" w:color="auto" w:fill="auto"/>
            <w:vAlign w:val="center"/>
          </w:tcPr>
          <w:p w14:paraId="6441D31C"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Aprobat</w:t>
            </w:r>
          </w:p>
        </w:tc>
        <w:tc>
          <w:tcPr>
            <w:tcW w:w="1128" w:type="dxa"/>
            <w:shd w:val="clear" w:color="auto" w:fill="auto"/>
            <w:vAlign w:val="center"/>
          </w:tcPr>
          <w:p w14:paraId="4C4CB63B"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Precizat</w:t>
            </w:r>
          </w:p>
        </w:tc>
        <w:tc>
          <w:tcPr>
            <w:tcW w:w="857" w:type="dxa"/>
            <w:shd w:val="clear" w:color="auto" w:fill="auto"/>
            <w:vAlign w:val="center"/>
          </w:tcPr>
          <w:p w14:paraId="35F7E634"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Executat</w:t>
            </w:r>
          </w:p>
        </w:tc>
        <w:tc>
          <w:tcPr>
            <w:tcW w:w="1169" w:type="dxa"/>
            <w:shd w:val="clear" w:color="auto" w:fill="auto"/>
            <w:vAlign w:val="center"/>
          </w:tcPr>
          <w:p w14:paraId="02471A88"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Devieri -+</w:t>
            </w:r>
          </w:p>
          <w:p w14:paraId="7CD18B60"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(7-6)</w:t>
            </w:r>
          </w:p>
        </w:tc>
      </w:tr>
      <w:tr w:rsidR="001177AB" w:rsidRPr="00DD6A7A" w14:paraId="44EE5400" w14:textId="77777777" w:rsidTr="00280524">
        <w:trPr>
          <w:trHeight w:val="340"/>
        </w:trPr>
        <w:tc>
          <w:tcPr>
            <w:tcW w:w="4873" w:type="dxa"/>
            <w:gridSpan w:val="3"/>
            <w:shd w:val="clear" w:color="auto" w:fill="auto"/>
            <w:vAlign w:val="center"/>
          </w:tcPr>
          <w:p w14:paraId="6C0B36D6" w14:textId="77777777" w:rsidR="001177AB" w:rsidRPr="00DD6A7A" w:rsidRDefault="001177AB" w:rsidP="006E1CD3">
            <w:pPr>
              <w:suppressAutoHyphens/>
              <w:spacing w:after="0" w:line="240" w:lineRule="auto"/>
              <w:rPr>
                <w:rFonts w:ascii="Times New Roman" w:eastAsia="Times New Roman" w:hAnsi="Times New Roman" w:cs="Times New Roman"/>
                <w:sz w:val="18"/>
                <w:szCs w:val="18"/>
                <w:lang w:val="ro-RO" w:eastAsia="nl-NL"/>
              </w:rPr>
            </w:pPr>
          </w:p>
        </w:tc>
        <w:tc>
          <w:tcPr>
            <w:tcW w:w="992" w:type="dxa"/>
            <w:shd w:val="clear" w:color="auto" w:fill="auto"/>
            <w:vAlign w:val="center"/>
          </w:tcPr>
          <w:p w14:paraId="0543925A"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p>
        </w:tc>
        <w:tc>
          <w:tcPr>
            <w:tcW w:w="850" w:type="dxa"/>
            <w:shd w:val="clear" w:color="auto" w:fill="auto"/>
            <w:vAlign w:val="center"/>
          </w:tcPr>
          <w:p w14:paraId="0C523BAC"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8561,2</w:t>
            </w:r>
          </w:p>
        </w:tc>
        <w:tc>
          <w:tcPr>
            <w:tcW w:w="1128" w:type="dxa"/>
            <w:shd w:val="clear" w:color="auto" w:fill="auto"/>
            <w:vAlign w:val="center"/>
          </w:tcPr>
          <w:p w14:paraId="49C7F912"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8583,8</w:t>
            </w:r>
          </w:p>
        </w:tc>
        <w:tc>
          <w:tcPr>
            <w:tcW w:w="857" w:type="dxa"/>
            <w:shd w:val="clear" w:color="auto" w:fill="auto"/>
            <w:vAlign w:val="center"/>
          </w:tcPr>
          <w:p w14:paraId="17AAFB3D"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6294,73</w:t>
            </w:r>
          </w:p>
        </w:tc>
        <w:tc>
          <w:tcPr>
            <w:tcW w:w="1169" w:type="dxa"/>
            <w:shd w:val="clear" w:color="auto" w:fill="auto"/>
            <w:vAlign w:val="center"/>
          </w:tcPr>
          <w:p w14:paraId="15750285" w14:textId="77777777" w:rsidR="001177AB" w:rsidRPr="00DD6A7A" w:rsidRDefault="001177AB" w:rsidP="006E1CD3">
            <w:pPr>
              <w:suppressAutoHyphens/>
              <w:spacing w:after="0" w:line="240" w:lineRule="auto"/>
              <w:jc w:val="center"/>
              <w:rPr>
                <w:rFonts w:ascii="Times New Roman" w:eastAsia="Times New Roman" w:hAnsi="Times New Roman" w:cs="Times New Roman"/>
                <w:b/>
                <w:color w:val="000000"/>
                <w:sz w:val="18"/>
                <w:szCs w:val="18"/>
                <w:lang w:val="ro-RO" w:eastAsia="ar-SA"/>
              </w:rPr>
            </w:pPr>
            <w:r w:rsidRPr="00DD6A7A">
              <w:rPr>
                <w:rFonts w:ascii="Times New Roman" w:eastAsia="Times New Roman" w:hAnsi="Times New Roman" w:cs="Times New Roman"/>
                <w:b/>
                <w:color w:val="000000"/>
                <w:sz w:val="18"/>
                <w:szCs w:val="18"/>
                <w:lang w:val="ro-RO" w:eastAsia="ar-SA"/>
              </w:rPr>
              <w:t>-2289,0</w:t>
            </w:r>
          </w:p>
        </w:tc>
      </w:tr>
    </w:tbl>
    <w:p w14:paraId="061959DF" w14:textId="77777777" w:rsidR="00531982" w:rsidRPr="00DD6A7A" w:rsidRDefault="001208C3" w:rsidP="008C1B8F">
      <w:pPr>
        <w:jc w:val="both"/>
        <w:rPr>
          <w:rFonts w:ascii="Times New Roman" w:hAnsi="Times New Roman" w:cs="Times New Roman"/>
          <w:i/>
          <w:sz w:val="20"/>
          <w:szCs w:val="20"/>
        </w:rPr>
      </w:pPr>
      <w:r w:rsidRPr="00DD6A7A">
        <w:rPr>
          <w:rFonts w:ascii="Times New Roman" w:hAnsi="Times New Roman" w:cs="Times New Roman"/>
          <w:b/>
          <w:i/>
          <w:sz w:val="24"/>
          <w:szCs w:val="24"/>
        </w:rPr>
        <w:t xml:space="preserve">    </w:t>
      </w:r>
      <w:r w:rsidR="00531982" w:rsidRPr="00DD6A7A">
        <w:rPr>
          <w:rFonts w:ascii="Times New Roman" w:hAnsi="Times New Roman" w:cs="Times New Roman"/>
          <w:b/>
          <w:i/>
          <w:sz w:val="20"/>
          <w:szCs w:val="20"/>
        </w:rPr>
        <w:t>Sursa:</w:t>
      </w:r>
      <w:r w:rsidR="00531982" w:rsidRPr="00DD6A7A">
        <w:rPr>
          <w:rFonts w:ascii="Times New Roman" w:hAnsi="Times New Roman" w:cs="Times New Roman"/>
          <w:i/>
          <w:sz w:val="20"/>
          <w:szCs w:val="20"/>
        </w:rPr>
        <w:t xml:space="preserve"> Rapo</w:t>
      </w:r>
      <w:r w:rsidR="00FD3C4C" w:rsidRPr="00DD6A7A">
        <w:rPr>
          <w:rFonts w:ascii="Times New Roman" w:hAnsi="Times New Roman" w:cs="Times New Roman"/>
          <w:i/>
          <w:sz w:val="20"/>
          <w:szCs w:val="20"/>
        </w:rPr>
        <w:t>artele</w:t>
      </w:r>
      <w:r w:rsidR="00531982" w:rsidRPr="00DD6A7A">
        <w:rPr>
          <w:rFonts w:ascii="Times New Roman" w:hAnsi="Times New Roman" w:cs="Times New Roman"/>
          <w:i/>
          <w:sz w:val="20"/>
          <w:szCs w:val="20"/>
        </w:rPr>
        <w:t xml:space="preserve"> </w:t>
      </w:r>
      <w:r w:rsidR="00FD3C4C" w:rsidRPr="00DD6A7A">
        <w:rPr>
          <w:rFonts w:ascii="Times New Roman" w:hAnsi="Times New Roman" w:cs="Times New Roman"/>
          <w:i/>
          <w:sz w:val="20"/>
          <w:szCs w:val="20"/>
        </w:rPr>
        <w:t>de</w:t>
      </w:r>
      <w:r w:rsidR="00531982" w:rsidRPr="00DD6A7A">
        <w:rPr>
          <w:rFonts w:ascii="Times New Roman" w:hAnsi="Times New Roman" w:cs="Times New Roman"/>
          <w:i/>
          <w:sz w:val="20"/>
          <w:szCs w:val="20"/>
        </w:rPr>
        <w:t xml:space="preserve"> performanț</w:t>
      </w:r>
      <w:r w:rsidR="00FD3C4C" w:rsidRPr="00DD6A7A">
        <w:rPr>
          <w:rFonts w:ascii="Times New Roman" w:hAnsi="Times New Roman" w:cs="Times New Roman"/>
          <w:i/>
          <w:sz w:val="20"/>
          <w:szCs w:val="20"/>
        </w:rPr>
        <w:t>ă</w:t>
      </w:r>
      <w:r w:rsidR="00531982" w:rsidRPr="00DD6A7A">
        <w:rPr>
          <w:rFonts w:ascii="Times New Roman" w:hAnsi="Times New Roman" w:cs="Times New Roman"/>
          <w:i/>
          <w:sz w:val="20"/>
          <w:szCs w:val="20"/>
        </w:rPr>
        <w:t xml:space="preserve"> pe program/subprogram la situația din 31.12.20</w:t>
      </w:r>
      <w:r w:rsidR="00FD3C4C" w:rsidRPr="00DD6A7A">
        <w:rPr>
          <w:rFonts w:ascii="Times New Roman" w:hAnsi="Times New Roman" w:cs="Times New Roman"/>
          <w:i/>
          <w:sz w:val="20"/>
          <w:szCs w:val="20"/>
        </w:rPr>
        <w:t xml:space="preserve">18 - </w:t>
      </w:r>
      <w:r w:rsidR="00531982" w:rsidRPr="00DD6A7A">
        <w:rPr>
          <w:rFonts w:ascii="Times New Roman" w:hAnsi="Times New Roman" w:cs="Times New Roman"/>
          <w:i/>
          <w:sz w:val="20"/>
          <w:szCs w:val="20"/>
        </w:rPr>
        <w:t>31.12.2022</w:t>
      </w:r>
      <w:r w:rsidR="002433C4" w:rsidRPr="00DD6A7A">
        <w:rPr>
          <w:rFonts w:ascii="Times New Roman" w:hAnsi="Times New Roman" w:cs="Times New Roman"/>
          <w:i/>
          <w:sz w:val="20"/>
          <w:szCs w:val="20"/>
        </w:rPr>
        <w:t>.</w:t>
      </w:r>
    </w:p>
    <w:p w14:paraId="159979A2" w14:textId="77777777" w:rsidR="00FA4221" w:rsidRPr="00DD6A7A" w:rsidRDefault="00FA4221" w:rsidP="008C1B8F">
      <w:pPr>
        <w:jc w:val="both"/>
        <w:rPr>
          <w:rFonts w:ascii="Times New Roman" w:hAnsi="Times New Roman" w:cs="Times New Roman"/>
          <w:i/>
          <w:sz w:val="24"/>
          <w:szCs w:val="24"/>
        </w:rPr>
      </w:pPr>
    </w:p>
    <w:p w14:paraId="3BDC097A" w14:textId="77777777" w:rsidR="00FA4221" w:rsidRPr="00DD6A7A" w:rsidRDefault="004738C4" w:rsidP="004738C4">
      <w:pPr>
        <w:jc w:val="right"/>
        <w:rPr>
          <w:rFonts w:ascii="Times New Roman" w:hAnsi="Times New Roman" w:cs="Times New Roman"/>
          <w:b/>
          <w:i/>
          <w:sz w:val="24"/>
          <w:szCs w:val="24"/>
        </w:rPr>
      </w:pPr>
      <w:r w:rsidRPr="00DD6A7A">
        <w:rPr>
          <w:rFonts w:ascii="Times New Roman" w:hAnsi="Times New Roman" w:cs="Times New Roman"/>
          <w:b/>
          <w:i/>
          <w:sz w:val="24"/>
          <w:szCs w:val="24"/>
        </w:rPr>
        <w:t>Anexa nr.7</w:t>
      </w:r>
    </w:p>
    <w:p w14:paraId="03646E0F" w14:textId="77777777" w:rsidR="00FA4221" w:rsidRPr="00605F45" w:rsidRDefault="00B31E12" w:rsidP="00605F45">
      <w:pPr>
        <w:spacing w:after="0" w:line="240" w:lineRule="auto"/>
        <w:jc w:val="center"/>
        <w:rPr>
          <w:rFonts w:ascii="Times New Roman" w:hAnsi="Times New Roman" w:cs="Times New Roman"/>
          <w:b/>
          <w:i/>
          <w:lang w:val="ro-RO"/>
        </w:rPr>
      </w:pPr>
      <w:r w:rsidRPr="00605F45">
        <w:rPr>
          <w:rFonts w:ascii="Times New Roman" w:eastAsia="Times New Roman" w:hAnsi="Times New Roman" w:cs="Times New Roman"/>
          <w:b/>
          <w:bCs/>
          <w:lang w:val="ro-RO"/>
        </w:rPr>
        <w:t xml:space="preserve">Extras </w:t>
      </w:r>
      <w:r w:rsidR="006D2567" w:rsidRPr="00605F45">
        <w:rPr>
          <w:rFonts w:ascii="Times New Roman" w:eastAsia="Times New Roman" w:hAnsi="Times New Roman" w:cs="Times New Roman"/>
          <w:b/>
          <w:bCs/>
          <w:lang w:val="ro-RO"/>
        </w:rPr>
        <w:t xml:space="preserve">privind indicatorii de performanță </w:t>
      </w:r>
      <w:r w:rsidRPr="00605F45">
        <w:rPr>
          <w:rFonts w:ascii="Times New Roman" w:eastAsia="Times New Roman" w:hAnsi="Times New Roman" w:cs="Times New Roman"/>
          <w:b/>
          <w:bCs/>
          <w:lang w:val="ro-RO"/>
        </w:rPr>
        <w:t>din P</w:t>
      </w:r>
      <w:r w:rsidR="006D2567" w:rsidRPr="00605F45">
        <w:rPr>
          <w:rFonts w:ascii="Times New Roman" w:eastAsia="Times New Roman" w:hAnsi="Times New Roman" w:cs="Times New Roman"/>
          <w:b/>
          <w:bCs/>
          <w:lang w:val="ro-RO"/>
        </w:rPr>
        <w:t>lanul Național de Acțiuni</w:t>
      </w:r>
      <w:r w:rsidR="00605F45">
        <w:rPr>
          <w:rFonts w:ascii="Times New Roman" w:eastAsia="Times New Roman" w:hAnsi="Times New Roman" w:cs="Times New Roman"/>
          <w:b/>
          <w:bCs/>
          <w:lang w:val="ro-RO"/>
        </w:rPr>
        <w:t xml:space="preserve"> </w:t>
      </w:r>
      <w:r w:rsidRPr="00605F45">
        <w:rPr>
          <w:rFonts w:ascii="Times New Roman" w:eastAsia="Times New Roman" w:hAnsi="Times New Roman" w:cs="Times New Roman"/>
          <w:b/>
          <w:bCs/>
          <w:lang w:val="ro-RO"/>
        </w:rPr>
        <w:t xml:space="preserve">pentru implementarea Acordului de Asociere Republica Moldova </w:t>
      </w:r>
      <w:r w:rsidR="00605F45">
        <w:rPr>
          <w:rFonts w:ascii="Times New Roman" w:eastAsia="Times New Roman" w:hAnsi="Times New Roman" w:cs="Times New Roman"/>
          <w:b/>
          <w:bCs/>
          <w:lang w:val="ro-RO"/>
        </w:rPr>
        <w:t>-</w:t>
      </w:r>
      <w:r w:rsidRPr="00605F45">
        <w:rPr>
          <w:rFonts w:ascii="Times New Roman" w:eastAsia="Times New Roman" w:hAnsi="Times New Roman" w:cs="Times New Roman"/>
          <w:b/>
          <w:bCs/>
          <w:lang w:val="ro-RO"/>
        </w:rPr>
        <w:t xml:space="preserve"> Uniunea Europeană</w:t>
      </w:r>
      <w:r w:rsidR="00605F45">
        <w:rPr>
          <w:rFonts w:ascii="Times New Roman" w:eastAsia="Times New Roman" w:hAnsi="Times New Roman" w:cs="Times New Roman"/>
          <w:b/>
          <w:bCs/>
          <w:lang w:val="ro-RO"/>
        </w:rPr>
        <w:t xml:space="preserve"> </w:t>
      </w:r>
      <w:r w:rsidRPr="00605F45">
        <w:rPr>
          <w:rFonts w:ascii="Times New Roman" w:eastAsia="Times New Roman" w:hAnsi="Times New Roman" w:cs="Times New Roman"/>
          <w:b/>
          <w:bCs/>
          <w:lang w:val="ro-RO"/>
        </w:rPr>
        <w:t>în perioada 2017–2019</w:t>
      </w:r>
    </w:p>
    <w:tbl>
      <w:tblPr>
        <w:tblW w:w="5378" w:type="pct"/>
        <w:jc w:val="center"/>
        <w:tblLayout w:type="fixed"/>
        <w:tblCellMar>
          <w:top w:w="15" w:type="dxa"/>
          <w:left w:w="15" w:type="dxa"/>
          <w:bottom w:w="15" w:type="dxa"/>
          <w:right w:w="15" w:type="dxa"/>
        </w:tblCellMar>
        <w:tblLook w:val="04A0" w:firstRow="1" w:lastRow="0" w:firstColumn="1" w:lastColumn="0" w:noHBand="0" w:noVBand="1"/>
      </w:tblPr>
      <w:tblGrid>
        <w:gridCol w:w="343"/>
        <w:gridCol w:w="1541"/>
        <w:gridCol w:w="148"/>
        <w:gridCol w:w="2297"/>
        <w:gridCol w:w="1591"/>
        <w:gridCol w:w="2025"/>
        <w:gridCol w:w="1157"/>
        <w:gridCol w:w="1301"/>
      </w:tblGrid>
      <w:tr w:rsidR="00FA4221" w:rsidRPr="00DD6A7A" w14:paraId="79F31A0D" w14:textId="77777777" w:rsidTr="00D4082B">
        <w:trPr>
          <w:jc w:val="center"/>
        </w:trPr>
        <w:tc>
          <w:tcPr>
            <w:tcW w:w="33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DED5AB" w14:textId="77777777" w:rsidR="00FA4221" w:rsidRPr="00DD6A7A" w:rsidRDefault="00FA4221" w:rsidP="00B31E12">
            <w:pPr>
              <w:spacing w:after="0" w:line="240" w:lineRule="auto"/>
              <w:jc w:val="center"/>
              <w:rPr>
                <w:rFonts w:ascii="Times New Roman" w:eastAsia="Times New Roman" w:hAnsi="Times New Roman" w:cs="Times New Roman"/>
                <w:sz w:val="18"/>
                <w:szCs w:val="18"/>
                <w:lang w:val="ro-RO"/>
              </w:rPr>
            </w:pPr>
            <w:r w:rsidRPr="00DD6A7A">
              <w:rPr>
                <w:rFonts w:ascii="Times New Roman" w:eastAsia="Times New Roman" w:hAnsi="Times New Roman" w:cs="Times New Roman"/>
                <w:b/>
                <w:bCs/>
                <w:sz w:val="18"/>
                <w:szCs w:val="18"/>
                <w:lang w:val="ro-RO"/>
              </w:rPr>
              <w:t>13</w:t>
            </w:r>
          </w:p>
        </w:tc>
        <w:tc>
          <w:tcPr>
            <w:tcW w:w="9862" w:type="dxa"/>
            <w:gridSpan w:val="7"/>
            <w:tcBorders>
              <w:top w:val="single" w:sz="6" w:space="0" w:color="000000"/>
              <w:left w:val="single" w:sz="6" w:space="0" w:color="000000"/>
              <w:bottom w:val="single" w:sz="6" w:space="0" w:color="000000"/>
              <w:right w:val="single" w:sz="6" w:space="0" w:color="000000"/>
            </w:tcBorders>
            <w:shd w:val="clear" w:color="auto" w:fill="00B0F0"/>
            <w:tcMar>
              <w:top w:w="15" w:type="dxa"/>
              <w:left w:w="45" w:type="dxa"/>
              <w:bottom w:w="15" w:type="dxa"/>
              <w:right w:w="45" w:type="dxa"/>
            </w:tcMar>
            <w:hideMark/>
          </w:tcPr>
          <w:p w14:paraId="05B7DF03" w14:textId="77777777" w:rsidR="00FA4221" w:rsidRPr="00DD6A7A" w:rsidRDefault="00FA4221" w:rsidP="00B31E12">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b/>
                <w:bCs/>
                <w:sz w:val="18"/>
                <w:szCs w:val="18"/>
                <w:lang w:val="ro-RO"/>
              </w:rPr>
              <w:t>Protecția datelor cu caracter personal</w:t>
            </w:r>
          </w:p>
        </w:tc>
      </w:tr>
      <w:tr w:rsidR="00FA4221" w:rsidRPr="00DD6A7A" w14:paraId="20ECCF25" w14:textId="77777777" w:rsidTr="006F6515">
        <w:trPr>
          <w:jc w:val="center"/>
        </w:trPr>
        <w:tc>
          <w:tcPr>
            <w:tcW w:w="337"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3B6C1D" w14:textId="77777777" w:rsidR="00FA4221" w:rsidRPr="00DD6A7A" w:rsidRDefault="00FA4221" w:rsidP="00B31E12">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lastRenderedPageBreak/>
              <w:t> </w:t>
            </w:r>
          </w:p>
        </w:tc>
        <w:tc>
          <w:tcPr>
            <w:tcW w:w="1511"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AF9D6E" w14:textId="77777777" w:rsidR="00FA4221" w:rsidRPr="00DD6A7A" w:rsidRDefault="00FA4221" w:rsidP="00D25589">
            <w:pPr>
              <w:spacing w:after="0" w:line="240" w:lineRule="auto"/>
              <w:rPr>
                <w:rFonts w:ascii="Times New Roman" w:eastAsia="Times New Roman" w:hAnsi="Times New Roman" w:cs="Times New Roman"/>
                <w:b/>
                <w:sz w:val="18"/>
                <w:szCs w:val="18"/>
                <w:lang w:val="ro-RO"/>
              </w:rPr>
            </w:pPr>
            <w:r w:rsidRPr="00DD6A7A">
              <w:rPr>
                <w:rFonts w:ascii="Times New Roman" w:eastAsia="Times New Roman" w:hAnsi="Times New Roman" w:cs="Times New Roman"/>
                <w:b/>
                <w:bCs/>
                <w:sz w:val="18"/>
                <w:szCs w:val="18"/>
                <w:lang w:val="ro-RO"/>
              </w:rPr>
              <w:t>(1)</w:t>
            </w:r>
            <w:r w:rsidRPr="00DD6A7A">
              <w:rPr>
                <w:rFonts w:ascii="Times New Roman" w:eastAsia="Times New Roman" w:hAnsi="Times New Roman" w:cs="Times New Roman"/>
                <w:b/>
                <w:sz w:val="18"/>
                <w:szCs w:val="18"/>
                <w:lang w:val="ro-RO"/>
              </w:rPr>
              <w:t xml:space="preserve"> </w:t>
            </w:r>
            <w:r w:rsidR="00D25589">
              <w:rPr>
                <w:rFonts w:ascii="Times New Roman" w:eastAsia="Times New Roman" w:hAnsi="Times New Roman" w:cs="Times New Roman"/>
                <w:b/>
                <w:sz w:val="18"/>
                <w:szCs w:val="18"/>
                <w:lang w:val="ro-RO"/>
              </w:rPr>
              <w:t>P</w:t>
            </w:r>
            <w:r w:rsidR="00D25589" w:rsidRPr="00DD6A7A">
              <w:rPr>
                <w:rFonts w:ascii="Times New Roman" w:eastAsia="Times New Roman" w:hAnsi="Times New Roman" w:cs="Times New Roman"/>
                <w:b/>
                <w:sz w:val="18"/>
                <w:szCs w:val="18"/>
                <w:lang w:val="ro-RO"/>
              </w:rPr>
              <w:t>ărțile</w:t>
            </w:r>
            <w:r w:rsidRPr="00DD6A7A">
              <w:rPr>
                <w:rFonts w:ascii="Times New Roman" w:eastAsia="Times New Roman" w:hAnsi="Times New Roman" w:cs="Times New Roman"/>
                <w:b/>
                <w:sz w:val="18"/>
                <w:szCs w:val="18"/>
                <w:lang w:val="ro-RO"/>
              </w:rPr>
              <w:t xml:space="preserve"> convin să coopereze în vederea asigurării unui nivel înalt de </w:t>
            </w:r>
            <w:r w:rsidR="00D25589" w:rsidRPr="00DD6A7A">
              <w:rPr>
                <w:rFonts w:ascii="Times New Roman" w:eastAsia="Times New Roman" w:hAnsi="Times New Roman" w:cs="Times New Roman"/>
                <w:b/>
                <w:sz w:val="18"/>
                <w:szCs w:val="18"/>
                <w:lang w:val="ro-RO"/>
              </w:rPr>
              <w:t>protecție</w:t>
            </w:r>
            <w:r w:rsidRPr="00DD6A7A">
              <w:rPr>
                <w:rFonts w:ascii="Times New Roman" w:eastAsia="Times New Roman" w:hAnsi="Times New Roman" w:cs="Times New Roman"/>
                <w:b/>
                <w:sz w:val="18"/>
                <w:szCs w:val="18"/>
                <w:lang w:val="ro-RO"/>
              </w:rPr>
              <w:t xml:space="preserve"> a datelor cu caracter personal în conformitate cu instrumentele juridice şi cu standardele </w:t>
            </w:r>
            <w:r w:rsidR="00D25589" w:rsidRPr="00DD6A7A">
              <w:rPr>
                <w:rFonts w:ascii="Times New Roman" w:eastAsia="Times New Roman" w:hAnsi="Times New Roman" w:cs="Times New Roman"/>
                <w:b/>
                <w:sz w:val="18"/>
                <w:szCs w:val="18"/>
                <w:lang w:val="ro-RO"/>
              </w:rPr>
              <w:t>internaționale</w:t>
            </w:r>
            <w:r w:rsidRPr="00DD6A7A">
              <w:rPr>
                <w:rFonts w:ascii="Times New Roman" w:eastAsia="Times New Roman" w:hAnsi="Times New Roman" w:cs="Times New Roman"/>
                <w:b/>
                <w:sz w:val="18"/>
                <w:szCs w:val="18"/>
                <w:lang w:val="ro-RO"/>
              </w:rPr>
              <w:t>, ale UE şi ale Consiliului Europei</w:t>
            </w:r>
          </w:p>
        </w:tc>
        <w:tc>
          <w:tcPr>
            <w:tcW w:w="145"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375968" w14:textId="77777777" w:rsidR="00FA4221" w:rsidRPr="00DD6A7A" w:rsidRDefault="00FA4221" w:rsidP="00B31E12">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 </w:t>
            </w: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6DB975" w14:textId="77777777" w:rsidR="00FA4221" w:rsidRPr="006F6515" w:rsidRDefault="006F6515" w:rsidP="006F6515">
            <w:pPr>
              <w:spacing w:after="0" w:line="240" w:lineRule="auto"/>
              <w:jc w:val="center"/>
              <w:rPr>
                <w:rFonts w:ascii="Times New Roman" w:eastAsia="Times New Roman" w:hAnsi="Times New Roman" w:cs="Times New Roman"/>
                <w:i/>
                <w:sz w:val="18"/>
                <w:szCs w:val="18"/>
                <w:lang w:val="ro-RO"/>
              </w:rPr>
            </w:pPr>
            <w:r w:rsidRPr="006F6515">
              <w:rPr>
                <w:rFonts w:ascii="Times New Roman" w:eastAsia="Times New Roman" w:hAnsi="Times New Roman" w:cs="Times New Roman"/>
                <w:i/>
                <w:sz w:val="18"/>
                <w:szCs w:val="18"/>
                <w:lang w:val="ro-RO"/>
              </w:rPr>
              <w:t>1</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708CB4" w14:textId="77777777" w:rsidR="00FA4221" w:rsidRPr="006F6515" w:rsidRDefault="006F6515" w:rsidP="006F6515">
            <w:pPr>
              <w:spacing w:after="0" w:line="240" w:lineRule="auto"/>
              <w:jc w:val="center"/>
              <w:rPr>
                <w:rFonts w:ascii="Times New Roman" w:eastAsia="Times New Roman" w:hAnsi="Times New Roman" w:cs="Times New Roman"/>
                <w:i/>
                <w:sz w:val="18"/>
                <w:szCs w:val="18"/>
                <w:lang w:val="ro-RO"/>
              </w:rPr>
            </w:pPr>
            <w:r w:rsidRPr="006F6515">
              <w:rPr>
                <w:rFonts w:ascii="Times New Roman" w:eastAsia="Times New Roman" w:hAnsi="Times New Roman" w:cs="Times New Roman"/>
                <w:i/>
                <w:sz w:val="18"/>
                <w:szCs w:val="18"/>
                <w:lang w:val="ro-RO"/>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D2AF01" w14:textId="77777777" w:rsidR="00FA4221" w:rsidRPr="006F6515" w:rsidRDefault="006F6515" w:rsidP="006F6515">
            <w:pPr>
              <w:spacing w:after="0" w:line="240" w:lineRule="auto"/>
              <w:jc w:val="center"/>
              <w:rPr>
                <w:rFonts w:ascii="Times New Roman" w:eastAsia="Times New Roman" w:hAnsi="Times New Roman" w:cs="Times New Roman"/>
                <w:i/>
                <w:sz w:val="18"/>
                <w:szCs w:val="18"/>
                <w:lang w:val="ro-RO"/>
              </w:rPr>
            </w:pPr>
            <w:r w:rsidRPr="006F6515">
              <w:rPr>
                <w:rFonts w:ascii="Times New Roman" w:eastAsia="Times New Roman" w:hAnsi="Times New Roman" w:cs="Times New Roman"/>
                <w:i/>
                <w:sz w:val="18"/>
                <w:szCs w:val="18"/>
                <w:lang w:val="ro-RO"/>
              </w:rPr>
              <w:t>3</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909C7F" w14:textId="77777777" w:rsidR="00FA4221" w:rsidRPr="006F6515" w:rsidRDefault="006F6515" w:rsidP="006F6515">
            <w:pPr>
              <w:spacing w:after="0" w:line="240" w:lineRule="auto"/>
              <w:jc w:val="center"/>
              <w:rPr>
                <w:rFonts w:ascii="Times New Roman" w:eastAsia="Times New Roman" w:hAnsi="Times New Roman" w:cs="Times New Roman"/>
                <w:i/>
                <w:sz w:val="18"/>
                <w:szCs w:val="18"/>
                <w:lang w:val="ro-RO"/>
              </w:rPr>
            </w:pPr>
            <w:r w:rsidRPr="006F6515">
              <w:rPr>
                <w:rFonts w:ascii="Times New Roman" w:eastAsia="Times New Roman" w:hAnsi="Times New Roman" w:cs="Times New Roman"/>
                <w:i/>
                <w:sz w:val="18"/>
                <w:szCs w:val="18"/>
                <w:lang w:val="ro-RO"/>
              </w:rPr>
              <w:t>4</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D07386" w14:textId="77777777" w:rsidR="00FA4221" w:rsidRPr="006F6515" w:rsidRDefault="006F6515" w:rsidP="006F6515">
            <w:pPr>
              <w:spacing w:after="0" w:line="240" w:lineRule="auto"/>
              <w:jc w:val="center"/>
              <w:rPr>
                <w:rFonts w:ascii="Times New Roman" w:eastAsia="Times New Roman" w:hAnsi="Times New Roman" w:cs="Times New Roman"/>
                <w:i/>
                <w:sz w:val="18"/>
                <w:szCs w:val="18"/>
                <w:lang w:val="ro-RO"/>
              </w:rPr>
            </w:pPr>
            <w:r w:rsidRPr="006F6515">
              <w:rPr>
                <w:rFonts w:ascii="Times New Roman" w:eastAsia="Times New Roman" w:hAnsi="Times New Roman" w:cs="Times New Roman"/>
                <w:i/>
                <w:sz w:val="18"/>
                <w:szCs w:val="18"/>
                <w:lang w:val="ro-RO"/>
              </w:rPr>
              <w:t>5</w:t>
            </w:r>
          </w:p>
        </w:tc>
      </w:tr>
      <w:tr w:rsidR="006F6515" w:rsidRPr="00DD6A7A" w14:paraId="4299D906" w14:textId="77777777" w:rsidTr="003A4E3B">
        <w:trPr>
          <w:jc w:val="center"/>
        </w:trPr>
        <w:tc>
          <w:tcPr>
            <w:tcW w:w="337" w:type="dxa"/>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D394C2"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511" w:type="dxa"/>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FEB9E8" w14:textId="77777777" w:rsidR="006F6515" w:rsidRPr="00DD6A7A" w:rsidRDefault="006F6515" w:rsidP="006F6515">
            <w:pPr>
              <w:spacing w:after="0" w:line="240" w:lineRule="auto"/>
              <w:rPr>
                <w:rFonts w:ascii="Times New Roman" w:eastAsia="Times New Roman" w:hAnsi="Times New Roman" w:cs="Times New Roman"/>
                <w:b/>
                <w:bCs/>
                <w:sz w:val="18"/>
                <w:szCs w:val="18"/>
                <w:lang w:val="ro-RO"/>
              </w:rPr>
            </w:pPr>
          </w:p>
        </w:tc>
        <w:tc>
          <w:tcPr>
            <w:tcW w:w="145" w:type="dxa"/>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92ED48C"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9CBB7B"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b/>
                <w:bCs/>
                <w:sz w:val="18"/>
                <w:szCs w:val="18"/>
                <w:lang w:val="ro-RO"/>
              </w:rPr>
              <w:t xml:space="preserve">L1. Act nou </w:t>
            </w:r>
            <w:r w:rsidRPr="00DD6A7A">
              <w:rPr>
                <w:rFonts w:ascii="Times New Roman" w:eastAsia="Times New Roman" w:hAnsi="Times New Roman" w:cs="Times New Roman"/>
                <w:b/>
                <w:bCs/>
                <w:sz w:val="18"/>
                <w:szCs w:val="18"/>
                <w:lang w:val="ro-RO"/>
              </w:rPr>
              <w:br/>
            </w:r>
            <w:r w:rsidRPr="00DD6A7A">
              <w:rPr>
                <w:rFonts w:ascii="Times New Roman" w:eastAsia="Times New Roman" w:hAnsi="Times New Roman" w:cs="Times New Roman"/>
                <w:sz w:val="18"/>
                <w:szCs w:val="18"/>
                <w:lang w:val="ro-RO"/>
              </w:rPr>
              <w:t>Proiectul de lege privind regimul mijloacelor video</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D10F24"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Lege intrată în vigoare</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3E870E" w14:textId="23928162"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 xml:space="preserve">Centrul Naţional pentru Protecţia Datelor cu Caracter Personal; </w:t>
            </w:r>
            <w:r w:rsidRPr="00DD6A7A">
              <w:rPr>
                <w:rFonts w:ascii="Times New Roman" w:eastAsia="Times New Roman" w:hAnsi="Times New Roman" w:cs="Times New Roman"/>
                <w:sz w:val="18"/>
                <w:szCs w:val="18"/>
                <w:lang w:val="ro-RO"/>
              </w:rPr>
              <w:br/>
              <w:t xml:space="preserve">Ministerul Afacerilor Interne; </w:t>
            </w:r>
            <w:r w:rsidRPr="00DD6A7A">
              <w:rPr>
                <w:rFonts w:ascii="Times New Roman" w:eastAsia="Times New Roman" w:hAnsi="Times New Roman" w:cs="Times New Roman"/>
                <w:sz w:val="18"/>
                <w:szCs w:val="18"/>
                <w:lang w:val="ro-RO"/>
              </w:rPr>
              <w:br/>
              <w:t>Centrul Naţional Anticorupţie</w:t>
            </w:r>
            <w:r w:rsidR="00942C91">
              <w:rPr>
                <w:rFonts w:ascii="Times New Roman" w:eastAsia="Times New Roman" w:hAnsi="Times New Roman" w:cs="Times New Roman"/>
                <w:sz w:val="18"/>
                <w:szCs w:val="18"/>
                <w:lang w:val="ro-RO"/>
              </w:rPr>
              <w:t>,</w:t>
            </w:r>
            <w:r w:rsidRPr="00DD6A7A">
              <w:rPr>
                <w:rFonts w:ascii="Times New Roman" w:eastAsia="Times New Roman" w:hAnsi="Times New Roman" w:cs="Times New Roman"/>
                <w:sz w:val="18"/>
                <w:szCs w:val="18"/>
                <w:lang w:val="ro-RO"/>
              </w:rPr>
              <w:t xml:space="preserve"> Ministerul Justiţiei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D02004" w14:textId="77777777" w:rsidR="006F6515" w:rsidRPr="00DD6A7A" w:rsidRDefault="006F6515" w:rsidP="006F6515">
            <w:pPr>
              <w:spacing w:after="0" w:line="240" w:lineRule="auto"/>
              <w:jc w:val="center"/>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Trimestrul II, 2018</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692414"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În limita bugetului autorităţilor</w:t>
            </w:r>
          </w:p>
        </w:tc>
      </w:tr>
      <w:tr w:rsidR="006F6515" w:rsidRPr="00DD6A7A" w14:paraId="155E1374" w14:textId="77777777" w:rsidTr="003A4E3B">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14:paraId="23279924"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14:paraId="412ACB60"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14:paraId="21C8FECA"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E347DA" w14:textId="77777777" w:rsidR="006F6515" w:rsidRPr="00D25589" w:rsidRDefault="006F6515" w:rsidP="006F6515">
            <w:pPr>
              <w:spacing w:after="0" w:line="240" w:lineRule="auto"/>
              <w:rPr>
                <w:rFonts w:ascii="Times New Roman" w:eastAsia="Times New Roman" w:hAnsi="Times New Roman" w:cs="Times New Roman"/>
                <w:sz w:val="18"/>
                <w:szCs w:val="18"/>
                <w:lang w:val="ro-RO"/>
              </w:rPr>
            </w:pPr>
            <w:r w:rsidRPr="00D25589">
              <w:rPr>
                <w:rFonts w:ascii="Times New Roman" w:eastAsia="Times New Roman" w:hAnsi="Times New Roman" w:cs="Times New Roman"/>
                <w:b/>
                <w:bCs/>
                <w:sz w:val="18"/>
                <w:szCs w:val="18"/>
                <w:lang w:val="ro-RO"/>
              </w:rPr>
              <w:t>L2.</w:t>
            </w:r>
            <w:r w:rsidRPr="00D25589">
              <w:rPr>
                <w:rFonts w:ascii="Times New Roman" w:eastAsia="Times New Roman" w:hAnsi="Times New Roman" w:cs="Times New Roman"/>
                <w:i/>
                <w:iCs/>
                <w:sz w:val="18"/>
                <w:szCs w:val="18"/>
                <w:lang w:val="ro-RO"/>
              </w:rPr>
              <w:t xml:space="preserve"> </w:t>
            </w:r>
            <w:r w:rsidRPr="00D25589">
              <w:rPr>
                <w:rFonts w:ascii="Times New Roman" w:eastAsia="Times New Roman" w:hAnsi="Times New Roman" w:cs="Times New Roman"/>
                <w:b/>
                <w:bCs/>
                <w:sz w:val="18"/>
                <w:szCs w:val="18"/>
                <w:lang w:val="ro-RO"/>
              </w:rPr>
              <w:t>Act de modificare</w:t>
            </w:r>
            <w:r w:rsidRPr="00D25589">
              <w:rPr>
                <w:rFonts w:ascii="Times New Roman" w:eastAsia="Times New Roman" w:hAnsi="Times New Roman" w:cs="Times New Roman"/>
                <w:sz w:val="18"/>
                <w:szCs w:val="18"/>
                <w:lang w:val="ro-RO"/>
              </w:rPr>
              <w:t xml:space="preserve"> </w:t>
            </w:r>
            <w:r w:rsidRPr="00D25589">
              <w:rPr>
                <w:rFonts w:ascii="Times New Roman" w:eastAsia="Times New Roman" w:hAnsi="Times New Roman" w:cs="Times New Roman"/>
                <w:sz w:val="18"/>
                <w:szCs w:val="18"/>
                <w:lang w:val="ro-RO"/>
              </w:rPr>
              <w:br/>
              <w:t xml:space="preserve">Proiectul de lege privind modificarea şi completarea </w:t>
            </w:r>
            <w:hyperlink r:id="rId20" w:history="1">
              <w:r w:rsidRPr="00D25589">
                <w:rPr>
                  <w:rFonts w:ascii="Times New Roman" w:eastAsia="Times New Roman" w:hAnsi="Times New Roman" w:cs="Times New Roman"/>
                  <w:sz w:val="18"/>
                  <w:szCs w:val="18"/>
                  <w:u w:val="single"/>
                  <w:lang w:val="ro-RO"/>
                </w:rPr>
                <w:t>Legii nr.71-XVI din 22 martie 2007</w:t>
              </w:r>
            </w:hyperlink>
            <w:r w:rsidRPr="00D25589">
              <w:rPr>
                <w:rFonts w:ascii="Times New Roman" w:eastAsia="Times New Roman" w:hAnsi="Times New Roman" w:cs="Times New Roman"/>
                <w:sz w:val="18"/>
                <w:szCs w:val="18"/>
                <w:lang w:val="ro-RO"/>
              </w:rPr>
              <w:t xml:space="preserve"> cu privire la registre </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484013"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Lege intrată în vigoare</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CEF67E"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 xml:space="preserve">Centrul Naţional pentru Protecţia Datelor cu Caracter Personal; </w:t>
            </w:r>
            <w:r w:rsidRPr="00DD6A7A">
              <w:rPr>
                <w:rFonts w:ascii="Times New Roman" w:eastAsia="Times New Roman" w:hAnsi="Times New Roman" w:cs="Times New Roman"/>
                <w:sz w:val="18"/>
                <w:szCs w:val="18"/>
                <w:lang w:val="ro-RO"/>
              </w:rPr>
              <w:br/>
              <w:t xml:space="preserve">Agenţia Servicii Publice; </w:t>
            </w:r>
            <w:r w:rsidRPr="00DD6A7A">
              <w:rPr>
                <w:rFonts w:ascii="Times New Roman" w:eastAsia="Times New Roman" w:hAnsi="Times New Roman" w:cs="Times New Roman"/>
                <w:sz w:val="18"/>
                <w:szCs w:val="18"/>
                <w:lang w:val="ro-RO"/>
              </w:rPr>
              <w:br/>
              <w:t>Ministerul Justiţiei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D2EE3B" w14:textId="77777777" w:rsidR="006F6515" w:rsidRPr="00DD6A7A" w:rsidRDefault="006F6515" w:rsidP="006F6515">
            <w:pPr>
              <w:spacing w:after="0" w:line="240" w:lineRule="auto"/>
              <w:jc w:val="center"/>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Trimestrul III, 2018</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0A1896"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În limita bugetului autorităţilor</w:t>
            </w:r>
          </w:p>
        </w:tc>
      </w:tr>
      <w:tr w:rsidR="006F6515" w:rsidRPr="00DD6A7A" w14:paraId="77579336" w14:textId="77777777" w:rsidTr="003A4E3B">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14:paraId="551CFE44"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14:paraId="54534839"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14:paraId="1A06A487"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E27F27" w14:textId="77777777" w:rsidR="006F6515" w:rsidRPr="00D25589" w:rsidRDefault="006F6515" w:rsidP="006F6515">
            <w:pPr>
              <w:spacing w:after="0" w:line="240" w:lineRule="auto"/>
              <w:rPr>
                <w:rFonts w:ascii="Times New Roman" w:eastAsia="Times New Roman" w:hAnsi="Times New Roman" w:cs="Times New Roman"/>
                <w:sz w:val="18"/>
                <w:szCs w:val="18"/>
                <w:lang w:val="ro-RO"/>
              </w:rPr>
            </w:pPr>
            <w:r w:rsidRPr="00D25589">
              <w:rPr>
                <w:rFonts w:ascii="Times New Roman" w:eastAsia="Times New Roman" w:hAnsi="Times New Roman" w:cs="Times New Roman"/>
                <w:b/>
                <w:bCs/>
                <w:sz w:val="18"/>
                <w:szCs w:val="18"/>
                <w:lang w:val="ro-RO"/>
              </w:rPr>
              <w:t>L3. Act de modificare</w:t>
            </w:r>
            <w:r w:rsidRPr="00D25589">
              <w:rPr>
                <w:rFonts w:ascii="Times New Roman" w:eastAsia="Times New Roman" w:hAnsi="Times New Roman" w:cs="Times New Roman"/>
                <w:sz w:val="18"/>
                <w:szCs w:val="18"/>
                <w:lang w:val="ro-RO"/>
              </w:rPr>
              <w:t xml:space="preserve"> </w:t>
            </w:r>
            <w:r w:rsidRPr="00D25589">
              <w:rPr>
                <w:rFonts w:ascii="Times New Roman" w:eastAsia="Times New Roman" w:hAnsi="Times New Roman" w:cs="Times New Roman"/>
                <w:sz w:val="18"/>
                <w:szCs w:val="18"/>
                <w:lang w:val="ro-RO"/>
              </w:rPr>
              <w:br/>
              <w:t xml:space="preserve">Proiectul de lege privind modificarea şi completarea </w:t>
            </w:r>
            <w:hyperlink r:id="rId21" w:history="1">
              <w:r w:rsidRPr="00D25589">
                <w:rPr>
                  <w:rFonts w:ascii="Times New Roman" w:eastAsia="Times New Roman" w:hAnsi="Times New Roman" w:cs="Times New Roman"/>
                  <w:sz w:val="18"/>
                  <w:szCs w:val="18"/>
                  <w:u w:val="single"/>
                  <w:lang w:val="ro-RO"/>
                </w:rPr>
                <w:t>Legii nr.273-XIII din 9 noiembrie 1994</w:t>
              </w:r>
            </w:hyperlink>
            <w:r w:rsidRPr="00D25589">
              <w:rPr>
                <w:rFonts w:ascii="Times New Roman" w:eastAsia="Times New Roman" w:hAnsi="Times New Roman" w:cs="Times New Roman"/>
                <w:sz w:val="18"/>
                <w:szCs w:val="18"/>
                <w:lang w:val="ro-RO"/>
              </w:rPr>
              <w:t xml:space="preserve"> privind actele de identitate în sistemul naţional de paşapoarte</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349FD0"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Lege intrată în vigoare</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E39B37"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 xml:space="preserve">Centrul Naţional pentru Protecţia Datelor cu Caracter Personal; </w:t>
            </w:r>
            <w:r w:rsidRPr="00DD6A7A">
              <w:rPr>
                <w:rFonts w:ascii="Times New Roman" w:eastAsia="Times New Roman" w:hAnsi="Times New Roman" w:cs="Times New Roman"/>
                <w:sz w:val="18"/>
                <w:szCs w:val="18"/>
                <w:lang w:val="ro-RO"/>
              </w:rPr>
              <w:br/>
              <w:t>Agenţia Servicii Publice</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C69713" w14:textId="77777777" w:rsidR="006F6515" w:rsidRPr="00DD6A7A" w:rsidRDefault="006F6515" w:rsidP="006F6515">
            <w:pPr>
              <w:spacing w:after="0" w:line="240" w:lineRule="auto"/>
              <w:jc w:val="center"/>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Trimestrul III, 2018</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9E84C0"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În limita bugetului autorităţilor</w:t>
            </w:r>
          </w:p>
        </w:tc>
      </w:tr>
      <w:tr w:rsidR="006F6515" w:rsidRPr="00DD6A7A" w14:paraId="3165CC63" w14:textId="77777777" w:rsidTr="003A4E3B">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14:paraId="75B77A2C"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14:paraId="1AD6D80E"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14:paraId="3F2B647B"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BAA2E3" w14:textId="77777777" w:rsidR="006F6515" w:rsidRPr="00D25589" w:rsidRDefault="006F6515" w:rsidP="006F6515">
            <w:pPr>
              <w:spacing w:after="0" w:line="240" w:lineRule="auto"/>
              <w:rPr>
                <w:rFonts w:ascii="Times New Roman" w:eastAsia="Times New Roman" w:hAnsi="Times New Roman" w:cs="Times New Roman"/>
                <w:sz w:val="18"/>
                <w:szCs w:val="18"/>
                <w:lang w:val="ro-RO"/>
              </w:rPr>
            </w:pPr>
            <w:r w:rsidRPr="00D25589">
              <w:rPr>
                <w:rFonts w:ascii="Times New Roman" w:eastAsia="Times New Roman" w:hAnsi="Times New Roman" w:cs="Times New Roman"/>
                <w:b/>
                <w:bCs/>
                <w:sz w:val="18"/>
                <w:szCs w:val="18"/>
                <w:lang w:val="ro-RO"/>
              </w:rPr>
              <w:t>L4. Act de modificare</w:t>
            </w:r>
            <w:r w:rsidRPr="00D25589">
              <w:rPr>
                <w:rFonts w:ascii="Times New Roman" w:eastAsia="Times New Roman" w:hAnsi="Times New Roman" w:cs="Times New Roman"/>
                <w:sz w:val="18"/>
                <w:szCs w:val="18"/>
                <w:lang w:val="ro-RO"/>
              </w:rPr>
              <w:t xml:space="preserve"> </w:t>
            </w:r>
            <w:r w:rsidRPr="00D25589">
              <w:rPr>
                <w:rFonts w:ascii="Times New Roman" w:eastAsia="Times New Roman" w:hAnsi="Times New Roman" w:cs="Times New Roman"/>
                <w:sz w:val="18"/>
                <w:szCs w:val="18"/>
                <w:lang w:val="ro-RO"/>
              </w:rPr>
              <w:br/>
              <w:t xml:space="preserve">Proiectul de lege privind modificarea şi completarea </w:t>
            </w:r>
            <w:hyperlink r:id="rId22" w:history="1">
              <w:r w:rsidRPr="00D25589">
                <w:rPr>
                  <w:rFonts w:ascii="Times New Roman" w:eastAsia="Times New Roman" w:hAnsi="Times New Roman" w:cs="Times New Roman"/>
                  <w:sz w:val="18"/>
                  <w:szCs w:val="18"/>
                  <w:u w:val="single"/>
                  <w:lang w:val="ro-RO"/>
                </w:rPr>
                <w:t>Legii nr.294-XVI din 21 decembrie 2007</w:t>
              </w:r>
            </w:hyperlink>
            <w:r w:rsidRPr="00D25589">
              <w:rPr>
                <w:rFonts w:ascii="Times New Roman" w:eastAsia="Times New Roman" w:hAnsi="Times New Roman" w:cs="Times New Roman"/>
                <w:sz w:val="18"/>
                <w:szCs w:val="18"/>
                <w:lang w:val="ro-RO"/>
              </w:rPr>
              <w:t xml:space="preserve"> privind partidele politice</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07E75C"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Lege intrată în vigoare</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4388DE"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Ministerul Justiţiei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E67B52" w14:textId="77777777" w:rsidR="006F6515" w:rsidRPr="00DD6A7A" w:rsidRDefault="006F6515" w:rsidP="006F6515">
            <w:pPr>
              <w:spacing w:after="0" w:line="240" w:lineRule="auto"/>
              <w:jc w:val="center"/>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Trimestrul IV, 2019</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15EE5A"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În limita bugetului autorităţilor</w:t>
            </w:r>
          </w:p>
        </w:tc>
      </w:tr>
      <w:tr w:rsidR="006F6515" w:rsidRPr="00DD6A7A" w14:paraId="282FF2B2" w14:textId="77777777" w:rsidTr="003A4E3B">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14:paraId="295EB5B4"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14:paraId="316D75A9"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14:paraId="4F47A1DF"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19BAD0" w14:textId="77777777" w:rsidR="006F6515" w:rsidRPr="00D25589" w:rsidRDefault="006F6515" w:rsidP="006F6515">
            <w:pPr>
              <w:spacing w:after="0" w:line="240" w:lineRule="auto"/>
              <w:rPr>
                <w:rFonts w:ascii="Times New Roman" w:eastAsia="Times New Roman" w:hAnsi="Times New Roman" w:cs="Times New Roman"/>
                <w:sz w:val="18"/>
                <w:szCs w:val="18"/>
                <w:lang w:val="ro-RO"/>
              </w:rPr>
            </w:pPr>
            <w:r w:rsidRPr="00D25589">
              <w:rPr>
                <w:rFonts w:ascii="Times New Roman" w:eastAsia="Times New Roman" w:hAnsi="Times New Roman" w:cs="Times New Roman"/>
                <w:b/>
                <w:bCs/>
                <w:sz w:val="18"/>
                <w:szCs w:val="18"/>
                <w:lang w:val="ro-RO"/>
              </w:rPr>
              <w:t>L5. Act de modificare</w:t>
            </w:r>
            <w:r w:rsidRPr="00D25589">
              <w:rPr>
                <w:rFonts w:ascii="Times New Roman" w:eastAsia="Times New Roman" w:hAnsi="Times New Roman" w:cs="Times New Roman"/>
                <w:sz w:val="18"/>
                <w:szCs w:val="18"/>
                <w:lang w:val="ro-RO"/>
              </w:rPr>
              <w:t xml:space="preserve"> </w:t>
            </w:r>
            <w:r w:rsidRPr="00D25589">
              <w:rPr>
                <w:rFonts w:ascii="Times New Roman" w:eastAsia="Times New Roman" w:hAnsi="Times New Roman" w:cs="Times New Roman"/>
                <w:sz w:val="18"/>
                <w:szCs w:val="18"/>
                <w:lang w:val="ro-RO"/>
              </w:rPr>
              <w:br/>
              <w:t>Proiectul de lege pentru modificarea şi completarea unor acte legislative (</w:t>
            </w:r>
            <w:hyperlink r:id="rId23" w:history="1">
              <w:r w:rsidRPr="00D25589">
                <w:rPr>
                  <w:rFonts w:ascii="Times New Roman" w:eastAsia="Times New Roman" w:hAnsi="Times New Roman" w:cs="Times New Roman"/>
                  <w:sz w:val="18"/>
                  <w:szCs w:val="18"/>
                  <w:u w:val="single"/>
                  <w:lang w:val="ro-RO"/>
                </w:rPr>
                <w:t>Legea nr.797-XIII din 02.04.1996</w:t>
              </w:r>
            </w:hyperlink>
            <w:r w:rsidRPr="00D25589">
              <w:rPr>
                <w:rFonts w:ascii="Times New Roman" w:eastAsia="Times New Roman" w:hAnsi="Times New Roman" w:cs="Times New Roman"/>
                <w:sz w:val="18"/>
                <w:szCs w:val="18"/>
                <w:lang w:val="ro-RO"/>
              </w:rPr>
              <w:t xml:space="preserve"> pentru adoptarea Regulamentului Parlamentului, </w:t>
            </w:r>
            <w:hyperlink r:id="rId24" w:history="1">
              <w:r w:rsidRPr="00D25589">
                <w:rPr>
                  <w:rFonts w:ascii="Times New Roman" w:eastAsia="Times New Roman" w:hAnsi="Times New Roman" w:cs="Times New Roman"/>
                  <w:sz w:val="18"/>
                  <w:szCs w:val="18"/>
                  <w:u w:val="single"/>
                  <w:lang w:val="ro-RO"/>
                </w:rPr>
                <w:t>Legea nr.39-XIII din 7 aprilie 1994</w:t>
              </w:r>
            </w:hyperlink>
            <w:r w:rsidRPr="00D25589">
              <w:rPr>
                <w:rFonts w:ascii="Times New Roman" w:eastAsia="Times New Roman" w:hAnsi="Times New Roman" w:cs="Times New Roman"/>
                <w:sz w:val="18"/>
                <w:szCs w:val="18"/>
                <w:lang w:val="ro-RO"/>
              </w:rPr>
              <w:t xml:space="preserve"> despre statutul deputatului în Parlament)</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206607"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Lege intrată în vigoare</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F6D151"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 xml:space="preserve">Ministerul Justiţiei; </w:t>
            </w:r>
            <w:r w:rsidRPr="00DD6A7A">
              <w:rPr>
                <w:rFonts w:ascii="Times New Roman" w:eastAsia="Times New Roman" w:hAnsi="Times New Roman" w:cs="Times New Roman"/>
                <w:sz w:val="18"/>
                <w:szCs w:val="18"/>
                <w:lang w:val="ro-RO"/>
              </w:rPr>
              <w:br/>
              <w:t>Centrul Naţional pentru Protecţia Datelor cu Caracter Personal</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C8E1CC" w14:textId="77777777" w:rsidR="006F6515" w:rsidRPr="00DD6A7A" w:rsidRDefault="006F6515" w:rsidP="006F6515">
            <w:pPr>
              <w:spacing w:after="0" w:line="240" w:lineRule="auto"/>
              <w:jc w:val="center"/>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Trimestrul II, 2018</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8B32FD"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În limita bugetului autorităţii</w:t>
            </w:r>
          </w:p>
        </w:tc>
      </w:tr>
      <w:tr w:rsidR="006F6515" w:rsidRPr="00DD6A7A" w14:paraId="489A22CD" w14:textId="77777777" w:rsidTr="003A4E3B">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14:paraId="527E67E3"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14:paraId="56644568"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14:paraId="5FC78DBB"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952ECE" w14:textId="77777777" w:rsidR="006F6515" w:rsidRPr="00D25589" w:rsidRDefault="006F6515" w:rsidP="006F6515">
            <w:pPr>
              <w:spacing w:after="0" w:line="240" w:lineRule="auto"/>
              <w:rPr>
                <w:rFonts w:ascii="Times New Roman" w:eastAsia="Times New Roman" w:hAnsi="Times New Roman" w:cs="Times New Roman"/>
                <w:sz w:val="18"/>
                <w:szCs w:val="18"/>
                <w:lang w:val="ro-RO"/>
              </w:rPr>
            </w:pPr>
            <w:r w:rsidRPr="00D25589">
              <w:rPr>
                <w:rFonts w:ascii="Times New Roman" w:eastAsia="Times New Roman" w:hAnsi="Times New Roman" w:cs="Times New Roman"/>
                <w:b/>
                <w:bCs/>
                <w:sz w:val="18"/>
                <w:szCs w:val="18"/>
                <w:lang w:val="ro-RO"/>
              </w:rPr>
              <w:t>L6. Act de modificare</w:t>
            </w:r>
            <w:r w:rsidRPr="00D25589">
              <w:rPr>
                <w:rFonts w:ascii="Times New Roman" w:eastAsia="Times New Roman" w:hAnsi="Times New Roman" w:cs="Times New Roman"/>
                <w:sz w:val="18"/>
                <w:szCs w:val="18"/>
                <w:lang w:val="ro-RO"/>
              </w:rPr>
              <w:t xml:space="preserve"> </w:t>
            </w:r>
            <w:r w:rsidRPr="00D25589">
              <w:rPr>
                <w:rFonts w:ascii="Times New Roman" w:eastAsia="Times New Roman" w:hAnsi="Times New Roman" w:cs="Times New Roman"/>
                <w:sz w:val="18"/>
                <w:szCs w:val="18"/>
                <w:lang w:val="ro-RO"/>
              </w:rPr>
              <w:br/>
              <w:t>Proiectul de lege privind modificarea şi completarea unor acte legislative (</w:t>
            </w:r>
            <w:hyperlink r:id="rId25" w:history="1">
              <w:r w:rsidRPr="00D25589">
                <w:rPr>
                  <w:rFonts w:ascii="Times New Roman" w:eastAsia="Times New Roman" w:hAnsi="Times New Roman" w:cs="Times New Roman"/>
                  <w:sz w:val="18"/>
                  <w:szCs w:val="18"/>
                  <w:u w:val="single"/>
                  <w:lang w:val="ro-RO"/>
                </w:rPr>
                <w:t>Legea nr.133 din 8 iulie 2011</w:t>
              </w:r>
            </w:hyperlink>
            <w:r w:rsidRPr="00D25589">
              <w:rPr>
                <w:rFonts w:ascii="Times New Roman" w:eastAsia="Times New Roman" w:hAnsi="Times New Roman" w:cs="Times New Roman"/>
                <w:sz w:val="18"/>
                <w:szCs w:val="18"/>
                <w:lang w:val="ro-RO"/>
              </w:rPr>
              <w:t xml:space="preserve"> privind protecţia datelor cu caracter personal, </w:t>
            </w:r>
            <w:hyperlink r:id="rId26" w:history="1">
              <w:r w:rsidRPr="00D25589">
                <w:rPr>
                  <w:rFonts w:ascii="Times New Roman" w:eastAsia="Times New Roman" w:hAnsi="Times New Roman" w:cs="Times New Roman"/>
                  <w:sz w:val="18"/>
                  <w:szCs w:val="18"/>
                  <w:u w:val="single"/>
                  <w:lang w:val="ro-RO"/>
                </w:rPr>
                <w:t>Legea nr.59 din 29 martie 2012</w:t>
              </w:r>
            </w:hyperlink>
            <w:r w:rsidRPr="00D25589">
              <w:rPr>
                <w:rFonts w:ascii="Times New Roman" w:eastAsia="Times New Roman" w:hAnsi="Times New Roman" w:cs="Times New Roman"/>
                <w:sz w:val="18"/>
                <w:szCs w:val="18"/>
                <w:lang w:val="ro-RO"/>
              </w:rPr>
              <w:t xml:space="preserve"> privind activitatea specială de investigaţii, </w:t>
            </w:r>
            <w:hyperlink r:id="rId27" w:history="1">
              <w:r w:rsidRPr="00D25589">
                <w:rPr>
                  <w:rFonts w:ascii="Times New Roman" w:eastAsia="Times New Roman" w:hAnsi="Times New Roman" w:cs="Times New Roman"/>
                  <w:sz w:val="18"/>
                  <w:szCs w:val="18"/>
                  <w:u w:val="single"/>
                  <w:lang w:val="ro-RO"/>
                </w:rPr>
                <w:t>Legea nr.320 din 27 decembrie 2012</w:t>
              </w:r>
            </w:hyperlink>
            <w:r w:rsidRPr="00D25589">
              <w:rPr>
                <w:rFonts w:ascii="Times New Roman" w:eastAsia="Times New Roman" w:hAnsi="Times New Roman" w:cs="Times New Roman"/>
                <w:sz w:val="18"/>
                <w:szCs w:val="18"/>
                <w:lang w:val="ro-RO"/>
              </w:rPr>
              <w:t xml:space="preserve"> cu privire la activitatea Poliţiei şi statutul poliţistului, </w:t>
            </w:r>
            <w:hyperlink r:id="rId28" w:history="1">
              <w:r w:rsidRPr="00D25589">
                <w:rPr>
                  <w:rFonts w:ascii="Times New Roman" w:eastAsia="Times New Roman" w:hAnsi="Times New Roman" w:cs="Times New Roman"/>
                  <w:sz w:val="18"/>
                  <w:szCs w:val="18"/>
                  <w:u w:val="single"/>
                  <w:lang w:val="ro-RO"/>
                </w:rPr>
                <w:t>Legea nr.3 din 25 februarie 2016</w:t>
              </w:r>
            </w:hyperlink>
            <w:r w:rsidRPr="00D25589">
              <w:rPr>
                <w:rFonts w:ascii="Times New Roman" w:eastAsia="Times New Roman" w:hAnsi="Times New Roman" w:cs="Times New Roman"/>
                <w:sz w:val="18"/>
                <w:szCs w:val="18"/>
                <w:lang w:val="ro-RO"/>
              </w:rPr>
              <w:t xml:space="preserve"> cu privire la Procuratură, </w:t>
            </w:r>
            <w:hyperlink r:id="rId29" w:history="1">
              <w:r w:rsidRPr="00D25589">
                <w:rPr>
                  <w:rFonts w:ascii="Times New Roman" w:eastAsia="Times New Roman" w:hAnsi="Times New Roman" w:cs="Times New Roman"/>
                  <w:sz w:val="18"/>
                  <w:szCs w:val="18"/>
                  <w:u w:val="single"/>
                  <w:lang w:val="ro-RO"/>
                </w:rPr>
                <w:t>Legea nr.753-XIV din 23 decembrie 1999</w:t>
              </w:r>
            </w:hyperlink>
            <w:r w:rsidRPr="00D25589">
              <w:rPr>
                <w:rFonts w:ascii="Times New Roman" w:eastAsia="Times New Roman" w:hAnsi="Times New Roman" w:cs="Times New Roman"/>
                <w:sz w:val="18"/>
                <w:szCs w:val="18"/>
                <w:lang w:val="ro-RO"/>
              </w:rPr>
              <w:t xml:space="preserve"> privind Serviciul de Informaţii şi Securitate al Republicii Moldova, </w:t>
            </w:r>
            <w:hyperlink r:id="rId30" w:history="1">
              <w:r w:rsidRPr="00D25589">
                <w:rPr>
                  <w:rFonts w:ascii="Times New Roman" w:eastAsia="Times New Roman" w:hAnsi="Times New Roman" w:cs="Times New Roman"/>
                  <w:sz w:val="18"/>
                  <w:szCs w:val="18"/>
                  <w:u w:val="single"/>
                  <w:lang w:val="ro-RO"/>
                </w:rPr>
                <w:t>Legea nr.544-XIII din 20 iulie 1995</w:t>
              </w:r>
            </w:hyperlink>
            <w:r w:rsidRPr="00D25589">
              <w:rPr>
                <w:rFonts w:ascii="Times New Roman" w:eastAsia="Times New Roman" w:hAnsi="Times New Roman" w:cs="Times New Roman"/>
                <w:sz w:val="18"/>
                <w:szCs w:val="18"/>
                <w:lang w:val="ro-RO"/>
              </w:rPr>
              <w:t xml:space="preserve"> cu privire la statutul judecătorului, </w:t>
            </w:r>
            <w:hyperlink r:id="rId31" w:history="1">
              <w:r w:rsidRPr="00D25589">
                <w:rPr>
                  <w:rFonts w:ascii="Times New Roman" w:eastAsia="Times New Roman" w:hAnsi="Times New Roman" w:cs="Times New Roman"/>
                  <w:sz w:val="18"/>
                  <w:szCs w:val="18"/>
                  <w:u w:val="single"/>
                  <w:lang w:val="ro-RO"/>
                </w:rPr>
                <w:t>Legea nr.1104-XV din 6 iunie 2002</w:t>
              </w:r>
            </w:hyperlink>
            <w:r w:rsidRPr="00D25589">
              <w:rPr>
                <w:rFonts w:ascii="Times New Roman" w:eastAsia="Times New Roman" w:hAnsi="Times New Roman" w:cs="Times New Roman"/>
                <w:sz w:val="18"/>
                <w:szCs w:val="18"/>
                <w:lang w:val="ro-RO"/>
              </w:rPr>
              <w:t xml:space="preserve"> cu privire la Centrul Naţional Anticorupţie, </w:t>
            </w:r>
            <w:hyperlink r:id="rId32" w:history="1">
              <w:r w:rsidRPr="00D25589">
                <w:rPr>
                  <w:rFonts w:ascii="Times New Roman" w:eastAsia="Times New Roman" w:hAnsi="Times New Roman" w:cs="Times New Roman"/>
                  <w:sz w:val="18"/>
                  <w:szCs w:val="18"/>
                  <w:u w:val="single"/>
                  <w:lang w:val="ro-RO"/>
                </w:rPr>
                <w:t>Legea nr.190-XVI din 26 iulie 2007</w:t>
              </w:r>
            </w:hyperlink>
            <w:r w:rsidRPr="00D25589">
              <w:rPr>
                <w:rFonts w:ascii="Times New Roman" w:eastAsia="Times New Roman" w:hAnsi="Times New Roman" w:cs="Times New Roman"/>
                <w:sz w:val="18"/>
                <w:szCs w:val="18"/>
                <w:lang w:val="ro-RO"/>
              </w:rPr>
              <w:t xml:space="preserve"> cu </w:t>
            </w:r>
            <w:r w:rsidRPr="00D25589">
              <w:rPr>
                <w:rFonts w:ascii="Times New Roman" w:eastAsia="Times New Roman" w:hAnsi="Times New Roman" w:cs="Times New Roman"/>
                <w:sz w:val="18"/>
                <w:szCs w:val="18"/>
                <w:lang w:val="ro-RO"/>
              </w:rPr>
              <w:lastRenderedPageBreak/>
              <w:t xml:space="preserve">privire la prevenirea şi combaterea spălării banilor şi finanţării terorismului, </w:t>
            </w:r>
            <w:hyperlink r:id="rId33" w:history="1">
              <w:r w:rsidRPr="00D25589">
                <w:rPr>
                  <w:rFonts w:ascii="Times New Roman" w:eastAsia="Times New Roman" w:hAnsi="Times New Roman" w:cs="Times New Roman"/>
                  <w:sz w:val="18"/>
                  <w:szCs w:val="18"/>
                  <w:u w:val="single"/>
                  <w:lang w:val="ro-RO"/>
                </w:rPr>
                <w:t>Legea nr.245-XVI din 27 noiembrie 2008</w:t>
              </w:r>
            </w:hyperlink>
            <w:r w:rsidRPr="00D25589">
              <w:rPr>
                <w:rFonts w:ascii="Times New Roman" w:eastAsia="Times New Roman" w:hAnsi="Times New Roman" w:cs="Times New Roman"/>
                <w:sz w:val="18"/>
                <w:szCs w:val="18"/>
                <w:lang w:val="ro-RO"/>
              </w:rPr>
              <w:t xml:space="preserve"> cu privire la secretul de stat, </w:t>
            </w:r>
            <w:hyperlink r:id="rId34" w:history="1">
              <w:r w:rsidRPr="00D25589">
                <w:rPr>
                  <w:rFonts w:ascii="Times New Roman" w:eastAsia="Times New Roman" w:hAnsi="Times New Roman" w:cs="Times New Roman"/>
                  <w:sz w:val="18"/>
                  <w:szCs w:val="18"/>
                  <w:u w:val="single"/>
                  <w:lang w:val="ro-RO"/>
                </w:rPr>
                <w:t>Codul civil al Republicii Moldova nr.1107-XV din 6 iunie 2002</w:t>
              </w:r>
            </w:hyperlink>
            <w:r w:rsidRPr="00D25589">
              <w:rPr>
                <w:rFonts w:ascii="Times New Roman" w:eastAsia="Times New Roman" w:hAnsi="Times New Roman" w:cs="Times New Roman"/>
                <w:sz w:val="18"/>
                <w:szCs w:val="18"/>
                <w:lang w:val="ro-RO"/>
              </w:rPr>
              <w:t xml:space="preserve">, </w:t>
            </w:r>
            <w:hyperlink r:id="rId35" w:history="1">
              <w:r w:rsidRPr="00D25589">
                <w:rPr>
                  <w:rFonts w:ascii="Times New Roman" w:eastAsia="Times New Roman" w:hAnsi="Times New Roman" w:cs="Times New Roman"/>
                  <w:sz w:val="18"/>
                  <w:szCs w:val="18"/>
                  <w:u w:val="single"/>
                  <w:lang w:val="ro-RO"/>
                </w:rPr>
                <w:t>Codul de procedură civilă al Republicii Moldova nr.225-XV din 30 mai 2003</w:t>
              </w:r>
            </w:hyperlink>
            <w:r w:rsidRPr="00D25589">
              <w:rPr>
                <w:rFonts w:ascii="Times New Roman" w:eastAsia="Times New Roman" w:hAnsi="Times New Roman" w:cs="Times New Roman"/>
                <w:sz w:val="18"/>
                <w:szCs w:val="18"/>
                <w:lang w:val="ro-RO"/>
              </w:rPr>
              <w:t xml:space="preserve">, </w:t>
            </w:r>
            <w:hyperlink r:id="rId36" w:history="1">
              <w:r w:rsidRPr="00D25589">
                <w:rPr>
                  <w:rFonts w:ascii="Times New Roman" w:eastAsia="Times New Roman" w:hAnsi="Times New Roman" w:cs="Times New Roman"/>
                  <w:sz w:val="18"/>
                  <w:szCs w:val="18"/>
                  <w:u w:val="single"/>
                  <w:lang w:val="ro-RO"/>
                </w:rPr>
                <w:t>Codul contravenţional al Republicii Moldova nr.218-XVI din 24 octombrie 2008</w:t>
              </w:r>
            </w:hyperlink>
            <w:r w:rsidRPr="00D25589">
              <w:rPr>
                <w:rFonts w:ascii="Times New Roman" w:eastAsia="Times New Roman" w:hAnsi="Times New Roman" w:cs="Times New Roman"/>
                <w:sz w:val="18"/>
                <w:szCs w:val="18"/>
                <w:lang w:val="ro-RO"/>
              </w:rPr>
              <w:t xml:space="preserve">, </w:t>
            </w:r>
            <w:hyperlink r:id="rId37" w:history="1">
              <w:r w:rsidRPr="00D25589">
                <w:rPr>
                  <w:rFonts w:ascii="Times New Roman" w:eastAsia="Times New Roman" w:hAnsi="Times New Roman" w:cs="Times New Roman"/>
                  <w:sz w:val="18"/>
                  <w:szCs w:val="18"/>
                  <w:u w:val="single"/>
                  <w:lang w:val="ro-RO"/>
                </w:rPr>
                <w:t>Codul de executare al Republicii Moldova nr.443-XV din 24 decembrie 2004</w:t>
              </w:r>
            </w:hyperlink>
            <w:r w:rsidRPr="00D25589">
              <w:rPr>
                <w:rFonts w:ascii="Times New Roman" w:eastAsia="Times New Roman" w:hAnsi="Times New Roman" w:cs="Times New Roman"/>
                <w:sz w:val="18"/>
                <w:szCs w:val="18"/>
                <w:lang w:val="ro-RO"/>
              </w:rPr>
              <w:t xml:space="preserve">, </w:t>
            </w:r>
            <w:hyperlink r:id="rId38" w:history="1">
              <w:r w:rsidRPr="00D25589">
                <w:rPr>
                  <w:rFonts w:ascii="Times New Roman" w:eastAsia="Times New Roman" w:hAnsi="Times New Roman" w:cs="Times New Roman"/>
                  <w:sz w:val="18"/>
                  <w:szCs w:val="18"/>
                  <w:u w:val="single"/>
                  <w:lang w:val="ro-RO"/>
                </w:rPr>
                <w:t>Codul de procedură penală al Republicii Moldova nr.122-XV din 14 martie 2003</w:t>
              </w:r>
            </w:hyperlink>
            <w:r w:rsidRPr="00D25589">
              <w:rPr>
                <w:rFonts w:ascii="Times New Roman" w:eastAsia="Times New Roman" w:hAnsi="Times New Roman" w:cs="Times New Roman"/>
                <w:sz w:val="18"/>
                <w:szCs w:val="18"/>
                <w:lang w:val="ro-RO"/>
              </w:rPr>
              <w:t xml:space="preserve">) </w:t>
            </w:r>
            <w:r w:rsidRPr="00D25589">
              <w:rPr>
                <w:rFonts w:ascii="Times New Roman" w:eastAsia="Times New Roman" w:hAnsi="Times New Roman" w:cs="Times New Roman"/>
                <w:sz w:val="18"/>
                <w:szCs w:val="18"/>
                <w:lang w:val="ro-RO"/>
              </w:rPr>
              <w:br/>
              <w:t xml:space="preserve">Transpune: </w:t>
            </w:r>
            <w:r w:rsidRPr="00D25589">
              <w:rPr>
                <w:rFonts w:ascii="Times New Roman" w:eastAsia="Times New Roman" w:hAnsi="Times New Roman" w:cs="Times New Roman"/>
                <w:sz w:val="18"/>
                <w:szCs w:val="18"/>
                <w:lang w:val="ro-RO"/>
              </w:rPr>
              <w:br/>
              <w:t xml:space="preserve">1. </w:t>
            </w:r>
            <w:r w:rsidRPr="00D25589">
              <w:rPr>
                <w:rFonts w:ascii="Times New Roman" w:eastAsia="Times New Roman" w:hAnsi="Times New Roman" w:cs="Times New Roman"/>
                <w:b/>
                <w:bCs/>
                <w:sz w:val="18"/>
                <w:szCs w:val="18"/>
                <w:lang w:val="ro-RO"/>
              </w:rPr>
              <w:t>Directiva (UE) 2016/680</w:t>
            </w:r>
            <w:r w:rsidRPr="00D25589">
              <w:rPr>
                <w:rFonts w:ascii="Times New Roman" w:eastAsia="Times New Roman" w:hAnsi="Times New Roman" w:cs="Times New Roman"/>
                <w:sz w:val="18"/>
                <w:szCs w:val="18"/>
                <w:lang w:val="ro-RO"/>
              </w:rPr>
              <w:t xml:space="preserve"> a Parlamentului European şi a Consiliului din 27 aprilie 2016 privind protecţia persoanelor fizice referitor la prelucrarea datelor cu caracter personal de către autorităţile competente în scopul prevenirii, depistării, investigării sau urmăririi penale a infracţiunilor sau al executării pedepselor şi privind libera circulaţie a acestor date şi de abrogare a Deciziei-cadru 2008/977/JAI a Consiliului; </w:t>
            </w:r>
            <w:r w:rsidRPr="00D25589">
              <w:rPr>
                <w:rFonts w:ascii="Times New Roman" w:eastAsia="Times New Roman" w:hAnsi="Times New Roman" w:cs="Times New Roman"/>
                <w:sz w:val="18"/>
                <w:szCs w:val="18"/>
                <w:lang w:val="ro-RO"/>
              </w:rPr>
              <w:br/>
              <w:t>2.</w:t>
            </w:r>
            <w:r w:rsidRPr="00D25589">
              <w:rPr>
                <w:rFonts w:ascii="Times New Roman" w:eastAsia="Times New Roman" w:hAnsi="Times New Roman" w:cs="Times New Roman"/>
                <w:b/>
                <w:bCs/>
                <w:sz w:val="18"/>
                <w:szCs w:val="18"/>
                <w:lang w:val="ro-RO"/>
              </w:rPr>
              <w:t xml:space="preserve"> Regulamentul (UE) 2016/679 </w:t>
            </w:r>
            <w:r w:rsidRPr="00D25589">
              <w:rPr>
                <w:rFonts w:ascii="Times New Roman" w:eastAsia="Times New Roman" w:hAnsi="Times New Roman" w:cs="Times New Roman"/>
                <w:sz w:val="18"/>
                <w:szCs w:val="18"/>
                <w:lang w:val="ro-RO"/>
              </w:rPr>
              <w:t>al Parlamentului European şi al Consiliului din 27 aprilie 2016 privind protecţia persoanelor fizice în ceea ce priveşte prelucrarea datelor cu caracter personal şi privind libera circulaţie a acestor date şi de abrogare a Directivei 95/46/CE</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314F94"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lastRenderedPageBreak/>
              <w:t xml:space="preserve">Lege intrată în vigoare </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C6CA31"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 xml:space="preserve">Centrul Naţional pentru Protecţia Datelor cu Caracter Personal; </w:t>
            </w:r>
            <w:r w:rsidRPr="00DD6A7A">
              <w:rPr>
                <w:rFonts w:ascii="Times New Roman" w:eastAsia="Times New Roman" w:hAnsi="Times New Roman" w:cs="Times New Roman"/>
                <w:sz w:val="18"/>
                <w:szCs w:val="18"/>
                <w:lang w:val="ro-RO"/>
              </w:rPr>
              <w:br/>
              <w:t xml:space="preserve">Ministerul Afacerilor Interne; </w:t>
            </w:r>
            <w:r w:rsidRPr="00DD6A7A">
              <w:rPr>
                <w:rFonts w:ascii="Times New Roman" w:eastAsia="Times New Roman" w:hAnsi="Times New Roman" w:cs="Times New Roman"/>
                <w:sz w:val="18"/>
                <w:szCs w:val="18"/>
                <w:lang w:val="ro-RO"/>
              </w:rPr>
              <w:br/>
              <w:t xml:space="preserve">Procuratura Generală; </w:t>
            </w:r>
            <w:r w:rsidRPr="00DD6A7A">
              <w:rPr>
                <w:rFonts w:ascii="Times New Roman" w:eastAsia="Times New Roman" w:hAnsi="Times New Roman" w:cs="Times New Roman"/>
                <w:sz w:val="18"/>
                <w:szCs w:val="18"/>
                <w:lang w:val="ro-RO"/>
              </w:rPr>
              <w:br/>
              <w:t xml:space="preserve">Serviciul de Informaţii şi Securitate; </w:t>
            </w:r>
            <w:r w:rsidRPr="00DD6A7A">
              <w:rPr>
                <w:rFonts w:ascii="Times New Roman" w:eastAsia="Times New Roman" w:hAnsi="Times New Roman" w:cs="Times New Roman"/>
                <w:sz w:val="18"/>
                <w:szCs w:val="18"/>
                <w:lang w:val="ro-RO"/>
              </w:rPr>
              <w:br/>
              <w:t xml:space="preserve">Ministerul Justiţiei; </w:t>
            </w:r>
            <w:r w:rsidRPr="00DD6A7A">
              <w:rPr>
                <w:rFonts w:ascii="Times New Roman" w:eastAsia="Times New Roman" w:hAnsi="Times New Roman" w:cs="Times New Roman"/>
                <w:sz w:val="18"/>
                <w:szCs w:val="18"/>
                <w:lang w:val="ro-RO"/>
              </w:rPr>
              <w:br/>
              <w:t>Centrul Naţional Anticorupţie</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478314" w14:textId="77777777" w:rsidR="006F6515" w:rsidRPr="00DD6A7A" w:rsidRDefault="006F6515" w:rsidP="006F6515">
            <w:pPr>
              <w:spacing w:after="0" w:line="240" w:lineRule="auto"/>
              <w:jc w:val="center"/>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Trimestrul III, 2018</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7C88D4"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În limita bugetului autorităţii</w:t>
            </w:r>
          </w:p>
        </w:tc>
      </w:tr>
      <w:tr w:rsidR="006F6515" w:rsidRPr="00DD6A7A" w14:paraId="63DC76B8" w14:textId="77777777" w:rsidTr="003A4E3B">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14:paraId="5C3600FE"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511"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D0E70B"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b/>
                <w:bCs/>
                <w:sz w:val="18"/>
                <w:szCs w:val="18"/>
                <w:lang w:val="ro-RO"/>
              </w:rPr>
              <w:t xml:space="preserve">(2) </w:t>
            </w:r>
            <w:r w:rsidRPr="00DD6A7A">
              <w:rPr>
                <w:rFonts w:ascii="Times New Roman" w:eastAsia="Times New Roman" w:hAnsi="Times New Roman" w:cs="Times New Roman"/>
                <w:sz w:val="18"/>
                <w:szCs w:val="18"/>
                <w:lang w:val="ro-RO"/>
              </w:rPr>
              <w:t xml:space="preserve">Orice prelucrare a datelor cu caracter personal intră sub incidenţa dispoziţiilor legale menţionate în anexa I la prezentul acord. Transferul de date cu caracter personal între părţi are loc numai dacă acesta este necesar pentru punerea în aplicare, de către autorităţile competente ale părţilor, a prezentului acord </w:t>
            </w:r>
            <w:r w:rsidRPr="00DD6A7A">
              <w:rPr>
                <w:rFonts w:ascii="Times New Roman" w:eastAsia="Times New Roman" w:hAnsi="Times New Roman" w:cs="Times New Roman"/>
                <w:sz w:val="18"/>
                <w:szCs w:val="18"/>
                <w:lang w:val="ro-RO"/>
              </w:rPr>
              <w:lastRenderedPageBreak/>
              <w:t>sau a altor acorduri încheiate între părţi</w:t>
            </w:r>
          </w:p>
        </w:tc>
        <w:tc>
          <w:tcPr>
            <w:tcW w:w="145"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3C5182"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lastRenderedPageBreak/>
              <w:t> </w:t>
            </w: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0FD120" w14:textId="77777777" w:rsidR="006F6515" w:rsidRPr="00D25589" w:rsidRDefault="006F6515" w:rsidP="006F6515">
            <w:pPr>
              <w:spacing w:after="0" w:line="240" w:lineRule="auto"/>
              <w:rPr>
                <w:rFonts w:ascii="Times New Roman" w:eastAsia="Times New Roman" w:hAnsi="Times New Roman" w:cs="Times New Roman"/>
                <w:sz w:val="18"/>
                <w:szCs w:val="18"/>
                <w:lang w:val="ro-RO"/>
              </w:rPr>
            </w:pPr>
            <w:r w:rsidRPr="00D25589">
              <w:rPr>
                <w:rFonts w:ascii="Times New Roman" w:eastAsia="Times New Roman" w:hAnsi="Times New Roman" w:cs="Times New Roman"/>
                <w:b/>
                <w:bCs/>
                <w:sz w:val="18"/>
                <w:szCs w:val="18"/>
                <w:lang w:val="ro-RO"/>
              </w:rPr>
              <w:t>I1.</w:t>
            </w:r>
            <w:r w:rsidRPr="00D25589">
              <w:rPr>
                <w:rFonts w:ascii="Times New Roman" w:eastAsia="Times New Roman" w:hAnsi="Times New Roman" w:cs="Times New Roman"/>
                <w:sz w:val="18"/>
                <w:szCs w:val="18"/>
                <w:lang w:val="ro-RO"/>
              </w:rPr>
              <w:t xml:space="preserve"> Înregistrarea tuturor sistemelor de date cu caracter personal gestionate de Procuratură în Registrul de evidenţă a operatorilor de date cu caracter personal</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D69DDA"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Sisteme de date cu caracter personal înregistrate</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729D3E"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Procuratura Generală Centrul pentru Protecţia Datelor cu Caracter Personal</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0746D7" w14:textId="77777777" w:rsidR="006F6515" w:rsidRPr="00DD6A7A" w:rsidRDefault="006F6515" w:rsidP="006F6515">
            <w:pPr>
              <w:spacing w:after="0" w:line="240" w:lineRule="auto"/>
              <w:jc w:val="center"/>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Trimestrul IV, 2018</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356E7C"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În limita bugetului autorităţilor</w:t>
            </w:r>
          </w:p>
        </w:tc>
      </w:tr>
      <w:tr w:rsidR="006F6515" w:rsidRPr="00DD6A7A" w14:paraId="46587577" w14:textId="77777777" w:rsidTr="003A4E3B">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14:paraId="1BC34B6F"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14:paraId="2E31ABF4"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14:paraId="429E862F"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8E8B0B" w14:textId="77777777" w:rsidR="006F6515" w:rsidRPr="00D25589" w:rsidRDefault="006F6515" w:rsidP="006F6515">
            <w:pPr>
              <w:spacing w:after="0" w:line="240" w:lineRule="auto"/>
              <w:rPr>
                <w:rFonts w:ascii="Times New Roman" w:eastAsia="Times New Roman" w:hAnsi="Times New Roman" w:cs="Times New Roman"/>
                <w:sz w:val="18"/>
                <w:szCs w:val="18"/>
                <w:lang w:val="ro-RO"/>
              </w:rPr>
            </w:pPr>
            <w:r w:rsidRPr="00D25589">
              <w:rPr>
                <w:rFonts w:ascii="Times New Roman" w:eastAsia="Times New Roman" w:hAnsi="Times New Roman" w:cs="Times New Roman"/>
                <w:b/>
                <w:bCs/>
                <w:sz w:val="18"/>
                <w:szCs w:val="18"/>
                <w:lang w:val="ro-RO"/>
              </w:rPr>
              <w:t>I2.</w:t>
            </w:r>
            <w:r w:rsidRPr="00D25589">
              <w:rPr>
                <w:rFonts w:ascii="Times New Roman" w:eastAsia="Times New Roman" w:hAnsi="Times New Roman" w:cs="Times New Roman"/>
                <w:sz w:val="18"/>
                <w:szCs w:val="18"/>
                <w:lang w:val="ro-RO"/>
              </w:rPr>
              <w:t xml:space="preserve"> Înregistrarea operatorilor şi a sistemelor de evidenţă a datelor cu caracter personal gestionate de autorităţile publice în Registrul de evidenţă a operatorilor de date cu caracter personal</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791A43"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Numărul autorităţilor publice înregistrate în calitate de operatori în Registrul de evidenţă a operatorilor de date cu caracter personal</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F13A16"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 xml:space="preserve">Autorităţile publice centrale şi locale; </w:t>
            </w:r>
            <w:r w:rsidRPr="00DD6A7A">
              <w:rPr>
                <w:rFonts w:ascii="Times New Roman" w:eastAsia="Times New Roman" w:hAnsi="Times New Roman" w:cs="Times New Roman"/>
                <w:sz w:val="18"/>
                <w:szCs w:val="18"/>
                <w:lang w:val="ro-RO"/>
              </w:rPr>
              <w:br/>
              <w:t>Centrul Naţional pentru Protecţia Datelor cu Caracter Personal</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4E04E2" w14:textId="77777777" w:rsidR="006F6515" w:rsidRPr="00DD6A7A" w:rsidRDefault="006F6515" w:rsidP="006F6515">
            <w:pPr>
              <w:spacing w:after="0" w:line="240" w:lineRule="auto"/>
              <w:jc w:val="center"/>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Trimestrul IV, 2019</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1E0FFF"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 xml:space="preserve">În limita bugetului autorităţilor; </w:t>
            </w:r>
            <w:r w:rsidRPr="00DD6A7A">
              <w:rPr>
                <w:rFonts w:ascii="Times New Roman" w:eastAsia="Times New Roman" w:hAnsi="Times New Roman" w:cs="Times New Roman"/>
                <w:sz w:val="18"/>
                <w:szCs w:val="18"/>
                <w:lang w:val="ro-RO"/>
              </w:rPr>
              <w:br/>
              <w:t>În limita bugetului Centrului Naţional pentru Protecţia Datelor cu Caracter Personal</w:t>
            </w:r>
          </w:p>
        </w:tc>
      </w:tr>
      <w:tr w:rsidR="006F6515" w:rsidRPr="00DD6A7A" w14:paraId="41295470" w14:textId="77777777" w:rsidTr="003A4E3B">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14:paraId="4A9F292D"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14:paraId="56FB801C"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14:paraId="096E8712"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40694B" w14:textId="77777777" w:rsidR="006F6515" w:rsidRPr="00D25589" w:rsidRDefault="006F6515" w:rsidP="006F6515">
            <w:pPr>
              <w:spacing w:after="0" w:line="240" w:lineRule="auto"/>
              <w:rPr>
                <w:rFonts w:ascii="Times New Roman" w:eastAsia="Times New Roman" w:hAnsi="Times New Roman" w:cs="Times New Roman"/>
                <w:sz w:val="18"/>
                <w:szCs w:val="18"/>
                <w:lang w:val="ro-RO"/>
              </w:rPr>
            </w:pPr>
            <w:r w:rsidRPr="00D25589">
              <w:rPr>
                <w:rFonts w:ascii="Times New Roman" w:eastAsia="Times New Roman" w:hAnsi="Times New Roman" w:cs="Times New Roman"/>
                <w:b/>
                <w:bCs/>
                <w:sz w:val="18"/>
                <w:szCs w:val="18"/>
                <w:lang w:val="ro-RO"/>
              </w:rPr>
              <w:t>SL1. Acte noi</w:t>
            </w:r>
            <w:r w:rsidRPr="00D25589">
              <w:rPr>
                <w:rFonts w:ascii="Times New Roman" w:eastAsia="Times New Roman" w:hAnsi="Times New Roman" w:cs="Times New Roman"/>
                <w:sz w:val="18"/>
                <w:szCs w:val="18"/>
                <w:lang w:val="ro-RO"/>
              </w:rPr>
              <w:t xml:space="preserve"> </w:t>
            </w:r>
            <w:r w:rsidRPr="00D25589">
              <w:rPr>
                <w:rFonts w:ascii="Times New Roman" w:eastAsia="Times New Roman" w:hAnsi="Times New Roman" w:cs="Times New Roman"/>
                <w:sz w:val="18"/>
                <w:szCs w:val="18"/>
                <w:lang w:val="ro-RO"/>
              </w:rPr>
              <w:br/>
              <w:t>Proiectele instrucţiunilor Centrului Naţional pentru Protecţia Datelor cu Caracter Personal privind prelucrarea datelor cu caracter personal</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146571"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Instrucţiuni privind prelucrarea datelor cu caracter personal în sectoare precum sănătate, financiar, poliţienesc, comunicaţiilor electronice, mass-mediei şi supravegherii video</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84A25B"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Centrul Naţional pentru Protecţia Datelor cu Caracter Personal</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552BBD" w14:textId="77777777" w:rsidR="006F6515" w:rsidRPr="00DD6A7A" w:rsidRDefault="006F6515" w:rsidP="006F6515">
            <w:pPr>
              <w:spacing w:after="0" w:line="240" w:lineRule="auto"/>
              <w:jc w:val="center"/>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Trimestrul IV, 2019</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7BD1B7"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 xml:space="preserve">Proiectul Twinning „Consolidarea capacităţilor Centrului Naţional pentru Protecţia Datelor cu Caracter Personal”; </w:t>
            </w:r>
            <w:r w:rsidRPr="00DD6A7A">
              <w:rPr>
                <w:rFonts w:ascii="Times New Roman" w:eastAsia="Times New Roman" w:hAnsi="Times New Roman" w:cs="Times New Roman"/>
                <w:sz w:val="18"/>
                <w:szCs w:val="18"/>
                <w:lang w:val="ro-RO"/>
              </w:rPr>
              <w:br/>
              <w:t xml:space="preserve">În limita bugetului autorităţii; </w:t>
            </w:r>
            <w:r w:rsidRPr="00DD6A7A">
              <w:rPr>
                <w:rFonts w:ascii="Times New Roman" w:eastAsia="Times New Roman" w:hAnsi="Times New Roman" w:cs="Times New Roman"/>
                <w:sz w:val="18"/>
                <w:szCs w:val="18"/>
                <w:lang w:val="ro-RO"/>
              </w:rPr>
              <w:br/>
              <w:t>Alte surse</w:t>
            </w:r>
          </w:p>
        </w:tc>
      </w:tr>
      <w:tr w:rsidR="006F6515" w:rsidRPr="00DD6A7A" w14:paraId="6B9703A4" w14:textId="77777777" w:rsidTr="003A4E3B">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14:paraId="6999295F"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14:paraId="33D515CD"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14:paraId="10B22FB8"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DD5BF2" w14:textId="77777777" w:rsidR="006F6515" w:rsidRPr="00D25589" w:rsidRDefault="006F6515" w:rsidP="006F6515">
            <w:pPr>
              <w:spacing w:after="0" w:line="240" w:lineRule="auto"/>
              <w:rPr>
                <w:rFonts w:ascii="Times New Roman" w:eastAsia="Times New Roman" w:hAnsi="Times New Roman" w:cs="Times New Roman"/>
                <w:sz w:val="18"/>
                <w:szCs w:val="18"/>
                <w:lang w:val="ro-RO"/>
              </w:rPr>
            </w:pPr>
            <w:r w:rsidRPr="00D25589">
              <w:rPr>
                <w:rFonts w:ascii="Times New Roman" w:eastAsia="Times New Roman" w:hAnsi="Times New Roman" w:cs="Times New Roman"/>
                <w:b/>
                <w:bCs/>
                <w:sz w:val="18"/>
                <w:szCs w:val="18"/>
                <w:lang w:val="ro-RO"/>
              </w:rPr>
              <w:t>I3.</w:t>
            </w:r>
            <w:r w:rsidRPr="00D25589">
              <w:rPr>
                <w:rFonts w:ascii="Times New Roman" w:eastAsia="Times New Roman" w:hAnsi="Times New Roman" w:cs="Times New Roman"/>
                <w:sz w:val="18"/>
                <w:szCs w:val="18"/>
                <w:lang w:val="ro-RO"/>
              </w:rPr>
              <w:t xml:space="preserve"> Formarea profesională a personalului Centrului Naţional pentru Protecţia Datelor cu Caracter Personal prin instruire continuă, schimb de experienţă cu instituţiile străine, seminare, traininguri, vizite de studiu, conferinţe internaţionale</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1D0BF0"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Toţi angajaţii Centrului Naţional pentru Protecţia Datelor cu Caracter Personal instruiţi privind principiile protecţiei datelor cu caracter personal</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5FB26E"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Centrul Naţional pentru Protecţia Datelor cu Caracter Personal</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4D014C" w14:textId="77777777" w:rsidR="006F6515" w:rsidRPr="00DD6A7A" w:rsidRDefault="006F6515" w:rsidP="006F6515">
            <w:pPr>
              <w:spacing w:after="0" w:line="240" w:lineRule="auto"/>
              <w:jc w:val="center"/>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Trimestrul IV, 2019</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37AA8F"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Proiectul Twinning “Consolidarea capacităţilor Centrului Naţional pentru Protecţia Datelor cu Caracter Personal”</w:t>
            </w:r>
          </w:p>
        </w:tc>
      </w:tr>
      <w:tr w:rsidR="006F6515" w:rsidRPr="00DD6A7A" w14:paraId="2C1564D8" w14:textId="77777777" w:rsidTr="003A4E3B">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14:paraId="1B73A6A9"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14:paraId="3ECD7371"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14:paraId="6AD28BEB"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4E965B" w14:textId="77777777" w:rsidR="006F6515" w:rsidRPr="00D25589" w:rsidRDefault="006F6515" w:rsidP="006F6515">
            <w:pPr>
              <w:spacing w:after="0" w:line="240" w:lineRule="auto"/>
              <w:rPr>
                <w:rFonts w:ascii="Times New Roman" w:eastAsia="Times New Roman" w:hAnsi="Times New Roman" w:cs="Times New Roman"/>
                <w:sz w:val="18"/>
                <w:szCs w:val="18"/>
                <w:lang w:val="ro-RO"/>
              </w:rPr>
            </w:pPr>
            <w:r w:rsidRPr="00D25589">
              <w:rPr>
                <w:rFonts w:ascii="Times New Roman" w:eastAsia="Times New Roman" w:hAnsi="Times New Roman" w:cs="Times New Roman"/>
                <w:b/>
                <w:bCs/>
                <w:sz w:val="18"/>
                <w:szCs w:val="18"/>
                <w:lang w:val="ro-RO"/>
              </w:rPr>
              <w:t>I4.</w:t>
            </w:r>
            <w:r w:rsidRPr="00D25589">
              <w:rPr>
                <w:rFonts w:ascii="Times New Roman" w:eastAsia="Times New Roman" w:hAnsi="Times New Roman" w:cs="Times New Roman"/>
                <w:sz w:val="18"/>
                <w:szCs w:val="18"/>
                <w:lang w:val="ro-RO"/>
              </w:rPr>
              <w:t xml:space="preserve"> Sensibilizarea publicului larg privind importanţa protecţiei persoanelor în ceea ce priveşte prelucrarea datelor cu caracter personal</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EAEEC3"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 xml:space="preserve">Număr de persoane instruite; </w:t>
            </w:r>
            <w:r w:rsidRPr="00DD6A7A">
              <w:rPr>
                <w:rFonts w:ascii="Times New Roman" w:eastAsia="Times New Roman" w:hAnsi="Times New Roman" w:cs="Times New Roman"/>
                <w:sz w:val="18"/>
                <w:szCs w:val="18"/>
                <w:lang w:val="ro-RO"/>
              </w:rPr>
              <w:br/>
              <w:t xml:space="preserve">număr de traininguri de scurtă durată organizate; </w:t>
            </w:r>
            <w:r w:rsidRPr="00DD6A7A">
              <w:rPr>
                <w:rFonts w:ascii="Times New Roman" w:eastAsia="Times New Roman" w:hAnsi="Times New Roman" w:cs="Times New Roman"/>
                <w:sz w:val="18"/>
                <w:szCs w:val="18"/>
                <w:lang w:val="ro-RO"/>
              </w:rPr>
              <w:br/>
              <w:t>număr mese rotunde privind conceptele de „viaţă privată”, „date cu caracter personal”, cu privire la beneficiile rezultate din protecţia datelor cu caracter personal, a consecinţelor negative care pot apărea odată cu nerespectarea regimului de confidenţialitate şi securitate a prelucrării acestor date, precum şi a rolului protecţiei datelor cu caracter personal în dezvoltarea economică, socială şi culturală a ţării</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D6702E"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Centrul Naţional pentru Protecţia Datelor cu Caracter Personal</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9A572C" w14:textId="77777777" w:rsidR="006F6515" w:rsidRPr="00DD6A7A" w:rsidRDefault="006F6515" w:rsidP="006F6515">
            <w:pPr>
              <w:spacing w:after="0" w:line="240" w:lineRule="auto"/>
              <w:jc w:val="center"/>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Trimestrul IV, 2019</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0F113F"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 xml:space="preserve">În limita bugetului Centrului Naţional pentru Protecţia Datelor cu Caracter Personal; </w:t>
            </w:r>
            <w:r w:rsidRPr="00DD6A7A">
              <w:rPr>
                <w:rFonts w:ascii="Times New Roman" w:eastAsia="Times New Roman" w:hAnsi="Times New Roman" w:cs="Times New Roman"/>
                <w:sz w:val="18"/>
                <w:szCs w:val="18"/>
                <w:lang w:val="ro-RO"/>
              </w:rPr>
              <w:br/>
              <w:t>Proiectul Twinning „Consolidarea capacităţilor Centrului Naţional pentru Protecţia Datelor cu Caracter Personal”</w:t>
            </w:r>
          </w:p>
        </w:tc>
      </w:tr>
      <w:tr w:rsidR="006F6515" w:rsidRPr="00DD6A7A" w14:paraId="0869931A" w14:textId="77777777" w:rsidTr="003A4E3B">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14:paraId="4BCA8CD5"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14:paraId="3489A378"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14:paraId="1F50EF23"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F2E28F"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b/>
                <w:bCs/>
                <w:sz w:val="18"/>
                <w:szCs w:val="18"/>
                <w:lang w:val="ro-RO"/>
              </w:rPr>
              <w:t>I5.</w:t>
            </w:r>
            <w:r w:rsidRPr="00DD6A7A">
              <w:rPr>
                <w:rFonts w:ascii="Times New Roman" w:eastAsia="Times New Roman" w:hAnsi="Times New Roman" w:cs="Times New Roman"/>
                <w:sz w:val="18"/>
                <w:szCs w:val="18"/>
                <w:lang w:val="ro-RO"/>
              </w:rPr>
              <w:t xml:space="preserve"> Crearea unui sistem durabil pentru instruirea angajaţilor din serviciul public şi angajaţilor din alte instituţii privind principiile de protecţie a datelor cu caracter personal</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EA87C7"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Număr de consultaţii/ instruiri ale reprezentanţilor operatorilor de date cu caracter personal oferite</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67B2A3"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Centrul Naţional pentru Protecţia Datelor cu Caracter Personal</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3CECC8" w14:textId="77777777" w:rsidR="006F6515" w:rsidRPr="00DD6A7A" w:rsidRDefault="006F6515" w:rsidP="006F6515">
            <w:pPr>
              <w:spacing w:after="0" w:line="240" w:lineRule="auto"/>
              <w:jc w:val="center"/>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Trimestrul IV, 2019</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549F21"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 xml:space="preserve">Proiectul Twinning „Consolidarea capacităţilor Centrului Naţional pentru Protecţia Datelor cu Caracter Personal”; </w:t>
            </w:r>
            <w:r w:rsidRPr="00DD6A7A">
              <w:rPr>
                <w:rFonts w:ascii="Times New Roman" w:eastAsia="Times New Roman" w:hAnsi="Times New Roman" w:cs="Times New Roman"/>
                <w:sz w:val="18"/>
                <w:szCs w:val="18"/>
                <w:lang w:val="ro-RO"/>
              </w:rPr>
              <w:br/>
              <w:t xml:space="preserve">În limita bugetului </w:t>
            </w:r>
            <w:r w:rsidRPr="00DD6A7A">
              <w:rPr>
                <w:rFonts w:ascii="Times New Roman" w:eastAsia="Times New Roman" w:hAnsi="Times New Roman" w:cs="Times New Roman"/>
                <w:sz w:val="18"/>
                <w:szCs w:val="18"/>
                <w:lang w:val="ro-RO"/>
              </w:rPr>
              <w:lastRenderedPageBreak/>
              <w:t>Centrului Naţional pentru Protecţia Datelor cu Caracter Personal</w:t>
            </w:r>
          </w:p>
        </w:tc>
      </w:tr>
      <w:tr w:rsidR="006F6515" w:rsidRPr="00DD6A7A" w14:paraId="6883794A" w14:textId="77777777" w:rsidTr="003A4E3B">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14:paraId="553D0551"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14:paraId="2101C919"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14:paraId="5C8C814C"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4929D0"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b/>
                <w:bCs/>
                <w:sz w:val="18"/>
                <w:szCs w:val="18"/>
                <w:lang w:val="ro-RO"/>
              </w:rPr>
              <w:t>I6.</w:t>
            </w:r>
            <w:r w:rsidRPr="00DD6A7A">
              <w:rPr>
                <w:rFonts w:ascii="Times New Roman" w:eastAsia="Times New Roman" w:hAnsi="Times New Roman" w:cs="Times New Roman"/>
                <w:sz w:val="18"/>
                <w:szCs w:val="18"/>
                <w:lang w:val="ro-RO"/>
              </w:rPr>
              <w:t xml:space="preserve"> Cooperarea cu agenţiile Uniunii Europene în procesul de implementare a Regulamentului (UE) 2016/679 al Parlamentului European şi al Consiliului din 27 aprilie 2016 privind protecţia persoanelor fizice în ceea ce priveşte prelucrarea datelor cu caracter personal şi privind libera circulaţie acestor date şi a Directivei 2016/680 a Parlamentului European şi a Consiliului din 27 aprilie 2016 privind protecţia persoanelor fizice referitor la prelucrarea datelor cu caracter personal de către autorităţile competente în scopul prevenirii, depistării, investigării sau urmăririi penale a infracţiunilor sau al executării pedepselor şi privind libera circulaţie a acestor date şi de abrogare a Deciziei-cadru 2008/977/JAI a Consiliului</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D5C4F0"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3 vizite de studiu în vederea preluării bunelor practici în implementarea Regulamentului (UE) 2016/679 din 27 aprilie 2016 (2016/679) şi a Directivei (UE) 2016/680 efectuate</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F103C1"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Centrul Naţional pentru Protecţia Datelor cu Caracter Personal</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29D16A" w14:textId="77777777" w:rsidR="006F6515" w:rsidRPr="00DD6A7A" w:rsidRDefault="006F6515" w:rsidP="006F6515">
            <w:pPr>
              <w:spacing w:after="0" w:line="240" w:lineRule="auto"/>
              <w:jc w:val="center"/>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Trimestrul IV, 2019</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53A23B"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 xml:space="preserve">În limita bugetului Centrului Naţional pentru Protecţia Datelor cu Caracter Personal </w:t>
            </w:r>
            <w:r w:rsidRPr="00DD6A7A">
              <w:rPr>
                <w:rFonts w:ascii="Times New Roman" w:eastAsia="Times New Roman" w:hAnsi="Times New Roman" w:cs="Times New Roman"/>
                <w:sz w:val="18"/>
                <w:szCs w:val="18"/>
                <w:lang w:val="ro-RO"/>
              </w:rPr>
              <w:br/>
              <w:t>Proiectul Twinning „Consolidarea capacităţilor Centrului Naţional pentru Protecţia Datelor cu Caracter Personal”</w:t>
            </w:r>
          </w:p>
        </w:tc>
      </w:tr>
      <w:tr w:rsidR="006F6515" w:rsidRPr="00DD6A7A" w14:paraId="397D4AC3" w14:textId="77777777" w:rsidTr="003A4E3B">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14:paraId="16D0ED24"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14:paraId="68264F13"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14:paraId="20B4734E"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B8444A"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b/>
                <w:bCs/>
                <w:sz w:val="18"/>
                <w:szCs w:val="18"/>
                <w:lang w:val="ro-RO"/>
              </w:rPr>
              <w:t>I7.</w:t>
            </w:r>
            <w:r w:rsidRPr="00DD6A7A">
              <w:rPr>
                <w:rFonts w:ascii="Times New Roman" w:eastAsia="Times New Roman" w:hAnsi="Times New Roman" w:cs="Times New Roman"/>
                <w:sz w:val="18"/>
                <w:szCs w:val="18"/>
                <w:lang w:val="ro-RO"/>
              </w:rPr>
              <w:t xml:space="preserve"> Implementarea </w:t>
            </w:r>
            <w:hyperlink r:id="rId39" w:history="1">
              <w:r w:rsidRPr="00DD6A7A">
                <w:rPr>
                  <w:rFonts w:ascii="Times New Roman" w:eastAsia="Times New Roman" w:hAnsi="Times New Roman" w:cs="Times New Roman"/>
                  <w:color w:val="0000FF"/>
                  <w:sz w:val="18"/>
                  <w:szCs w:val="18"/>
                  <w:u w:val="single"/>
                  <w:lang w:val="ro-RO"/>
                </w:rPr>
                <w:t>Legii nr.133 din 8 iulie 2011</w:t>
              </w:r>
            </w:hyperlink>
            <w:r w:rsidRPr="00DD6A7A">
              <w:rPr>
                <w:rFonts w:ascii="Times New Roman" w:eastAsia="Times New Roman" w:hAnsi="Times New Roman" w:cs="Times New Roman"/>
                <w:sz w:val="18"/>
                <w:szCs w:val="18"/>
                <w:lang w:val="ro-RO"/>
              </w:rPr>
              <w:t xml:space="preserve"> privind protecţia datelor cu caracter personal şi a legislaţiei în domeniul protecţiei datelor cu caracter personal</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209343"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Planuri de acţiuni adoptate de către autorităţile publice</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BE5D04"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Autorităţile publice vizate</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03169A" w14:textId="77777777" w:rsidR="006F6515" w:rsidRPr="00DD6A7A" w:rsidRDefault="006F6515" w:rsidP="006F6515">
            <w:pPr>
              <w:spacing w:after="0" w:line="240" w:lineRule="auto"/>
              <w:jc w:val="center"/>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Trimestrul IV, 2019</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86FBF9"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 xml:space="preserve">În limita bugetului autorităţilor; </w:t>
            </w:r>
            <w:r w:rsidRPr="00DD6A7A">
              <w:rPr>
                <w:rFonts w:ascii="Times New Roman" w:eastAsia="Times New Roman" w:hAnsi="Times New Roman" w:cs="Times New Roman"/>
                <w:sz w:val="18"/>
                <w:szCs w:val="18"/>
                <w:lang w:val="ro-RO"/>
              </w:rPr>
              <w:br/>
              <w:t>Alte surse</w:t>
            </w:r>
          </w:p>
        </w:tc>
      </w:tr>
      <w:tr w:rsidR="006F6515" w:rsidRPr="00DD6A7A" w14:paraId="3C0B1A8E" w14:textId="77777777" w:rsidTr="003A4E3B">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14:paraId="16A9E360"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14:paraId="0E8486C3"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14:paraId="0D3292C0"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349428"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b/>
                <w:bCs/>
                <w:sz w:val="18"/>
                <w:szCs w:val="18"/>
                <w:lang w:val="ro-RO"/>
              </w:rPr>
              <w:t>I8.</w:t>
            </w:r>
            <w:r w:rsidRPr="00DD6A7A">
              <w:rPr>
                <w:rFonts w:ascii="Times New Roman" w:eastAsia="Times New Roman" w:hAnsi="Times New Roman" w:cs="Times New Roman"/>
                <w:sz w:val="18"/>
                <w:szCs w:val="18"/>
                <w:lang w:val="ro-RO"/>
              </w:rPr>
              <w:t xml:space="preserve"> Intensificarea dialogului cu autorităţile de control al prelucrării datelor cu caracter personal în vederea eficientizării acţiunilor vizînd asigurarea unui nivel adecvat de protecţie a datelor cu caracter personal</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24BC84"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Relaţiile de cooperare cu autorităţile pentru protecţia datelor cu caracter personal din alte state fortificate</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60E2B4"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Centrul Naţional pentru Protecţia Datelor cu Caracter Personal</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E5E98F" w14:textId="77777777" w:rsidR="006F6515" w:rsidRPr="00DD6A7A" w:rsidRDefault="006F6515" w:rsidP="006F6515">
            <w:pPr>
              <w:spacing w:after="0" w:line="240" w:lineRule="auto"/>
              <w:jc w:val="center"/>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Trimestrul IV, 2019</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3DE872" w14:textId="77777777" w:rsidR="006F6515" w:rsidRPr="00DD6A7A" w:rsidRDefault="006F6515" w:rsidP="006F6515">
            <w:pPr>
              <w:spacing w:after="0" w:line="240" w:lineRule="auto"/>
              <w:rPr>
                <w:rFonts w:ascii="Times New Roman" w:eastAsia="Times New Roman" w:hAnsi="Times New Roman" w:cs="Times New Roman"/>
                <w:sz w:val="18"/>
                <w:szCs w:val="18"/>
                <w:lang w:val="ro-RO"/>
              </w:rPr>
            </w:pPr>
            <w:r w:rsidRPr="00DD6A7A">
              <w:rPr>
                <w:rFonts w:ascii="Times New Roman" w:eastAsia="Times New Roman" w:hAnsi="Times New Roman" w:cs="Times New Roman"/>
                <w:sz w:val="18"/>
                <w:szCs w:val="18"/>
                <w:lang w:val="ro-RO"/>
              </w:rPr>
              <w:t>În limita bugetului Centrului Naţional pentru Protecţia Datelor cu Cara</w:t>
            </w:r>
          </w:p>
        </w:tc>
      </w:tr>
    </w:tbl>
    <w:p w14:paraId="11069BD2" w14:textId="77777777" w:rsidR="00F67A15" w:rsidRPr="00DD6A7A" w:rsidRDefault="00F67A15" w:rsidP="00F67A15">
      <w:pPr>
        <w:spacing w:after="0" w:line="240" w:lineRule="auto"/>
        <w:jc w:val="both"/>
        <w:rPr>
          <w:rFonts w:ascii="Times New Roman" w:hAnsi="Times New Roman" w:cs="Times New Roman"/>
          <w:i/>
          <w:sz w:val="20"/>
          <w:szCs w:val="20"/>
          <w:lang w:val="ro-RO"/>
        </w:rPr>
      </w:pPr>
      <w:r w:rsidRPr="00DD6A7A">
        <w:rPr>
          <w:rFonts w:ascii="Times New Roman" w:hAnsi="Times New Roman" w:cs="Times New Roman"/>
          <w:b/>
          <w:i/>
          <w:sz w:val="20"/>
          <w:szCs w:val="20"/>
        </w:rPr>
        <w:t>Sursa:</w:t>
      </w:r>
      <w:r w:rsidRPr="00DD6A7A">
        <w:rPr>
          <w:rFonts w:ascii="Times New Roman" w:hAnsi="Times New Roman" w:cs="Times New Roman"/>
          <w:i/>
          <w:sz w:val="20"/>
          <w:szCs w:val="20"/>
        </w:rPr>
        <w:t xml:space="preserve"> P</w:t>
      </w:r>
      <w:r w:rsidRPr="00DD6A7A">
        <w:rPr>
          <w:rFonts w:ascii="Times New Roman" w:eastAsia="Times New Roman" w:hAnsi="Times New Roman" w:cs="Times New Roman"/>
          <w:bCs/>
          <w:i/>
          <w:sz w:val="20"/>
          <w:szCs w:val="20"/>
          <w:lang w:val="ro-RO"/>
        </w:rPr>
        <w:t>lanul Național de Acțiuni pentru implementarea Acordului de Asociere Republica Moldova – Uniunea Europeană în perioada 2017–2019.</w:t>
      </w:r>
    </w:p>
    <w:p w14:paraId="45947FC9" w14:textId="77777777" w:rsidR="005E23B0" w:rsidRPr="00DD6A7A" w:rsidRDefault="005E23B0" w:rsidP="00F67A15">
      <w:pPr>
        <w:jc w:val="both"/>
        <w:rPr>
          <w:rFonts w:ascii="Times New Roman" w:hAnsi="Times New Roman" w:cs="Times New Roman"/>
          <w:i/>
          <w:sz w:val="20"/>
          <w:szCs w:val="20"/>
        </w:rPr>
      </w:pPr>
    </w:p>
    <w:sectPr w:rsidR="005E23B0" w:rsidRPr="00DD6A7A" w:rsidSect="00645374">
      <w:pgSz w:w="12240" w:h="15840"/>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7A8A8" w14:textId="77777777" w:rsidR="00BB6FB5" w:rsidRDefault="00BB6FB5" w:rsidP="006049D5">
      <w:pPr>
        <w:spacing w:after="0" w:line="240" w:lineRule="auto"/>
      </w:pPr>
      <w:r>
        <w:separator/>
      </w:r>
    </w:p>
  </w:endnote>
  <w:endnote w:type="continuationSeparator" w:id="0">
    <w:p w14:paraId="293891DA" w14:textId="77777777" w:rsidR="00BB6FB5" w:rsidRDefault="00BB6FB5" w:rsidP="00604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AGaramondPro-Regular">
    <w:panose1 w:val="00000000000000000000"/>
    <w:charset w:val="FE"/>
    <w:family w:val="roman"/>
    <w:notTrueType/>
    <w:pitch w:val="default"/>
    <w:sig w:usb0="00000003"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68823"/>
      <w:docPartObj>
        <w:docPartGallery w:val="Page Numbers (Bottom of Page)"/>
        <w:docPartUnique/>
      </w:docPartObj>
    </w:sdtPr>
    <w:sdtEndPr>
      <w:rPr>
        <w:noProof/>
      </w:rPr>
    </w:sdtEndPr>
    <w:sdtContent>
      <w:p w14:paraId="4BF5346E" w14:textId="10F58701" w:rsidR="00CD219C" w:rsidRDefault="00CD219C">
        <w:pPr>
          <w:pStyle w:val="Footer"/>
          <w:jc w:val="right"/>
        </w:pPr>
        <w:r>
          <w:fldChar w:fldCharType="begin"/>
        </w:r>
        <w:r>
          <w:instrText xml:space="preserve"> PAGE   \* MERGEFORMAT </w:instrText>
        </w:r>
        <w:r>
          <w:fldChar w:fldCharType="separate"/>
        </w:r>
        <w:r w:rsidR="002F47D1">
          <w:rPr>
            <w:noProof/>
          </w:rPr>
          <w:t>21</w:t>
        </w:r>
        <w:r>
          <w:rPr>
            <w:noProof/>
          </w:rPr>
          <w:fldChar w:fldCharType="end"/>
        </w:r>
      </w:p>
    </w:sdtContent>
  </w:sdt>
  <w:p w14:paraId="18E93FDF" w14:textId="77777777" w:rsidR="00CD219C" w:rsidRDefault="00CD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82435" w14:textId="77777777" w:rsidR="00BB6FB5" w:rsidRDefault="00BB6FB5" w:rsidP="006049D5">
      <w:pPr>
        <w:spacing w:after="0" w:line="240" w:lineRule="auto"/>
      </w:pPr>
      <w:r>
        <w:separator/>
      </w:r>
    </w:p>
  </w:footnote>
  <w:footnote w:type="continuationSeparator" w:id="0">
    <w:p w14:paraId="6F790AE0" w14:textId="77777777" w:rsidR="00BB6FB5" w:rsidRDefault="00BB6FB5" w:rsidP="006049D5">
      <w:pPr>
        <w:spacing w:after="0" w:line="240" w:lineRule="auto"/>
      </w:pPr>
      <w:r>
        <w:continuationSeparator/>
      </w:r>
    </w:p>
  </w:footnote>
  <w:footnote w:id="1">
    <w:p w14:paraId="52FFE507" w14:textId="1C274D35" w:rsidR="00CD219C" w:rsidRPr="00862B06" w:rsidRDefault="00CD219C" w:rsidP="0097432A">
      <w:pPr>
        <w:pStyle w:val="FootnoteText"/>
        <w:jc w:val="both"/>
        <w:rPr>
          <w:rFonts w:ascii="Times New Roman" w:hAnsi="Times New Roman" w:cs="Times New Roman"/>
          <w:sz w:val="16"/>
          <w:szCs w:val="16"/>
        </w:rPr>
      </w:pPr>
      <w:r w:rsidRPr="00862B06">
        <w:rPr>
          <w:rStyle w:val="FootnoteReference"/>
          <w:rFonts w:ascii="Times New Roman" w:hAnsi="Times New Roman" w:cs="Times New Roman"/>
          <w:sz w:val="16"/>
          <w:szCs w:val="16"/>
        </w:rPr>
        <w:footnoteRef/>
      </w:r>
      <w:r w:rsidRPr="00862B06">
        <w:rPr>
          <w:rFonts w:ascii="Times New Roman" w:hAnsi="Times New Roman" w:cs="Times New Roman"/>
          <w:sz w:val="16"/>
          <w:szCs w:val="16"/>
        </w:rPr>
        <w:t>Art.19</w:t>
      </w:r>
      <w:r>
        <w:rPr>
          <w:rFonts w:ascii="Times New Roman" w:hAnsi="Times New Roman" w:cs="Times New Roman"/>
          <w:sz w:val="16"/>
          <w:szCs w:val="16"/>
        </w:rPr>
        <w:t>-</w:t>
      </w:r>
      <w:r w:rsidRPr="00862B06">
        <w:rPr>
          <w:rFonts w:ascii="Times New Roman" w:hAnsi="Times New Roman" w:cs="Times New Roman"/>
          <w:sz w:val="16"/>
          <w:szCs w:val="16"/>
        </w:rPr>
        <w:t xml:space="preserve">22 din </w:t>
      </w:r>
      <w:hyperlink r:id="rId1" w:history="1">
        <w:r w:rsidRPr="00862B06">
          <w:rPr>
            <w:rFonts w:ascii="Times New Roman" w:eastAsia="Times New Roman" w:hAnsi="Times New Roman" w:cs="Times New Roman"/>
            <w:sz w:val="16"/>
            <w:szCs w:val="16"/>
          </w:rPr>
          <w:t>Legea cu privire la protecția datelor cu caracter personal</w:t>
        </w:r>
      </w:hyperlink>
      <w:r w:rsidRPr="00862B06">
        <w:rPr>
          <w:rFonts w:ascii="Times New Roman" w:eastAsia="Times New Roman" w:hAnsi="Times New Roman" w:cs="Times New Roman"/>
          <w:bCs/>
          <w:sz w:val="16"/>
          <w:szCs w:val="16"/>
        </w:rPr>
        <w:t xml:space="preserve"> nr.133 din 08.07.2011 (în continuare </w:t>
      </w:r>
      <w:r>
        <w:rPr>
          <w:rFonts w:ascii="Times New Roman" w:eastAsia="Times New Roman" w:hAnsi="Times New Roman" w:cs="Times New Roman"/>
          <w:bCs/>
          <w:sz w:val="16"/>
          <w:szCs w:val="16"/>
        </w:rPr>
        <w:t>–</w:t>
      </w:r>
      <w:r w:rsidRPr="00862B06">
        <w:rPr>
          <w:rFonts w:ascii="Times New Roman" w:eastAsia="Times New Roman" w:hAnsi="Times New Roman" w:cs="Times New Roman"/>
          <w:bCs/>
          <w:sz w:val="16"/>
          <w:szCs w:val="16"/>
        </w:rPr>
        <w:t xml:space="preserve"> </w:t>
      </w:r>
      <w:hyperlink r:id="rId2" w:history="1">
        <w:r w:rsidRPr="00862B06">
          <w:rPr>
            <w:rFonts w:ascii="Times New Roman" w:eastAsia="Times New Roman" w:hAnsi="Times New Roman" w:cs="Times New Roman"/>
            <w:sz w:val="16"/>
            <w:szCs w:val="16"/>
          </w:rPr>
          <w:t>Legea</w:t>
        </w:r>
      </w:hyperlink>
      <w:r w:rsidRPr="00862B06">
        <w:rPr>
          <w:rFonts w:ascii="Times New Roman" w:eastAsia="Times New Roman" w:hAnsi="Times New Roman" w:cs="Times New Roman"/>
          <w:sz w:val="16"/>
          <w:szCs w:val="16"/>
        </w:rPr>
        <w:t xml:space="preserve"> </w:t>
      </w:r>
      <w:r w:rsidRPr="00862B06">
        <w:rPr>
          <w:rFonts w:ascii="Times New Roman" w:eastAsia="Times New Roman" w:hAnsi="Times New Roman" w:cs="Times New Roman"/>
          <w:bCs/>
          <w:sz w:val="16"/>
          <w:szCs w:val="16"/>
        </w:rPr>
        <w:t>nr.133 din 08.07.2011).</w:t>
      </w:r>
      <w:r w:rsidRPr="00862B06">
        <w:rPr>
          <w:rFonts w:ascii="Times New Roman" w:hAnsi="Times New Roman" w:cs="Times New Roman"/>
          <w:sz w:val="16"/>
          <w:szCs w:val="16"/>
        </w:rPr>
        <w:t xml:space="preserve"> </w:t>
      </w:r>
    </w:p>
  </w:footnote>
  <w:footnote w:id="2">
    <w:p w14:paraId="3E021EF3" w14:textId="77777777" w:rsidR="00CD219C" w:rsidRPr="00862B06" w:rsidRDefault="00CD219C" w:rsidP="00610B0C">
      <w:pPr>
        <w:spacing w:after="0" w:line="240" w:lineRule="auto"/>
        <w:jc w:val="both"/>
        <w:rPr>
          <w:rFonts w:ascii="Times New Roman" w:hAnsi="Times New Roman" w:cs="Times New Roman"/>
          <w:sz w:val="16"/>
          <w:szCs w:val="16"/>
        </w:rPr>
      </w:pPr>
      <w:r w:rsidRPr="00862B06">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sidRPr="00862B06">
        <w:rPr>
          <w:rFonts w:ascii="Times New Roman" w:hAnsi="Times New Roman" w:cs="Times New Roman"/>
          <w:sz w:val="16"/>
          <w:szCs w:val="16"/>
        </w:rPr>
        <w:t>Pct.3 lit.(a</w:t>
      </w:r>
      <w:r w:rsidRPr="00862B06">
        <w:rPr>
          <w:rFonts w:ascii="Times New Roman" w:hAnsi="Times New Roman" w:cs="Times New Roman"/>
          <w:sz w:val="16"/>
          <w:szCs w:val="16"/>
          <w:vertAlign w:val="superscript"/>
        </w:rPr>
        <w:t>1</w:t>
      </w:r>
      <w:r w:rsidRPr="00862B06">
        <w:rPr>
          <w:rFonts w:ascii="Times New Roman" w:hAnsi="Times New Roman" w:cs="Times New Roman"/>
          <w:sz w:val="16"/>
          <w:szCs w:val="16"/>
        </w:rPr>
        <w:t xml:space="preserve">) din Anexa nr.1 a </w:t>
      </w:r>
      <w:r w:rsidRPr="00862B06">
        <w:rPr>
          <w:rFonts w:ascii="Times New Roman" w:eastAsia="Times New Roman" w:hAnsi="Times New Roman" w:cs="Times New Roman"/>
          <w:bCs/>
          <w:sz w:val="16"/>
          <w:szCs w:val="16"/>
          <w:lang w:val="ro-RO"/>
        </w:rPr>
        <w:t>Regulamentului Centrului Național pentru Protecția Datelor cu Caracter Personal aprobat prin</w:t>
      </w:r>
      <w:r w:rsidRPr="00862B06">
        <w:rPr>
          <w:rFonts w:ascii="Times New Roman" w:hAnsi="Times New Roman" w:cs="Times New Roman"/>
          <w:sz w:val="16"/>
          <w:szCs w:val="16"/>
        </w:rPr>
        <w:t xml:space="preserve"> Legea</w:t>
      </w:r>
      <w:r w:rsidRPr="00862B06">
        <w:rPr>
          <w:rFonts w:ascii="Times New Roman" w:eastAsia="Times New Roman" w:hAnsi="Times New Roman" w:cs="Times New Roman"/>
          <w:bCs/>
          <w:sz w:val="16"/>
          <w:szCs w:val="16"/>
          <w:lang w:val="ro-RO"/>
        </w:rPr>
        <w:t xml:space="preserve"> cu privire la aprobarea Regulamentului Centrului Național pentru Protecția Datelor cu Caracter Personal, structurii, efectivului-limită şi a modului de finanțare a Centrului Național pentru Protecția Datelor cu Caracter Personal nr.182-XVI  din 10.07.2008.</w:t>
      </w:r>
    </w:p>
  </w:footnote>
  <w:footnote w:id="3">
    <w:p w14:paraId="726A2F35" w14:textId="77777777" w:rsidR="00CD219C" w:rsidRPr="00862B06" w:rsidRDefault="00CD219C" w:rsidP="00564B70">
      <w:pPr>
        <w:pStyle w:val="FootnoteText"/>
        <w:jc w:val="both"/>
        <w:rPr>
          <w:rFonts w:ascii="Times New Roman" w:hAnsi="Times New Roman" w:cs="Times New Roman"/>
          <w:sz w:val="16"/>
          <w:szCs w:val="16"/>
        </w:rPr>
      </w:pPr>
      <w:r w:rsidRPr="00862B06">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sidRPr="00862B06">
        <w:rPr>
          <w:rFonts w:ascii="Times New Roman" w:hAnsi="Times New Roman" w:cs="Times New Roman"/>
          <w:sz w:val="16"/>
          <w:szCs w:val="16"/>
        </w:rPr>
        <w:t>Hotărârea Curții de Conturi nr.65 din 22.12.2022 „Privind aprobarea Programului activității de audit a</w:t>
      </w:r>
      <w:r>
        <w:rPr>
          <w:rFonts w:ascii="Times New Roman" w:hAnsi="Times New Roman" w:cs="Times New Roman"/>
          <w:sz w:val="16"/>
          <w:szCs w:val="16"/>
        </w:rPr>
        <w:t>l</w:t>
      </w:r>
      <w:r w:rsidRPr="00862B06">
        <w:rPr>
          <w:rFonts w:ascii="Times New Roman" w:hAnsi="Times New Roman" w:cs="Times New Roman"/>
          <w:sz w:val="16"/>
          <w:szCs w:val="16"/>
        </w:rPr>
        <w:t xml:space="preserve"> Curții de Conturi pe anul 2023”.</w:t>
      </w:r>
    </w:p>
  </w:footnote>
  <w:footnote w:id="4">
    <w:p w14:paraId="6EA209C6" w14:textId="16D6DC87" w:rsidR="00CD219C" w:rsidRPr="00862B06" w:rsidRDefault="00CD219C" w:rsidP="004B1A15">
      <w:pPr>
        <w:pStyle w:val="FootnoteText"/>
        <w:jc w:val="both"/>
        <w:rPr>
          <w:rFonts w:ascii="Times New Roman" w:hAnsi="Times New Roman" w:cs="Times New Roman"/>
          <w:sz w:val="16"/>
          <w:szCs w:val="16"/>
        </w:rPr>
      </w:pPr>
      <w:r w:rsidRPr="00862B06">
        <w:rPr>
          <w:rStyle w:val="FootnoteReference"/>
          <w:rFonts w:ascii="Times New Roman" w:hAnsi="Times New Roman" w:cs="Times New Roman"/>
          <w:sz w:val="16"/>
          <w:szCs w:val="16"/>
        </w:rPr>
        <w:footnoteRef/>
      </w:r>
      <w:r w:rsidRPr="00862B06">
        <w:rPr>
          <w:rFonts w:ascii="Times New Roman" w:hAnsi="Times New Roman" w:cs="Times New Roman"/>
          <w:sz w:val="16"/>
          <w:szCs w:val="16"/>
        </w:rPr>
        <w:t xml:space="preserve"> Art. 51</w:t>
      </w:r>
      <w:r w:rsidRPr="00862B06">
        <w:rPr>
          <w:rFonts w:ascii="Times New Roman" w:hAnsi="Times New Roman" w:cs="Times New Roman"/>
          <w:sz w:val="16"/>
          <w:szCs w:val="16"/>
          <w:vertAlign w:val="superscript"/>
        </w:rPr>
        <w:t xml:space="preserve">1 </w:t>
      </w:r>
      <w:r w:rsidRPr="00862B06">
        <w:rPr>
          <w:rFonts w:ascii="Times New Roman" w:hAnsi="Times New Roman" w:cs="Times New Roman"/>
          <w:sz w:val="16"/>
          <w:szCs w:val="16"/>
        </w:rPr>
        <w:t xml:space="preserve"> din Legea finanțelor publice şi responsabilității bugetar-fiscale nr.181 din 25.07.2014 (cu modificările și completările ulterioare; în continuare</w:t>
      </w:r>
      <w:r>
        <w:rPr>
          <w:rFonts w:ascii="Times New Roman" w:hAnsi="Times New Roman" w:cs="Times New Roman"/>
          <w:sz w:val="16"/>
          <w:szCs w:val="16"/>
        </w:rPr>
        <w:t xml:space="preserve"> –</w:t>
      </w:r>
      <w:r w:rsidRPr="00862B06">
        <w:rPr>
          <w:rFonts w:ascii="Times New Roman" w:hAnsi="Times New Roman" w:cs="Times New Roman"/>
          <w:sz w:val="16"/>
          <w:szCs w:val="16"/>
        </w:rPr>
        <w:t xml:space="preserve"> Legea nr.181/2014).</w:t>
      </w:r>
    </w:p>
  </w:footnote>
  <w:footnote w:id="5">
    <w:p w14:paraId="595DE524" w14:textId="77777777" w:rsidR="00CD219C" w:rsidRPr="00862B06" w:rsidRDefault="00CD219C" w:rsidP="004B1A15">
      <w:pPr>
        <w:pStyle w:val="FootnoteText"/>
        <w:jc w:val="both"/>
        <w:rPr>
          <w:rFonts w:ascii="Times New Roman" w:hAnsi="Times New Roman" w:cs="Times New Roman"/>
          <w:sz w:val="16"/>
          <w:szCs w:val="16"/>
          <w:lang w:val="ro-RO"/>
        </w:rPr>
      </w:pPr>
      <w:r w:rsidRPr="00862B06">
        <w:rPr>
          <w:rStyle w:val="FootnoteReference"/>
          <w:rFonts w:ascii="Times New Roman" w:hAnsi="Times New Roman" w:cs="Times New Roman"/>
          <w:sz w:val="16"/>
          <w:szCs w:val="16"/>
        </w:rPr>
        <w:footnoteRef/>
      </w:r>
      <w:r w:rsidRPr="00862B06">
        <w:rPr>
          <w:rFonts w:ascii="Times New Roman" w:hAnsi="Times New Roman" w:cs="Times New Roman"/>
          <w:sz w:val="16"/>
          <w:szCs w:val="16"/>
        </w:rPr>
        <w:t xml:space="preserve"> Programul „Edificarea societății informaționale”.</w:t>
      </w:r>
    </w:p>
  </w:footnote>
  <w:footnote w:id="6">
    <w:p w14:paraId="022C8BCB" w14:textId="038F0952" w:rsidR="00CD219C" w:rsidRPr="00862B06" w:rsidRDefault="00CD219C" w:rsidP="004B1A15">
      <w:pPr>
        <w:pStyle w:val="FootnoteText"/>
        <w:jc w:val="both"/>
        <w:rPr>
          <w:rFonts w:ascii="Times New Roman" w:hAnsi="Times New Roman" w:cs="Times New Roman"/>
          <w:sz w:val="16"/>
          <w:szCs w:val="16"/>
          <w:lang w:val="ro-RO"/>
        </w:rPr>
      </w:pPr>
      <w:r w:rsidRPr="00862B06">
        <w:rPr>
          <w:rStyle w:val="FootnoteReference"/>
          <w:rFonts w:ascii="Times New Roman" w:hAnsi="Times New Roman" w:cs="Times New Roman"/>
          <w:sz w:val="16"/>
          <w:szCs w:val="16"/>
          <w:lang w:val="ro-RO"/>
        </w:rPr>
        <w:footnoteRef/>
      </w:r>
      <w:r>
        <w:rPr>
          <w:rFonts w:ascii="Times New Roman" w:hAnsi="Times New Roman" w:cs="Times New Roman"/>
          <w:sz w:val="16"/>
          <w:szCs w:val="16"/>
          <w:lang w:val="ro-RO"/>
        </w:rPr>
        <w:t xml:space="preserve"> </w:t>
      </w:r>
      <w:r w:rsidRPr="00862B06">
        <w:rPr>
          <w:rFonts w:ascii="Times New Roman" w:hAnsi="Times New Roman" w:cs="Times New Roman"/>
          <w:sz w:val="16"/>
          <w:szCs w:val="16"/>
          <w:lang w:val="ro-RO"/>
        </w:rPr>
        <w:t>Titlul III Justiție, libertate și securitate, art. 13 „Protecția datelor cu caracter personal</w:t>
      </w:r>
      <w:r>
        <w:rPr>
          <w:rFonts w:ascii="Times New Roman" w:hAnsi="Times New Roman" w:cs="Times New Roman"/>
          <w:sz w:val="16"/>
          <w:szCs w:val="16"/>
          <w:lang w:val="ro-RO"/>
        </w:rPr>
        <w:t>”</w:t>
      </w:r>
      <w:r w:rsidRPr="00862B06">
        <w:rPr>
          <w:rFonts w:ascii="Times New Roman" w:hAnsi="Times New Roman" w:cs="Times New Roman"/>
          <w:sz w:val="16"/>
          <w:szCs w:val="16"/>
          <w:lang w:val="ro-RO"/>
        </w:rPr>
        <w:t xml:space="preserve"> din Planul național de acțiuni pentru implementarea Acordului de Asociere Republica Moldova - Uniunea Europeană în perioada 2014-2016, aprobat prin H</w:t>
      </w:r>
      <w:r>
        <w:rPr>
          <w:rFonts w:ascii="Times New Roman" w:hAnsi="Times New Roman" w:cs="Times New Roman"/>
          <w:sz w:val="16"/>
          <w:szCs w:val="16"/>
          <w:lang w:val="ro-RO"/>
        </w:rPr>
        <w:t>G</w:t>
      </w:r>
      <w:r w:rsidRPr="00862B06">
        <w:rPr>
          <w:rFonts w:ascii="Times New Roman" w:hAnsi="Times New Roman" w:cs="Times New Roman"/>
          <w:sz w:val="16"/>
          <w:szCs w:val="16"/>
          <w:lang w:val="ro-RO"/>
        </w:rPr>
        <w:t xml:space="preserve"> nr.808 din 07.10.2014; Titlul III Justiție, libertate și securitate, art.13 „Protecția datelor cu caracter personal” din Planul național de acțiuni pentru implementarea Acordului de Asociere Republica Moldova - Uniunea Europeană în perioada 2017-2019, aprobat prin H</w:t>
      </w:r>
      <w:r>
        <w:rPr>
          <w:rFonts w:ascii="Times New Roman" w:hAnsi="Times New Roman" w:cs="Times New Roman"/>
          <w:sz w:val="16"/>
          <w:szCs w:val="16"/>
          <w:lang w:val="ro-RO"/>
        </w:rPr>
        <w:t>G</w:t>
      </w:r>
      <w:r w:rsidRPr="00862B06">
        <w:rPr>
          <w:rFonts w:ascii="Times New Roman" w:hAnsi="Times New Roman" w:cs="Times New Roman"/>
          <w:sz w:val="16"/>
          <w:szCs w:val="16"/>
          <w:lang w:val="ro-RO"/>
        </w:rPr>
        <w:t xml:space="preserve"> nr.1472 din 30.12.2016.</w:t>
      </w:r>
    </w:p>
  </w:footnote>
  <w:footnote w:id="7">
    <w:p w14:paraId="01FBABF0" w14:textId="436FCA9A" w:rsidR="00CD219C" w:rsidRPr="0077171B" w:rsidRDefault="00CD219C" w:rsidP="004B1A15">
      <w:pPr>
        <w:spacing w:after="0" w:line="240" w:lineRule="auto"/>
        <w:jc w:val="both"/>
        <w:rPr>
          <w:rFonts w:ascii="Times New Roman" w:hAnsi="Times New Roman" w:cs="Times New Roman"/>
          <w:sz w:val="16"/>
          <w:szCs w:val="16"/>
        </w:rPr>
      </w:pPr>
      <w:r w:rsidRPr="007B314B">
        <w:rPr>
          <w:rStyle w:val="FootnoteReference"/>
          <w:rFonts w:ascii="Times New Roman" w:hAnsi="Times New Roman" w:cs="Times New Roman"/>
          <w:sz w:val="16"/>
          <w:szCs w:val="16"/>
        </w:rPr>
        <w:footnoteRef/>
      </w:r>
      <w:r w:rsidRPr="007B314B">
        <w:rPr>
          <w:rFonts w:ascii="Times New Roman" w:hAnsi="Times New Roman" w:cs="Times New Roman"/>
          <w:sz w:val="16"/>
          <w:szCs w:val="16"/>
        </w:rPr>
        <w:t xml:space="preserve"> </w:t>
      </w:r>
      <w:r w:rsidRPr="0077171B">
        <w:rPr>
          <w:rFonts w:ascii="Times New Roman" w:eastAsia="Times New Roman" w:hAnsi="Times New Roman" w:cs="Times New Roman"/>
          <w:bCs/>
          <w:sz w:val="16"/>
          <w:szCs w:val="16"/>
        </w:rPr>
        <w:t>Legea pentru aprobarea Strategiei naționale în domeniul protecției datelor cu caracter personal pentru anii 2013-2018 și a Planului de acțiuni privind implementarea acesteia nr.229 din 10.10.2013.</w:t>
      </w:r>
    </w:p>
  </w:footnote>
  <w:footnote w:id="8">
    <w:p w14:paraId="2EFFCAB7" w14:textId="0607281F" w:rsidR="00CD219C" w:rsidRPr="007B314B" w:rsidRDefault="00CD219C" w:rsidP="004B1A15">
      <w:pPr>
        <w:spacing w:after="0" w:line="276" w:lineRule="auto"/>
        <w:jc w:val="both"/>
        <w:rPr>
          <w:rFonts w:ascii="Times New Roman" w:hAnsi="Times New Roman" w:cs="Times New Roman"/>
          <w:sz w:val="16"/>
          <w:szCs w:val="16"/>
        </w:rPr>
      </w:pPr>
      <w:r w:rsidRPr="007B314B">
        <w:rPr>
          <w:rStyle w:val="FootnoteReference"/>
          <w:rFonts w:ascii="Times New Roman" w:hAnsi="Times New Roman" w:cs="Times New Roman"/>
          <w:sz w:val="16"/>
          <w:szCs w:val="16"/>
        </w:rPr>
        <w:footnoteRef/>
      </w:r>
      <w:r w:rsidRPr="007B314B">
        <w:rPr>
          <w:rFonts w:ascii="Times New Roman" w:hAnsi="Times New Roman" w:cs="Times New Roman"/>
          <w:sz w:val="16"/>
          <w:szCs w:val="16"/>
        </w:rPr>
        <w:t xml:space="preserve"> </w:t>
      </w:r>
      <w:r w:rsidRPr="007B314B">
        <w:rPr>
          <w:rFonts w:ascii="Times New Roman" w:hAnsi="Times New Roman" w:cs="Times New Roman"/>
          <w:color w:val="000000" w:themeColor="text1"/>
          <w:sz w:val="16"/>
          <w:szCs w:val="16"/>
        </w:rPr>
        <w:t>Nevalorificarea alocațiilor bugetare în sumă de 5</w:t>
      </w:r>
      <w:r>
        <w:rPr>
          <w:rFonts w:ascii="Times New Roman" w:hAnsi="Times New Roman" w:cs="Times New Roman"/>
          <w:color w:val="000000" w:themeColor="text1"/>
          <w:sz w:val="16"/>
          <w:szCs w:val="16"/>
        </w:rPr>
        <w:t>.</w:t>
      </w:r>
      <w:r w:rsidRPr="007B314B">
        <w:rPr>
          <w:rFonts w:ascii="Times New Roman" w:hAnsi="Times New Roman" w:cs="Times New Roman"/>
          <w:color w:val="000000" w:themeColor="text1"/>
          <w:sz w:val="16"/>
          <w:szCs w:val="16"/>
        </w:rPr>
        <w:t>842,2 mi</w:t>
      </w:r>
      <w:r>
        <w:rPr>
          <w:rFonts w:ascii="Times New Roman" w:hAnsi="Times New Roman" w:cs="Times New Roman"/>
          <w:color w:val="000000" w:themeColor="text1"/>
          <w:sz w:val="16"/>
          <w:szCs w:val="16"/>
        </w:rPr>
        <w:t>i</w:t>
      </w:r>
      <w:r w:rsidRPr="007B314B">
        <w:rPr>
          <w:rFonts w:ascii="Times New Roman" w:hAnsi="Times New Roman" w:cs="Times New Roman"/>
          <w:color w:val="000000" w:themeColor="text1"/>
          <w:sz w:val="16"/>
          <w:szCs w:val="16"/>
        </w:rPr>
        <w:t xml:space="preserve"> lei se explică prin soldul de mijloace neutilizat la plata serviciilor (2</w:t>
      </w:r>
      <w:r>
        <w:rPr>
          <w:rFonts w:ascii="Times New Roman" w:hAnsi="Times New Roman" w:cs="Times New Roman"/>
          <w:color w:val="000000" w:themeColor="text1"/>
          <w:sz w:val="16"/>
          <w:szCs w:val="16"/>
        </w:rPr>
        <w:t>.</w:t>
      </w:r>
      <w:r w:rsidRPr="007B314B">
        <w:rPr>
          <w:rFonts w:ascii="Times New Roman" w:hAnsi="Times New Roman" w:cs="Times New Roman"/>
          <w:color w:val="000000" w:themeColor="text1"/>
          <w:sz w:val="16"/>
          <w:szCs w:val="16"/>
        </w:rPr>
        <w:t>975,2 mii lei); soldul de mijloace neutilizat la cheltuielile de personal (1</w:t>
      </w:r>
      <w:r>
        <w:rPr>
          <w:rFonts w:ascii="Times New Roman" w:hAnsi="Times New Roman" w:cs="Times New Roman"/>
          <w:color w:val="000000" w:themeColor="text1"/>
          <w:sz w:val="16"/>
          <w:szCs w:val="16"/>
        </w:rPr>
        <w:t>.</w:t>
      </w:r>
      <w:r w:rsidRPr="007B314B">
        <w:rPr>
          <w:rFonts w:ascii="Times New Roman" w:hAnsi="Times New Roman" w:cs="Times New Roman"/>
          <w:color w:val="000000" w:themeColor="text1"/>
          <w:sz w:val="16"/>
          <w:szCs w:val="16"/>
        </w:rPr>
        <w:t>892,3 mii lei) formate în legătură cu numărul mare de funcții vacante și activele nemateriale (1</w:t>
      </w:r>
      <w:r>
        <w:rPr>
          <w:rFonts w:ascii="Times New Roman" w:hAnsi="Times New Roman" w:cs="Times New Roman"/>
          <w:color w:val="000000" w:themeColor="text1"/>
          <w:sz w:val="16"/>
          <w:szCs w:val="16"/>
        </w:rPr>
        <w:t>.</w:t>
      </w:r>
      <w:r w:rsidRPr="007B314B">
        <w:rPr>
          <w:rFonts w:ascii="Times New Roman" w:hAnsi="Times New Roman" w:cs="Times New Roman"/>
          <w:color w:val="000000" w:themeColor="text1"/>
          <w:sz w:val="16"/>
          <w:szCs w:val="16"/>
        </w:rPr>
        <w:t xml:space="preserve">176,7 mii lei) din cauza neefectuării unor achiziții publice de bunuri.  </w:t>
      </w:r>
    </w:p>
  </w:footnote>
  <w:footnote w:id="9">
    <w:p w14:paraId="2610A59F" w14:textId="77777777" w:rsidR="00CD219C" w:rsidRPr="007B314B" w:rsidRDefault="00CD219C" w:rsidP="004B1A15">
      <w:pPr>
        <w:pStyle w:val="FootnoteText"/>
        <w:jc w:val="both"/>
        <w:rPr>
          <w:rFonts w:ascii="Times New Roman" w:hAnsi="Times New Roman" w:cs="Times New Roman"/>
          <w:sz w:val="16"/>
          <w:szCs w:val="16"/>
        </w:rPr>
      </w:pPr>
      <w:r w:rsidRPr="007B314B">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sidRPr="007B314B">
        <w:rPr>
          <w:rFonts w:ascii="Times New Roman" w:hAnsi="Times New Roman" w:cs="Times New Roman"/>
          <w:sz w:val="16"/>
          <w:szCs w:val="16"/>
        </w:rPr>
        <w:t xml:space="preserve">Renault Kadjar nr. HRE 854 a fost accidentat de 3 ori fiind cauzate pagube în sumă de 80,3 mii lei; Renault Kadjar nr. HRE 861 a fost accidentat de 3 ori fiind cauzate pagube în sumă de 44,6 mii lei; Chevrolet Captiva nr. CQR 523 a fost accidentat de 6 ori fiind cauzate pagube în sumă de 15,6 mii lei și Chevrolet Cruize nr. CPW 938 a fost accidentat de 2 ori fiind cauzate pagube în sumă de 4,7 mii lei, care au fost achitate din contul mijloacelor bugetare. </w:t>
      </w:r>
    </w:p>
  </w:footnote>
  <w:footnote w:id="10">
    <w:p w14:paraId="67AE7A1C" w14:textId="77777777" w:rsidR="00CD219C" w:rsidRPr="0077171B" w:rsidRDefault="00CD219C" w:rsidP="0077171B">
      <w:pPr>
        <w:pStyle w:val="FootnoteText"/>
        <w:jc w:val="both"/>
        <w:rPr>
          <w:rFonts w:ascii="Times New Roman" w:hAnsi="Times New Roman" w:cs="Times New Roman"/>
          <w:sz w:val="16"/>
          <w:szCs w:val="16"/>
          <w:lang w:val="ro-RO"/>
        </w:rPr>
      </w:pPr>
      <w:r w:rsidRPr="0002389B">
        <w:rPr>
          <w:rStyle w:val="FootnoteReference"/>
          <w:rFonts w:ascii="Times New Roman" w:hAnsi="Times New Roman" w:cs="Times New Roman"/>
          <w:sz w:val="16"/>
          <w:szCs w:val="16"/>
          <w:lang w:val="ro-RO"/>
        </w:rPr>
        <w:footnoteRef/>
      </w:r>
      <w:r w:rsidRPr="0002389B">
        <w:rPr>
          <w:rFonts w:ascii="Times New Roman" w:hAnsi="Times New Roman" w:cs="Times New Roman"/>
          <w:sz w:val="16"/>
          <w:szCs w:val="16"/>
          <w:lang w:val="ro-RO"/>
        </w:rPr>
        <w:t xml:space="preserve"> Art.3 din Legea nr.270 din 23.11.2018 privind sistemul unitar de salarizare în sectorul bugetar.</w:t>
      </w:r>
    </w:p>
  </w:footnote>
  <w:footnote w:id="11">
    <w:p w14:paraId="2B8F6A9A" w14:textId="77777777" w:rsidR="00CD219C" w:rsidRPr="009D7F36" w:rsidRDefault="00CD219C" w:rsidP="0002389B">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w:t>
      </w:r>
      <w:r w:rsidRPr="009D7F36">
        <w:rPr>
          <w:rFonts w:ascii="Times New Roman" w:hAnsi="Times New Roman" w:cs="Times New Roman"/>
          <w:sz w:val="16"/>
          <w:szCs w:val="16"/>
          <w:lang w:val="ro-RO"/>
        </w:rPr>
        <w:t>Art.21 din Legea nr.270 din 23.11.2018 privind sistemul unitar de salarizare în sectorul bugetar</w:t>
      </w:r>
      <w:r w:rsidRPr="0077171B">
        <w:rPr>
          <w:rFonts w:ascii="Times New Roman" w:hAnsi="Times New Roman" w:cs="Times New Roman"/>
          <w:sz w:val="16"/>
          <w:szCs w:val="16"/>
          <w:lang w:val="ro-RO"/>
        </w:rPr>
        <w:t xml:space="preserve"> suma de 929,3 mii lei, inclusiv în a</w:t>
      </w:r>
      <w:r w:rsidRPr="009D7F36">
        <w:rPr>
          <w:rFonts w:ascii="Times New Roman" w:hAnsi="Times New Roman" w:cs="Times New Roman"/>
          <w:sz w:val="16"/>
          <w:szCs w:val="16"/>
          <w:lang w:val="ro-RO"/>
        </w:rPr>
        <w:t>nul 2022</w:t>
      </w:r>
      <w:r w:rsidRPr="0077171B">
        <w:rPr>
          <w:rFonts w:ascii="Times New Roman" w:hAnsi="Times New Roman" w:cs="Times New Roman"/>
          <w:sz w:val="16"/>
          <w:szCs w:val="16"/>
          <w:lang w:val="ro-RO"/>
        </w:rPr>
        <w:t xml:space="preserve"> </w:t>
      </w:r>
      <w:r w:rsidRPr="009D7F36">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w:t>
      </w:r>
      <w:r w:rsidRPr="009D7F36">
        <w:rPr>
          <w:rFonts w:ascii="Times New Roman" w:hAnsi="Times New Roman" w:cs="Times New Roman"/>
          <w:sz w:val="16"/>
          <w:szCs w:val="16"/>
          <w:lang w:val="ro-RO"/>
        </w:rPr>
        <w:t>308,2 mii lei, anul 2021</w:t>
      </w:r>
      <w:r w:rsidRPr="0077171B">
        <w:rPr>
          <w:rFonts w:ascii="Times New Roman" w:hAnsi="Times New Roman" w:cs="Times New Roman"/>
          <w:sz w:val="16"/>
          <w:szCs w:val="16"/>
          <w:lang w:val="ro-RO"/>
        </w:rPr>
        <w:t xml:space="preserve"> </w:t>
      </w:r>
      <w:r w:rsidRPr="009D7F36">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w:t>
      </w:r>
      <w:r w:rsidRPr="009D7F36">
        <w:rPr>
          <w:rFonts w:ascii="Times New Roman" w:hAnsi="Times New Roman" w:cs="Times New Roman"/>
          <w:sz w:val="16"/>
          <w:szCs w:val="16"/>
          <w:lang w:val="ro-RO"/>
        </w:rPr>
        <w:t>212,8 mii lei, 2020</w:t>
      </w:r>
      <w:r w:rsidRPr="0077171B">
        <w:rPr>
          <w:rFonts w:ascii="Times New Roman" w:hAnsi="Times New Roman" w:cs="Times New Roman"/>
          <w:sz w:val="16"/>
          <w:szCs w:val="16"/>
          <w:lang w:val="ro-RO"/>
        </w:rPr>
        <w:t xml:space="preserve"> </w:t>
      </w:r>
      <w:r w:rsidRPr="009D7F36">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w:t>
      </w:r>
      <w:r w:rsidRPr="009D7F36">
        <w:rPr>
          <w:rFonts w:ascii="Times New Roman" w:hAnsi="Times New Roman" w:cs="Times New Roman"/>
          <w:sz w:val="16"/>
          <w:szCs w:val="16"/>
          <w:lang w:val="ro-RO"/>
        </w:rPr>
        <w:t>165,6 mii lei, 2019</w:t>
      </w:r>
      <w:r w:rsidRPr="0077171B">
        <w:rPr>
          <w:rFonts w:ascii="Times New Roman" w:hAnsi="Times New Roman" w:cs="Times New Roman"/>
          <w:sz w:val="16"/>
          <w:szCs w:val="16"/>
          <w:lang w:val="ro-RO"/>
        </w:rPr>
        <w:t xml:space="preserve"> </w:t>
      </w:r>
      <w:r w:rsidRPr="009D7F36">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w:t>
      </w:r>
      <w:r w:rsidRPr="009D7F36">
        <w:rPr>
          <w:rFonts w:ascii="Times New Roman" w:hAnsi="Times New Roman" w:cs="Times New Roman"/>
          <w:sz w:val="16"/>
          <w:szCs w:val="16"/>
          <w:lang w:val="ro-RO"/>
        </w:rPr>
        <w:t>0,0 mii lei, decembrie 2018</w:t>
      </w:r>
      <w:r w:rsidRPr="0077171B">
        <w:rPr>
          <w:rFonts w:ascii="Times New Roman" w:hAnsi="Times New Roman" w:cs="Times New Roman"/>
          <w:sz w:val="16"/>
          <w:szCs w:val="16"/>
          <w:lang w:val="ro-RO"/>
        </w:rPr>
        <w:t xml:space="preserve"> </w:t>
      </w:r>
      <w:r w:rsidRPr="009D7F36">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w:t>
      </w:r>
      <w:r w:rsidRPr="009D7F36">
        <w:rPr>
          <w:rFonts w:ascii="Times New Roman" w:hAnsi="Times New Roman" w:cs="Times New Roman"/>
          <w:sz w:val="16"/>
          <w:szCs w:val="16"/>
          <w:lang w:val="ro-RO"/>
        </w:rPr>
        <w:t xml:space="preserve">242,7 mii lei; art.32 din Legea </w:t>
      </w:r>
      <w:r w:rsidRPr="0077171B">
        <w:rPr>
          <w:rFonts w:ascii="Times New Roman" w:hAnsi="Times New Roman" w:cs="Times New Roman"/>
          <w:sz w:val="16"/>
          <w:szCs w:val="16"/>
          <w:lang w:val="ro-RO"/>
        </w:rPr>
        <w:t>nr.</w:t>
      </w:r>
      <w:r w:rsidRPr="009D7F36">
        <w:rPr>
          <w:rFonts w:ascii="Times New Roman" w:hAnsi="Times New Roman" w:cs="Times New Roman"/>
          <w:sz w:val="16"/>
          <w:szCs w:val="16"/>
          <w:lang w:val="ro-RO"/>
        </w:rPr>
        <w:t>355 din 23.12.2005 cu privire la sistemul de salarizare în sectorul bugetar, ianuarie-noiembrie 2018</w:t>
      </w:r>
      <w:r w:rsidRPr="0077171B">
        <w:rPr>
          <w:rFonts w:ascii="Times New Roman" w:hAnsi="Times New Roman" w:cs="Times New Roman"/>
          <w:sz w:val="16"/>
          <w:szCs w:val="16"/>
          <w:lang w:val="ro-RO"/>
        </w:rPr>
        <w:t xml:space="preserve"> </w:t>
      </w:r>
      <w:r w:rsidRPr="009D7F36">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w:t>
      </w:r>
      <w:r w:rsidRPr="009D7F36">
        <w:rPr>
          <w:rFonts w:ascii="Times New Roman" w:hAnsi="Times New Roman" w:cs="Times New Roman"/>
          <w:sz w:val="16"/>
          <w:szCs w:val="16"/>
          <w:lang w:val="ro-RO"/>
        </w:rPr>
        <w:t>830,7 mii lei.</w:t>
      </w:r>
    </w:p>
  </w:footnote>
  <w:footnote w:id="12">
    <w:p w14:paraId="37F95509" w14:textId="570B7E53" w:rsidR="00CD219C" w:rsidRPr="0077171B" w:rsidRDefault="00CD219C" w:rsidP="0002389B">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Sărbătoarea profesională: </w:t>
      </w:r>
      <w:r w:rsidRPr="009D7F36">
        <w:rPr>
          <w:rFonts w:ascii="Times New Roman" w:hAnsi="Times New Roman" w:cs="Times New Roman"/>
          <w:sz w:val="16"/>
          <w:szCs w:val="16"/>
          <w:lang w:val="ro-RO"/>
        </w:rPr>
        <w:t>Z</w:t>
      </w:r>
      <w:r w:rsidRPr="0077171B">
        <w:rPr>
          <w:rFonts w:ascii="Times New Roman" w:hAnsi="Times New Roman" w:cs="Times New Roman"/>
          <w:sz w:val="16"/>
          <w:szCs w:val="16"/>
          <w:lang w:val="ro-RO"/>
        </w:rPr>
        <w:t>iua</w:t>
      </w:r>
      <w:r w:rsidRPr="009D7F36">
        <w:rPr>
          <w:rFonts w:ascii="Times New Roman" w:hAnsi="Times New Roman" w:cs="Times New Roman"/>
          <w:sz w:val="16"/>
          <w:szCs w:val="16"/>
          <w:lang w:val="ro-RO"/>
        </w:rPr>
        <w:t xml:space="preserve"> europeană a protecției datelor (28 ianuarie); </w:t>
      </w:r>
      <w:r w:rsidRPr="009B1642">
        <w:rPr>
          <w:rFonts w:ascii="Times New Roman" w:hAnsi="Times New Roman" w:cs="Times New Roman"/>
          <w:sz w:val="16"/>
          <w:szCs w:val="16"/>
          <w:lang w:val="ro-RO"/>
        </w:rPr>
        <w:t>Ziua funcționarului public (23 iunie); ziua CNPDCP (10 iulie) și Z</w:t>
      </w:r>
      <w:r w:rsidRPr="00EE71EE">
        <w:rPr>
          <w:rFonts w:ascii="Times New Roman" w:hAnsi="Times New Roman" w:cs="Times New Roman"/>
          <w:sz w:val="16"/>
          <w:szCs w:val="16"/>
          <w:lang w:val="ro-RO"/>
        </w:rPr>
        <w:t>iua juristului (19 octombrie).</w:t>
      </w:r>
    </w:p>
  </w:footnote>
  <w:footnote w:id="13">
    <w:p w14:paraId="734011DC" w14:textId="6EFA0FC4" w:rsidR="00CD219C" w:rsidRPr="0002389B" w:rsidRDefault="00CD219C" w:rsidP="0077171B">
      <w:pPr>
        <w:pStyle w:val="FootnoteText"/>
        <w:jc w:val="both"/>
        <w:rPr>
          <w:rFonts w:ascii="Times New Roman" w:hAnsi="Times New Roman" w:cs="Times New Roman"/>
          <w:sz w:val="16"/>
          <w:szCs w:val="16"/>
          <w:lang w:val="ro-RO"/>
        </w:rPr>
      </w:pPr>
      <w:r w:rsidRPr="0002389B">
        <w:rPr>
          <w:rStyle w:val="FootnoteReference"/>
          <w:rFonts w:ascii="Times New Roman" w:hAnsi="Times New Roman" w:cs="Times New Roman"/>
          <w:sz w:val="16"/>
          <w:szCs w:val="16"/>
          <w:lang w:val="ro-RO"/>
        </w:rPr>
        <w:footnoteRef/>
      </w:r>
      <w:r w:rsidRPr="0002389B">
        <w:rPr>
          <w:rFonts w:ascii="Times New Roman" w:hAnsi="Times New Roman" w:cs="Times New Roman"/>
          <w:sz w:val="16"/>
          <w:szCs w:val="16"/>
          <w:lang w:val="ro-RO"/>
        </w:rPr>
        <w:t xml:space="preserve"> Ordinul nr.31 din 01.10.2018 </w:t>
      </w:r>
      <w:r>
        <w:rPr>
          <w:rFonts w:ascii="Times New Roman" w:hAnsi="Times New Roman" w:cs="Times New Roman"/>
          <w:sz w:val="16"/>
          <w:szCs w:val="16"/>
          <w:lang w:val="ro-RO"/>
        </w:rPr>
        <w:t>„</w:t>
      </w:r>
      <w:r w:rsidRPr="0002389B">
        <w:rPr>
          <w:rFonts w:ascii="Times New Roman" w:hAnsi="Times New Roman" w:cs="Times New Roman"/>
          <w:sz w:val="16"/>
          <w:szCs w:val="16"/>
          <w:lang w:val="ro-RO"/>
        </w:rPr>
        <w:t>Cu prilejul zile</w:t>
      </w:r>
      <w:r>
        <w:rPr>
          <w:rFonts w:ascii="Times New Roman" w:hAnsi="Times New Roman" w:cs="Times New Roman"/>
          <w:sz w:val="16"/>
          <w:szCs w:val="16"/>
          <w:lang w:val="ro-RO"/>
        </w:rPr>
        <w:t>i</w:t>
      </w:r>
      <w:r w:rsidRPr="0002389B">
        <w:rPr>
          <w:rFonts w:ascii="Times New Roman" w:hAnsi="Times New Roman" w:cs="Times New Roman"/>
          <w:sz w:val="16"/>
          <w:szCs w:val="16"/>
          <w:lang w:val="ro-RO"/>
        </w:rPr>
        <w:t xml:space="preserve"> de sărbătoare a Hramului Chișinăului</w:t>
      </w:r>
      <w:r>
        <w:rPr>
          <w:rFonts w:ascii="Times New Roman" w:hAnsi="Times New Roman" w:cs="Times New Roman"/>
          <w:sz w:val="16"/>
          <w:szCs w:val="16"/>
          <w:lang w:val="ro-RO"/>
        </w:rPr>
        <w:t>”.</w:t>
      </w:r>
    </w:p>
  </w:footnote>
  <w:footnote w:id="14">
    <w:p w14:paraId="7BFA0BB8" w14:textId="29479D65" w:rsidR="00CD219C" w:rsidRPr="0002389B" w:rsidRDefault="00CD219C" w:rsidP="0077171B">
      <w:pPr>
        <w:pStyle w:val="FootnoteText"/>
        <w:jc w:val="both"/>
        <w:rPr>
          <w:rFonts w:ascii="Times New Roman" w:hAnsi="Times New Roman" w:cs="Times New Roman"/>
          <w:lang w:val="ro-RO"/>
        </w:rPr>
      </w:pPr>
      <w:r w:rsidRPr="0002389B">
        <w:rPr>
          <w:rStyle w:val="FootnoteReference"/>
          <w:rFonts w:ascii="Times New Roman" w:hAnsi="Times New Roman" w:cs="Times New Roman"/>
          <w:sz w:val="16"/>
          <w:szCs w:val="16"/>
          <w:lang w:val="ro-RO"/>
        </w:rPr>
        <w:footnoteRef/>
      </w:r>
      <w:r w:rsidRPr="0002389B">
        <w:rPr>
          <w:rFonts w:ascii="Times New Roman" w:hAnsi="Times New Roman" w:cs="Times New Roman"/>
          <w:sz w:val="16"/>
          <w:szCs w:val="16"/>
          <w:lang w:val="ro-RO"/>
        </w:rPr>
        <w:t xml:space="preserve"> Ordin</w:t>
      </w:r>
      <w:r>
        <w:rPr>
          <w:rFonts w:ascii="Times New Roman" w:hAnsi="Times New Roman" w:cs="Times New Roman"/>
          <w:sz w:val="16"/>
          <w:szCs w:val="16"/>
          <w:lang w:val="ro-RO"/>
        </w:rPr>
        <w:t>ul</w:t>
      </w:r>
      <w:r w:rsidRPr="0002389B">
        <w:rPr>
          <w:rFonts w:ascii="Times New Roman" w:hAnsi="Times New Roman" w:cs="Times New Roman"/>
          <w:sz w:val="16"/>
          <w:szCs w:val="16"/>
          <w:lang w:val="ro-RO"/>
        </w:rPr>
        <w:t xml:space="preserve"> nr.26 din 06.08.2018 </w:t>
      </w:r>
      <w:r>
        <w:rPr>
          <w:rFonts w:ascii="Times New Roman" w:hAnsi="Times New Roman" w:cs="Times New Roman"/>
          <w:sz w:val="16"/>
          <w:szCs w:val="16"/>
          <w:lang w:val="ro-RO"/>
        </w:rPr>
        <w:t>„</w:t>
      </w:r>
      <w:r w:rsidRPr="0002389B">
        <w:rPr>
          <w:rFonts w:ascii="Times New Roman" w:hAnsi="Times New Roman" w:cs="Times New Roman"/>
          <w:sz w:val="16"/>
          <w:szCs w:val="16"/>
          <w:lang w:val="ro-RO"/>
        </w:rPr>
        <w:t>Cu prilejul celebrării zilei CNPDC</w:t>
      </w:r>
      <w:r w:rsidR="00154424">
        <w:rPr>
          <w:rFonts w:ascii="Times New Roman" w:hAnsi="Times New Roman" w:cs="Times New Roman"/>
          <w:sz w:val="16"/>
          <w:szCs w:val="16"/>
          <w:lang w:val="ro-RO"/>
        </w:rPr>
        <w:t>P</w:t>
      </w:r>
      <w:r>
        <w:rPr>
          <w:rFonts w:ascii="Times New Roman" w:hAnsi="Times New Roman" w:cs="Times New Roman"/>
          <w:sz w:val="16"/>
          <w:szCs w:val="16"/>
          <w:lang w:val="ro-RO"/>
        </w:rPr>
        <w:t>”.</w:t>
      </w:r>
    </w:p>
  </w:footnote>
  <w:footnote w:id="15">
    <w:p w14:paraId="42A09A23" w14:textId="000E72DA" w:rsidR="00CD219C" w:rsidRPr="0002389B" w:rsidRDefault="00CD219C" w:rsidP="0002389B">
      <w:pPr>
        <w:pStyle w:val="FootnoteText"/>
        <w:jc w:val="both"/>
        <w:rPr>
          <w:rFonts w:ascii="Times New Roman" w:hAnsi="Times New Roman" w:cs="Times New Roman"/>
          <w:sz w:val="16"/>
          <w:szCs w:val="16"/>
          <w:lang w:val="ro-RO"/>
        </w:rPr>
      </w:pPr>
      <w:r w:rsidRPr="0002389B">
        <w:rPr>
          <w:rStyle w:val="FootnoteReference"/>
          <w:rFonts w:ascii="Times New Roman" w:hAnsi="Times New Roman" w:cs="Times New Roman"/>
          <w:sz w:val="16"/>
          <w:szCs w:val="16"/>
          <w:lang w:val="ro-RO"/>
        </w:rPr>
        <w:footnoteRef/>
      </w:r>
      <w:r w:rsidRPr="0002389B">
        <w:rPr>
          <w:rFonts w:ascii="Times New Roman" w:hAnsi="Times New Roman" w:cs="Times New Roman"/>
          <w:sz w:val="16"/>
          <w:szCs w:val="16"/>
          <w:lang w:val="ro-RO"/>
        </w:rPr>
        <w:t xml:space="preserve"> Cumularea funcției de audit intern în perioada: anul 2020</w:t>
      </w:r>
      <w:r>
        <w:rPr>
          <w:rFonts w:ascii="Times New Roman" w:hAnsi="Times New Roman" w:cs="Times New Roman"/>
          <w:sz w:val="16"/>
          <w:szCs w:val="16"/>
          <w:lang w:val="ro-RO"/>
        </w:rPr>
        <w:t xml:space="preserve"> – lunile </w:t>
      </w:r>
      <w:r w:rsidRPr="0002389B">
        <w:rPr>
          <w:rFonts w:ascii="Times New Roman" w:hAnsi="Times New Roman" w:cs="Times New Roman"/>
          <w:sz w:val="16"/>
          <w:szCs w:val="16"/>
          <w:lang w:val="ro-RO"/>
        </w:rPr>
        <w:t>martie, iunie, august, septembrie, anul 2019</w:t>
      </w:r>
      <w:r>
        <w:rPr>
          <w:rFonts w:ascii="Times New Roman" w:hAnsi="Times New Roman" w:cs="Times New Roman"/>
          <w:sz w:val="16"/>
          <w:szCs w:val="16"/>
          <w:lang w:val="ro-RO"/>
        </w:rPr>
        <w:t xml:space="preserve"> –</w:t>
      </w:r>
      <w:r w:rsidRPr="0002389B">
        <w:rPr>
          <w:rFonts w:ascii="Times New Roman" w:hAnsi="Times New Roman" w:cs="Times New Roman"/>
          <w:sz w:val="16"/>
          <w:szCs w:val="16"/>
          <w:lang w:val="ro-RO"/>
        </w:rPr>
        <w:t xml:space="preserve"> </w:t>
      </w:r>
      <w:r>
        <w:rPr>
          <w:rFonts w:ascii="Times New Roman" w:hAnsi="Times New Roman" w:cs="Times New Roman"/>
          <w:sz w:val="16"/>
          <w:szCs w:val="16"/>
          <w:lang w:val="ro-RO"/>
        </w:rPr>
        <w:t xml:space="preserve">lunile </w:t>
      </w:r>
      <w:r w:rsidRPr="0002389B">
        <w:rPr>
          <w:rFonts w:ascii="Times New Roman" w:hAnsi="Times New Roman" w:cs="Times New Roman"/>
          <w:sz w:val="16"/>
          <w:szCs w:val="16"/>
          <w:lang w:val="ro-RO"/>
        </w:rPr>
        <w:t>iunie, iulie, august (</w:t>
      </w:r>
      <w:r>
        <w:rPr>
          <w:rFonts w:ascii="Times New Roman" w:hAnsi="Times New Roman" w:cs="Times New Roman"/>
          <w:sz w:val="16"/>
          <w:szCs w:val="16"/>
          <w:lang w:val="ro-RO"/>
        </w:rPr>
        <w:t xml:space="preserve">fiind </w:t>
      </w:r>
      <w:r w:rsidRPr="0002389B">
        <w:rPr>
          <w:rFonts w:ascii="Times New Roman" w:hAnsi="Times New Roman" w:cs="Times New Roman"/>
          <w:sz w:val="16"/>
          <w:szCs w:val="16"/>
          <w:lang w:val="ro-RO"/>
        </w:rPr>
        <w:t>achitate 19,3 mii lei).</w:t>
      </w:r>
    </w:p>
  </w:footnote>
  <w:footnote w:id="16">
    <w:p w14:paraId="26461A24" w14:textId="4558D2A3" w:rsidR="00CD219C" w:rsidRPr="0077171B" w:rsidRDefault="00CD219C" w:rsidP="005D0BA3">
      <w:pPr>
        <w:pStyle w:val="FootnoteText"/>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P</w:t>
      </w:r>
      <w:r w:rsidRPr="00E87B02">
        <w:rPr>
          <w:rFonts w:ascii="Times New Roman" w:hAnsi="Times New Roman" w:cs="Times New Roman"/>
          <w:sz w:val="16"/>
          <w:szCs w:val="16"/>
          <w:lang w:val="ro-RO"/>
        </w:rPr>
        <w:t>entru automobilele de marca Renault</w:t>
      </w:r>
      <w:r w:rsidRPr="00E87B02">
        <w:rPr>
          <w:rFonts w:ascii="Times New Roman" w:hAnsi="Times New Roman" w:cs="Times New Roman"/>
          <w:i/>
          <w:sz w:val="16"/>
          <w:szCs w:val="16"/>
          <w:lang w:val="ro-RO"/>
        </w:rPr>
        <w:t xml:space="preserve"> </w:t>
      </w:r>
      <w:r w:rsidRPr="00E87B02">
        <w:rPr>
          <w:rFonts w:ascii="Times New Roman" w:hAnsi="Times New Roman" w:cs="Times New Roman"/>
          <w:sz w:val="16"/>
          <w:szCs w:val="16"/>
          <w:lang w:val="ro-RO"/>
        </w:rPr>
        <w:t>Kadjar</w:t>
      </w:r>
      <w:r>
        <w:rPr>
          <w:rFonts w:ascii="Times New Roman" w:hAnsi="Times New Roman" w:cs="Times New Roman"/>
          <w:sz w:val="16"/>
          <w:szCs w:val="16"/>
          <w:lang w:val="ro-RO"/>
        </w:rPr>
        <w:t>,</w:t>
      </w:r>
      <w:r w:rsidRPr="00E87B02">
        <w:rPr>
          <w:rFonts w:ascii="Times New Roman" w:hAnsi="Times New Roman" w:cs="Times New Roman"/>
          <w:sz w:val="16"/>
          <w:szCs w:val="16"/>
          <w:lang w:val="ro-RO"/>
        </w:rPr>
        <w:t xml:space="preserve"> norme</w:t>
      </w:r>
      <w:r>
        <w:rPr>
          <w:rFonts w:ascii="Times New Roman" w:hAnsi="Times New Roman" w:cs="Times New Roman"/>
          <w:sz w:val="16"/>
          <w:szCs w:val="16"/>
          <w:lang w:val="ro-RO"/>
        </w:rPr>
        <w:t>le</w:t>
      </w:r>
      <w:r w:rsidRPr="00E87B02">
        <w:rPr>
          <w:rFonts w:ascii="Times New Roman" w:hAnsi="Times New Roman" w:cs="Times New Roman"/>
          <w:sz w:val="16"/>
          <w:szCs w:val="16"/>
          <w:lang w:val="ro-RO"/>
        </w:rPr>
        <w:t xml:space="preserve"> de consum</w:t>
      </w:r>
      <w:r w:rsidRPr="0077171B">
        <w:rPr>
          <w:rFonts w:ascii="Times New Roman" w:hAnsi="Times New Roman" w:cs="Times New Roman"/>
          <w:sz w:val="16"/>
          <w:szCs w:val="16"/>
          <w:lang w:val="ro-RO"/>
        </w:rPr>
        <w:t xml:space="preserve"> de carburanți</w:t>
      </w:r>
      <w:r w:rsidRPr="00E87B02">
        <w:rPr>
          <w:rFonts w:ascii="Times New Roman" w:hAnsi="Times New Roman" w:cs="Times New Roman"/>
          <w:sz w:val="16"/>
          <w:szCs w:val="16"/>
          <w:lang w:val="ro-RO"/>
        </w:rPr>
        <w:t xml:space="preserve"> față de norma de bază </w:t>
      </w:r>
      <w:r>
        <w:rPr>
          <w:rFonts w:ascii="Times New Roman" w:hAnsi="Times New Roman" w:cs="Times New Roman"/>
          <w:sz w:val="16"/>
          <w:szCs w:val="16"/>
          <w:lang w:val="ro-RO"/>
        </w:rPr>
        <w:t xml:space="preserve">au fost </w:t>
      </w:r>
      <w:r w:rsidRPr="00E87B02">
        <w:rPr>
          <w:rFonts w:ascii="Times New Roman" w:hAnsi="Times New Roman" w:cs="Times New Roman"/>
          <w:sz w:val="16"/>
          <w:szCs w:val="16"/>
          <w:lang w:val="ro-RO"/>
        </w:rPr>
        <w:t>majorate cu 1,8 litri/100 km și</w:t>
      </w:r>
      <w:r>
        <w:rPr>
          <w:rFonts w:ascii="Times New Roman" w:hAnsi="Times New Roman" w:cs="Times New Roman"/>
          <w:sz w:val="16"/>
          <w:szCs w:val="16"/>
          <w:lang w:val="ro-RO"/>
        </w:rPr>
        <w:t>,</w:t>
      </w:r>
      <w:r w:rsidRPr="00E87B02">
        <w:rPr>
          <w:rFonts w:ascii="Times New Roman" w:hAnsi="Times New Roman" w:cs="Times New Roman"/>
          <w:sz w:val="16"/>
          <w:szCs w:val="16"/>
          <w:lang w:val="ro-RO"/>
        </w:rPr>
        <w:t xml:space="preserve"> respectiv</w:t>
      </w:r>
      <w:r>
        <w:rPr>
          <w:rFonts w:ascii="Times New Roman" w:hAnsi="Times New Roman" w:cs="Times New Roman"/>
          <w:sz w:val="16"/>
          <w:szCs w:val="16"/>
          <w:lang w:val="ro-RO"/>
        </w:rPr>
        <w:t>, cu</w:t>
      </w:r>
      <w:r w:rsidRPr="00E87B02">
        <w:rPr>
          <w:rFonts w:ascii="Times New Roman" w:hAnsi="Times New Roman" w:cs="Times New Roman"/>
          <w:sz w:val="16"/>
          <w:szCs w:val="16"/>
          <w:lang w:val="ro-RO"/>
        </w:rPr>
        <w:t xml:space="preserve"> 1,9 litri/100 km și cu 0,8 litri/100 km mai mult pentru automobilul Chevrolet Captiva.</w:t>
      </w:r>
    </w:p>
  </w:footnote>
  <w:footnote w:id="17">
    <w:p w14:paraId="6A65A05B" w14:textId="77777777" w:rsidR="00CD219C" w:rsidRPr="0077171B" w:rsidRDefault="00CD219C" w:rsidP="0077171B">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Pr>
          <w:rFonts w:ascii="Times New Roman" w:hAnsi="Times New Roman" w:cs="Times New Roman"/>
          <w:sz w:val="16"/>
          <w:szCs w:val="16"/>
          <w:lang w:val="ro-RO"/>
        </w:rPr>
        <w:t xml:space="preserve"> </w:t>
      </w:r>
      <w:r w:rsidRPr="0077171B">
        <w:rPr>
          <w:rFonts w:ascii="Times New Roman" w:hAnsi="Times New Roman" w:cs="Times New Roman"/>
          <w:sz w:val="16"/>
          <w:szCs w:val="16"/>
          <w:lang w:val="ro-RO"/>
        </w:rPr>
        <w:t xml:space="preserve">Renault Kadjar nr. HRE 854; Renault Kadjar nr. HRE 861; Chevrolet Captiva nr. CQR 523 și Chevrolet Cruize nr. CPW 938. </w:t>
      </w:r>
    </w:p>
  </w:footnote>
  <w:footnote w:id="18">
    <w:p w14:paraId="57C5B59F" w14:textId="59AC834C" w:rsidR="00CD219C" w:rsidRPr="0077171B" w:rsidRDefault="00CD219C" w:rsidP="001013C0">
      <w:pPr>
        <w:spacing w:after="0" w:line="240" w:lineRule="auto"/>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Pct.1 din Anexa nr.1 a Regulamentului</w:t>
      </w:r>
      <w:r w:rsidRPr="009D7F36">
        <w:rPr>
          <w:rFonts w:ascii="Times New Roman" w:eastAsia="Times New Roman" w:hAnsi="Times New Roman" w:cs="Times New Roman"/>
          <w:bCs/>
          <w:sz w:val="16"/>
          <w:szCs w:val="16"/>
          <w:lang w:val="ro-RO"/>
        </w:rPr>
        <w:t xml:space="preserve"> Centrului Național pentru Protecția Datelor cu Caracter Personal, aprobat prin</w:t>
      </w:r>
      <w:r w:rsidRPr="0077171B">
        <w:rPr>
          <w:rFonts w:ascii="Times New Roman" w:hAnsi="Times New Roman" w:cs="Times New Roman"/>
          <w:sz w:val="16"/>
          <w:szCs w:val="16"/>
          <w:lang w:val="ro-RO"/>
        </w:rPr>
        <w:t xml:space="preserve"> Legea</w:t>
      </w:r>
      <w:r w:rsidRPr="009D7F36">
        <w:rPr>
          <w:rFonts w:ascii="Times New Roman" w:eastAsia="Times New Roman" w:hAnsi="Times New Roman" w:cs="Times New Roman"/>
          <w:bCs/>
          <w:sz w:val="16"/>
          <w:szCs w:val="16"/>
          <w:lang w:val="ro-RO"/>
        </w:rPr>
        <w:t xml:space="preserve"> cu privire la aprobarea Regulamentului Centrului Național pentru Protecția Datelor cu Caracter Personal, structurii, efectivului-limită şi a modului de finanțare a Centrului Național pentru Protecția Datelor cu Caracter Personal nr.182-XVI din 10.07.2008</w:t>
      </w:r>
      <w:r w:rsidRPr="009D7F36">
        <w:rPr>
          <w:rFonts w:ascii="Times New Roman" w:eastAsia="Times New Roman" w:hAnsi="Times New Roman" w:cs="Times New Roman"/>
          <w:b/>
          <w:bCs/>
          <w:sz w:val="16"/>
          <w:szCs w:val="16"/>
          <w:lang w:val="ro-RO"/>
        </w:rPr>
        <w:t xml:space="preserve"> </w:t>
      </w:r>
      <w:r w:rsidRPr="009D7F36">
        <w:rPr>
          <w:rFonts w:ascii="Times New Roman" w:eastAsia="Times New Roman" w:hAnsi="Times New Roman" w:cs="Times New Roman"/>
          <w:bCs/>
          <w:sz w:val="16"/>
          <w:szCs w:val="16"/>
          <w:lang w:val="ro-RO"/>
        </w:rPr>
        <w:t xml:space="preserve">(în continuare </w:t>
      </w:r>
      <w:r>
        <w:rPr>
          <w:rFonts w:ascii="Times New Roman" w:eastAsia="Times New Roman" w:hAnsi="Times New Roman" w:cs="Times New Roman"/>
          <w:bCs/>
          <w:sz w:val="16"/>
          <w:szCs w:val="16"/>
          <w:lang w:val="ro-RO"/>
        </w:rPr>
        <w:t>–</w:t>
      </w:r>
      <w:r w:rsidRPr="009D7F36">
        <w:rPr>
          <w:rFonts w:ascii="Times New Roman" w:eastAsia="Times New Roman" w:hAnsi="Times New Roman" w:cs="Times New Roman"/>
          <w:bCs/>
          <w:sz w:val="16"/>
          <w:szCs w:val="16"/>
          <w:lang w:val="ro-RO"/>
        </w:rPr>
        <w:t xml:space="preserve"> Legea</w:t>
      </w:r>
      <w:r w:rsidRPr="009D7F36">
        <w:rPr>
          <w:rFonts w:ascii="Times New Roman" w:eastAsia="Times New Roman" w:hAnsi="Times New Roman" w:cs="Times New Roman"/>
          <w:b/>
          <w:bCs/>
          <w:sz w:val="16"/>
          <w:szCs w:val="16"/>
          <w:lang w:val="ro-RO"/>
        </w:rPr>
        <w:t xml:space="preserve"> </w:t>
      </w:r>
      <w:r w:rsidRPr="009D7F36">
        <w:rPr>
          <w:rFonts w:ascii="Times New Roman" w:eastAsia="Times New Roman" w:hAnsi="Times New Roman" w:cs="Times New Roman"/>
          <w:bCs/>
          <w:sz w:val="16"/>
          <w:szCs w:val="16"/>
          <w:lang w:val="ro-RO"/>
        </w:rPr>
        <w:t xml:space="preserve">nr.182-XVI din 10.07.2008). </w:t>
      </w:r>
    </w:p>
  </w:footnote>
  <w:footnote w:id="19">
    <w:p w14:paraId="56D58A8C" w14:textId="77777777" w:rsidR="00CD219C" w:rsidRPr="0077171B" w:rsidRDefault="00CD219C" w:rsidP="001013C0">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Art.20 din </w:t>
      </w:r>
      <w:hyperlink r:id="rId3" w:history="1">
        <w:r w:rsidRPr="009D7F36">
          <w:rPr>
            <w:rFonts w:ascii="Times New Roman" w:eastAsia="Times New Roman" w:hAnsi="Times New Roman" w:cs="Times New Roman"/>
            <w:sz w:val="16"/>
            <w:szCs w:val="16"/>
            <w:lang w:val="ro-RO"/>
          </w:rPr>
          <w:t>Legea cu privire la protecția datelor cu caracter personal</w:t>
        </w:r>
      </w:hyperlink>
      <w:r w:rsidRPr="009D7F36">
        <w:rPr>
          <w:rFonts w:ascii="Times New Roman" w:eastAsia="Times New Roman" w:hAnsi="Times New Roman" w:cs="Times New Roman"/>
          <w:sz w:val="16"/>
          <w:szCs w:val="16"/>
          <w:lang w:val="ro-RO"/>
        </w:rPr>
        <w:t xml:space="preserve"> nr.133 din 08.07.2011 (in continuare – Legea nr.133 din 08.07.2011).</w:t>
      </w:r>
    </w:p>
  </w:footnote>
  <w:footnote w:id="20">
    <w:p w14:paraId="59310B61" w14:textId="0E0752BF" w:rsidR="00CD219C" w:rsidRPr="0077171B" w:rsidRDefault="00CD219C" w:rsidP="001013C0">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Art.1 lit.(c) din Legea</w:t>
      </w:r>
      <w:r w:rsidRPr="009D7F36">
        <w:rPr>
          <w:rFonts w:ascii="Times New Roman" w:eastAsia="Times New Roman" w:hAnsi="Times New Roman" w:cs="Times New Roman"/>
          <w:bCs/>
          <w:sz w:val="16"/>
          <w:szCs w:val="16"/>
          <w:lang w:val="ro-RO"/>
        </w:rPr>
        <w:t xml:space="preserve"> nr.182-XVI din 10.07.2008</w:t>
      </w:r>
      <w:r w:rsidRPr="0077171B">
        <w:rPr>
          <w:rFonts w:ascii="Times New Roman" w:hAnsi="Times New Roman" w:cs="Times New Roman"/>
          <w:sz w:val="16"/>
          <w:szCs w:val="16"/>
          <w:lang w:val="ro-RO"/>
        </w:rPr>
        <w:t>.</w:t>
      </w:r>
    </w:p>
  </w:footnote>
  <w:footnote w:id="21">
    <w:p w14:paraId="498E5F01" w14:textId="66E7C071" w:rsidR="00CD219C" w:rsidRPr="00E0303E" w:rsidRDefault="00CD219C" w:rsidP="00E0303E">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w:t>
      </w:r>
      <w:r w:rsidRPr="009D7F36">
        <w:rPr>
          <w:rFonts w:ascii="Times New Roman" w:hAnsi="Times New Roman" w:cs="Times New Roman"/>
          <w:sz w:val="16"/>
          <w:szCs w:val="16"/>
          <w:lang w:val="ro-RO"/>
        </w:rPr>
        <w:t>Moratoriu pe anul 2023</w:t>
      </w:r>
      <w:r>
        <w:rPr>
          <w:rFonts w:ascii="Times New Roman" w:hAnsi="Times New Roman" w:cs="Times New Roman"/>
          <w:sz w:val="16"/>
          <w:szCs w:val="16"/>
          <w:lang w:val="ro-RO"/>
        </w:rPr>
        <w:t xml:space="preserve"> </w:t>
      </w:r>
      <w:r w:rsidRPr="009D7F36">
        <w:rPr>
          <w:rFonts w:ascii="Times New Roman" w:hAnsi="Times New Roman" w:cs="Times New Roman"/>
          <w:sz w:val="16"/>
          <w:szCs w:val="16"/>
          <w:lang w:val="ro-RO"/>
        </w:rPr>
        <w:t>-</w:t>
      </w:r>
      <w:r>
        <w:rPr>
          <w:rFonts w:ascii="Times New Roman" w:hAnsi="Times New Roman" w:cs="Times New Roman"/>
          <w:sz w:val="16"/>
          <w:szCs w:val="16"/>
          <w:lang w:val="ro-RO"/>
        </w:rPr>
        <w:t xml:space="preserve"> </w:t>
      </w:r>
      <w:r w:rsidRPr="009D7F36">
        <w:rPr>
          <w:rFonts w:ascii="Times New Roman" w:hAnsi="Times New Roman" w:cs="Times New Roman"/>
          <w:sz w:val="16"/>
          <w:szCs w:val="16"/>
          <w:lang w:val="ro-RO"/>
        </w:rPr>
        <w:t>13 funcții vacante/</w:t>
      </w:r>
      <w:r w:rsidRPr="0077171B">
        <w:rPr>
          <w:rFonts w:ascii="Times New Roman" w:hAnsi="Times New Roman" w:cs="Times New Roman"/>
          <w:sz w:val="16"/>
          <w:szCs w:val="16"/>
          <w:lang w:val="ro-RO"/>
        </w:rPr>
        <w:t xml:space="preserve"> </w:t>
      </w:r>
      <w:r w:rsidRPr="009D7F36">
        <w:rPr>
          <w:rFonts w:ascii="Times New Roman" w:hAnsi="Times New Roman" w:cs="Times New Roman"/>
          <w:sz w:val="16"/>
          <w:szCs w:val="16"/>
          <w:lang w:val="ro-RO"/>
        </w:rPr>
        <w:t>H</w:t>
      </w:r>
      <w:r>
        <w:rPr>
          <w:rFonts w:ascii="Times New Roman" w:hAnsi="Times New Roman" w:cs="Times New Roman"/>
          <w:sz w:val="16"/>
          <w:szCs w:val="16"/>
          <w:lang w:val="ro-RO"/>
        </w:rPr>
        <w:t>G</w:t>
      </w:r>
      <w:r w:rsidRPr="009D7F36">
        <w:rPr>
          <w:rFonts w:ascii="Times New Roman" w:hAnsi="Times New Roman" w:cs="Times New Roman"/>
          <w:sz w:val="16"/>
          <w:szCs w:val="16"/>
          <w:lang w:val="ro-RO"/>
        </w:rPr>
        <w:t xml:space="preserve"> nr.962 din 28.12.2022 </w:t>
      </w:r>
      <w:r>
        <w:rPr>
          <w:rFonts w:ascii="Times New Roman" w:hAnsi="Times New Roman" w:cs="Times New Roman"/>
          <w:sz w:val="16"/>
          <w:szCs w:val="16"/>
          <w:lang w:val="ro-RO"/>
        </w:rPr>
        <w:t>„P</w:t>
      </w:r>
      <w:r w:rsidRPr="009D7F36">
        <w:rPr>
          <w:rFonts w:ascii="Times New Roman" w:hAnsi="Times New Roman" w:cs="Times New Roman"/>
          <w:sz w:val="16"/>
          <w:szCs w:val="16"/>
          <w:lang w:val="ro-RO"/>
        </w:rPr>
        <w:t>entru stabilirea moratoriului temporar privind încadrarea personalului din sectorul bugetar în funcțiile vacante înregistrate</w:t>
      </w:r>
      <w:r>
        <w:rPr>
          <w:rFonts w:ascii="Times New Roman" w:hAnsi="Times New Roman" w:cs="Times New Roman"/>
          <w:sz w:val="16"/>
          <w:szCs w:val="16"/>
          <w:lang w:val="ro-RO"/>
        </w:rPr>
        <w:t>”</w:t>
      </w:r>
      <w:r w:rsidRPr="009D7F36">
        <w:rPr>
          <w:rFonts w:ascii="Times New Roman" w:hAnsi="Times New Roman" w:cs="Times New Roman"/>
          <w:sz w:val="16"/>
          <w:szCs w:val="16"/>
          <w:lang w:val="ro-RO"/>
        </w:rPr>
        <w:t>; moratoriu pe anul 2022</w:t>
      </w:r>
      <w:r>
        <w:rPr>
          <w:rFonts w:ascii="Times New Roman" w:hAnsi="Times New Roman" w:cs="Times New Roman"/>
          <w:sz w:val="16"/>
          <w:szCs w:val="16"/>
          <w:lang w:val="ro-RO"/>
        </w:rPr>
        <w:t xml:space="preserve"> </w:t>
      </w:r>
      <w:r w:rsidRPr="009D7F36">
        <w:rPr>
          <w:rFonts w:ascii="Times New Roman" w:hAnsi="Times New Roman" w:cs="Times New Roman"/>
          <w:sz w:val="16"/>
          <w:szCs w:val="16"/>
          <w:lang w:val="ro-RO"/>
        </w:rPr>
        <w:t>-</w:t>
      </w:r>
      <w:r>
        <w:rPr>
          <w:rFonts w:ascii="Times New Roman" w:hAnsi="Times New Roman" w:cs="Times New Roman"/>
          <w:sz w:val="16"/>
          <w:szCs w:val="16"/>
          <w:lang w:val="ro-RO"/>
        </w:rPr>
        <w:t xml:space="preserve"> </w:t>
      </w:r>
      <w:r w:rsidRPr="009D7F36">
        <w:rPr>
          <w:rFonts w:ascii="Times New Roman" w:hAnsi="Times New Roman" w:cs="Times New Roman"/>
          <w:sz w:val="16"/>
          <w:szCs w:val="16"/>
          <w:lang w:val="ro-RO"/>
        </w:rPr>
        <w:t>5 funcții vacante/</w:t>
      </w:r>
      <w:r w:rsidRPr="0077171B">
        <w:rPr>
          <w:rFonts w:ascii="Times New Roman" w:hAnsi="Times New Roman" w:cs="Times New Roman"/>
          <w:sz w:val="16"/>
          <w:szCs w:val="16"/>
          <w:lang w:val="ro-RO"/>
        </w:rPr>
        <w:t xml:space="preserve"> </w:t>
      </w:r>
      <w:r w:rsidRPr="009D7F36">
        <w:rPr>
          <w:rFonts w:ascii="Times New Roman" w:hAnsi="Times New Roman" w:cs="Times New Roman"/>
          <w:sz w:val="16"/>
          <w:szCs w:val="16"/>
          <w:lang w:val="ro-RO"/>
        </w:rPr>
        <w:t>H</w:t>
      </w:r>
      <w:r>
        <w:rPr>
          <w:rFonts w:ascii="Times New Roman" w:hAnsi="Times New Roman" w:cs="Times New Roman"/>
          <w:sz w:val="16"/>
          <w:szCs w:val="16"/>
          <w:lang w:val="ro-RO"/>
        </w:rPr>
        <w:t>G</w:t>
      </w:r>
      <w:r w:rsidRPr="009D7F36">
        <w:rPr>
          <w:rFonts w:ascii="Times New Roman" w:hAnsi="Times New Roman" w:cs="Times New Roman"/>
          <w:sz w:val="16"/>
          <w:szCs w:val="16"/>
          <w:lang w:val="ro-RO"/>
        </w:rPr>
        <w:t xml:space="preserve"> nr.475 </w:t>
      </w:r>
      <w:r w:rsidRPr="00E0303E">
        <w:rPr>
          <w:rFonts w:ascii="Times New Roman" w:hAnsi="Times New Roman" w:cs="Times New Roman"/>
          <w:sz w:val="16"/>
          <w:szCs w:val="16"/>
          <w:lang w:val="ro-RO"/>
        </w:rPr>
        <w:t xml:space="preserve">din 29.12.2021 </w:t>
      </w:r>
      <w:r>
        <w:rPr>
          <w:rFonts w:ascii="Times New Roman" w:hAnsi="Times New Roman" w:cs="Times New Roman"/>
          <w:sz w:val="16"/>
          <w:szCs w:val="16"/>
          <w:lang w:val="ro-RO"/>
        </w:rPr>
        <w:t>„P</w:t>
      </w:r>
      <w:r w:rsidRPr="00E0303E">
        <w:rPr>
          <w:rFonts w:ascii="Times New Roman" w:hAnsi="Times New Roman" w:cs="Times New Roman"/>
          <w:sz w:val="16"/>
          <w:szCs w:val="16"/>
          <w:lang w:val="ro-RO"/>
        </w:rPr>
        <w:t>entru stabilirea moratoriului temporar privind încadrarea personalului din sectorul bugetar în funcțiile vacante înregistrate</w:t>
      </w:r>
      <w:r>
        <w:rPr>
          <w:rFonts w:ascii="Times New Roman" w:hAnsi="Times New Roman" w:cs="Times New Roman"/>
          <w:sz w:val="16"/>
          <w:szCs w:val="16"/>
          <w:lang w:val="ro-RO"/>
        </w:rPr>
        <w:t>”</w:t>
      </w:r>
      <w:r w:rsidRPr="00E0303E">
        <w:rPr>
          <w:rFonts w:ascii="Times New Roman" w:hAnsi="Times New Roman" w:cs="Times New Roman"/>
          <w:sz w:val="16"/>
          <w:szCs w:val="16"/>
          <w:lang w:val="ro-RO"/>
        </w:rPr>
        <w:t>; moratoriu pe anul 2021</w:t>
      </w:r>
      <w:r>
        <w:rPr>
          <w:rFonts w:ascii="Times New Roman" w:hAnsi="Times New Roman" w:cs="Times New Roman"/>
          <w:sz w:val="16"/>
          <w:szCs w:val="16"/>
          <w:lang w:val="ro-RO"/>
        </w:rPr>
        <w:t xml:space="preserve"> </w:t>
      </w:r>
      <w:r w:rsidRPr="00E0303E">
        <w:rPr>
          <w:rFonts w:ascii="Times New Roman" w:hAnsi="Times New Roman" w:cs="Times New Roman"/>
          <w:sz w:val="16"/>
          <w:szCs w:val="16"/>
          <w:lang w:val="ro-RO"/>
        </w:rPr>
        <w:t>- 8 funcții vacante/</w:t>
      </w:r>
      <w:r w:rsidRPr="0077171B">
        <w:rPr>
          <w:rFonts w:ascii="Times New Roman" w:hAnsi="Times New Roman" w:cs="Times New Roman"/>
          <w:sz w:val="16"/>
          <w:szCs w:val="16"/>
          <w:lang w:val="ro-RO"/>
        </w:rPr>
        <w:t xml:space="preserve"> </w:t>
      </w:r>
      <w:r w:rsidRPr="00E0303E">
        <w:rPr>
          <w:rFonts w:ascii="Times New Roman" w:hAnsi="Times New Roman" w:cs="Times New Roman"/>
          <w:sz w:val="16"/>
          <w:szCs w:val="16"/>
          <w:lang w:val="ro-RO"/>
        </w:rPr>
        <w:t>H</w:t>
      </w:r>
      <w:r>
        <w:rPr>
          <w:rFonts w:ascii="Times New Roman" w:hAnsi="Times New Roman" w:cs="Times New Roman"/>
          <w:sz w:val="16"/>
          <w:szCs w:val="16"/>
          <w:lang w:val="ro-RO"/>
        </w:rPr>
        <w:t>G</w:t>
      </w:r>
      <w:r w:rsidRPr="00E0303E">
        <w:rPr>
          <w:rFonts w:ascii="Times New Roman" w:hAnsi="Times New Roman" w:cs="Times New Roman"/>
          <w:sz w:val="16"/>
          <w:szCs w:val="16"/>
          <w:lang w:val="ro-RO"/>
        </w:rPr>
        <w:t xml:space="preserve"> nr.942 din 22.12.2020 </w:t>
      </w:r>
      <w:r>
        <w:rPr>
          <w:rFonts w:ascii="Times New Roman" w:hAnsi="Times New Roman" w:cs="Times New Roman"/>
          <w:sz w:val="16"/>
          <w:szCs w:val="16"/>
          <w:lang w:val="ro-RO"/>
        </w:rPr>
        <w:t>„P</w:t>
      </w:r>
      <w:r w:rsidRPr="00E0303E">
        <w:rPr>
          <w:rFonts w:ascii="Times New Roman" w:hAnsi="Times New Roman" w:cs="Times New Roman"/>
          <w:sz w:val="16"/>
          <w:szCs w:val="16"/>
          <w:lang w:val="ro-RO"/>
        </w:rPr>
        <w:t>entru stabilirea moratoriului temporar privind încadrarea personalului din sectorul bugetar în funcțiile vacante înregistrate</w:t>
      </w:r>
      <w:r>
        <w:rPr>
          <w:rFonts w:ascii="Times New Roman" w:hAnsi="Times New Roman" w:cs="Times New Roman"/>
          <w:sz w:val="16"/>
          <w:szCs w:val="16"/>
          <w:lang w:val="ro-RO"/>
        </w:rPr>
        <w:t>”</w:t>
      </w:r>
      <w:r w:rsidRPr="00E0303E">
        <w:rPr>
          <w:rFonts w:ascii="Times New Roman" w:hAnsi="Times New Roman" w:cs="Times New Roman"/>
          <w:sz w:val="16"/>
          <w:szCs w:val="16"/>
          <w:lang w:val="ro-RO"/>
        </w:rPr>
        <w:t>; moratoriu pe anul 2020</w:t>
      </w:r>
      <w:r>
        <w:rPr>
          <w:rFonts w:ascii="Times New Roman" w:hAnsi="Times New Roman" w:cs="Times New Roman"/>
          <w:sz w:val="16"/>
          <w:szCs w:val="16"/>
          <w:lang w:val="ro-RO"/>
        </w:rPr>
        <w:t xml:space="preserve"> </w:t>
      </w:r>
      <w:r w:rsidRPr="00E0303E">
        <w:rPr>
          <w:rFonts w:ascii="Times New Roman" w:hAnsi="Times New Roman" w:cs="Times New Roman"/>
          <w:sz w:val="16"/>
          <w:szCs w:val="16"/>
          <w:lang w:val="ro-RO"/>
        </w:rPr>
        <w:t>-</w:t>
      </w:r>
      <w:r>
        <w:rPr>
          <w:rFonts w:ascii="Times New Roman" w:hAnsi="Times New Roman" w:cs="Times New Roman"/>
          <w:sz w:val="16"/>
          <w:szCs w:val="16"/>
          <w:lang w:val="ro-RO"/>
        </w:rPr>
        <w:t xml:space="preserve"> </w:t>
      </w:r>
      <w:r w:rsidRPr="00E0303E">
        <w:rPr>
          <w:rFonts w:ascii="Times New Roman" w:hAnsi="Times New Roman" w:cs="Times New Roman"/>
          <w:sz w:val="16"/>
          <w:szCs w:val="16"/>
          <w:lang w:val="ro-RO"/>
        </w:rPr>
        <w:t>14 funcții vacante/</w:t>
      </w:r>
      <w:r w:rsidRPr="0077171B">
        <w:rPr>
          <w:rFonts w:ascii="Times New Roman" w:hAnsi="Times New Roman" w:cs="Times New Roman"/>
          <w:sz w:val="16"/>
          <w:szCs w:val="16"/>
          <w:lang w:val="ro-RO"/>
        </w:rPr>
        <w:t xml:space="preserve"> </w:t>
      </w:r>
      <w:r w:rsidRPr="00E0303E">
        <w:rPr>
          <w:rFonts w:ascii="Times New Roman" w:hAnsi="Times New Roman" w:cs="Times New Roman"/>
          <w:sz w:val="16"/>
          <w:szCs w:val="16"/>
          <w:lang w:val="ro-RO"/>
        </w:rPr>
        <w:t>H</w:t>
      </w:r>
      <w:r>
        <w:rPr>
          <w:rFonts w:ascii="Times New Roman" w:hAnsi="Times New Roman" w:cs="Times New Roman"/>
          <w:sz w:val="16"/>
          <w:szCs w:val="16"/>
          <w:lang w:val="ro-RO"/>
        </w:rPr>
        <w:t>G</w:t>
      </w:r>
      <w:r w:rsidRPr="00E0303E">
        <w:rPr>
          <w:rFonts w:ascii="Times New Roman" w:hAnsi="Times New Roman" w:cs="Times New Roman"/>
          <w:sz w:val="16"/>
          <w:szCs w:val="16"/>
          <w:lang w:val="ro-RO"/>
        </w:rPr>
        <w:t xml:space="preserve"> nr.672 din 17.12.2019 </w:t>
      </w:r>
      <w:r>
        <w:rPr>
          <w:rFonts w:ascii="Times New Roman" w:hAnsi="Times New Roman" w:cs="Times New Roman"/>
          <w:sz w:val="16"/>
          <w:szCs w:val="16"/>
          <w:lang w:val="ro-RO"/>
        </w:rPr>
        <w:t>„P</w:t>
      </w:r>
      <w:r w:rsidRPr="00E0303E">
        <w:rPr>
          <w:rFonts w:ascii="Times New Roman" w:hAnsi="Times New Roman" w:cs="Times New Roman"/>
          <w:sz w:val="16"/>
          <w:szCs w:val="16"/>
          <w:lang w:val="ro-RO"/>
        </w:rPr>
        <w:t>entru stabilirea moratoriului temporar privind încadrarea personalului din sectorul bugetar în funcțiile vacante înregistrate</w:t>
      </w:r>
      <w:r>
        <w:rPr>
          <w:rFonts w:ascii="Times New Roman" w:hAnsi="Times New Roman" w:cs="Times New Roman"/>
          <w:sz w:val="16"/>
          <w:szCs w:val="16"/>
          <w:lang w:val="ro-RO"/>
        </w:rPr>
        <w:t>”</w:t>
      </w:r>
      <w:r w:rsidRPr="00E0303E">
        <w:rPr>
          <w:rFonts w:ascii="Times New Roman" w:hAnsi="Times New Roman" w:cs="Times New Roman"/>
          <w:sz w:val="16"/>
          <w:szCs w:val="16"/>
          <w:lang w:val="ro-RO"/>
        </w:rPr>
        <w:t>; moratoriu pe anul 2019 -</w:t>
      </w:r>
      <w:r>
        <w:rPr>
          <w:rFonts w:ascii="Times New Roman" w:hAnsi="Times New Roman" w:cs="Times New Roman"/>
          <w:sz w:val="16"/>
          <w:szCs w:val="16"/>
          <w:lang w:val="ro-RO"/>
        </w:rPr>
        <w:t xml:space="preserve"> </w:t>
      </w:r>
      <w:r w:rsidRPr="00E0303E">
        <w:rPr>
          <w:rFonts w:ascii="Times New Roman" w:hAnsi="Times New Roman" w:cs="Times New Roman"/>
          <w:sz w:val="16"/>
          <w:szCs w:val="16"/>
          <w:lang w:val="ro-RO"/>
        </w:rPr>
        <w:t>13 funcții vacante/</w:t>
      </w:r>
      <w:r w:rsidRPr="0077171B">
        <w:rPr>
          <w:rFonts w:ascii="Times New Roman" w:hAnsi="Times New Roman" w:cs="Times New Roman"/>
          <w:sz w:val="16"/>
          <w:szCs w:val="16"/>
          <w:lang w:val="ro-RO"/>
        </w:rPr>
        <w:t xml:space="preserve"> </w:t>
      </w:r>
      <w:r w:rsidRPr="00E0303E">
        <w:rPr>
          <w:rFonts w:ascii="Times New Roman" w:hAnsi="Times New Roman" w:cs="Times New Roman"/>
          <w:sz w:val="16"/>
          <w:szCs w:val="16"/>
          <w:lang w:val="ro-RO"/>
        </w:rPr>
        <w:t>H</w:t>
      </w:r>
      <w:r>
        <w:rPr>
          <w:rFonts w:ascii="Times New Roman" w:hAnsi="Times New Roman" w:cs="Times New Roman"/>
          <w:sz w:val="16"/>
          <w:szCs w:val="16"/>
          <w:lang w:val="ro-RO"/>
        </w:rPr>
        <w:t>G</w:t>
      </w:r>
      <w:r w:rsidRPr="00E0303E">
        <w:rPr>
          <w:rFonts w:ascii="Times New Roman" w:hAnsi="Times New Roman" w:cs="Times New Roman"/>
          <w:sz w:val="16"/>
          <w:szCs w:val="16"/>
          <w:lang w:val="ro-RO"/>
        </w:rPr>
        <w:t xml:space="preserve"> nr.1281 din 26.12.2018 </w:t>
      </w:r>
      <w:r>
        <w:rPr>
          <w:rFonts w:ascii="Times New Roman" w:hAnsi="Times New Roman" w:cs="Times New Roman"/>
          <w:sz w:val="16"/>
          <w:szCs w:val="16"/>
          <w:lang w:val="ro-RO"/>
        </w:rPr>
        <w:t>„P</w:t>
      </w:r>
      <w:r w:rsidRPr="00E0303E">
        <w:rPr>
          <w:rFonts w:ascii="Times New Roman" w:hAnsi="Times New Roman" w:cs="Times New Roman"/>
          <w:sz w:val="16"/>
          <w:szCs w:val="16"/>
          <w:lang w:val="ro-RO"/>
        </w:rPr>
        <w:t>entru stabilirea moratoriului temporar privind încadrarea personalului din sectorul bugetar în funcțiile vacante înregistrate</w:t>
      </w:r>
      <w:r>
        <w:rPr>
          <w:rFonts w:ascii="Times New Roman" w:hAnsi="Times New Roman" w:cs="Times New Roman"/>
          <w:sz w:val="16"/>
          <w:szCs w:val="16"/>
          <w:lang w:val="ro-RO"/>
        </w:rPr>
        <w:t>”</w:t>
      </w:r>
      <w:r w:rsidRPr="00E0303E">
        <w:rPr>
          <w:rFonts w:ascii="Times New Roman" w:hAnsi="Times New Roman" w:cs="Times New Roman"/>
          <w:sz w:val="16"/>
          <w:szCs w:val="16"/>
          <w:lang w:val="ro-RO"/>
        </w:rPr>
        <w:t>.</w:t>
      </w:r>
    </w:p>
  </w:footnote>
  <w:footnote w:id="22">
    <w:p w14:paraId="75DF903D" w14:textId="77777777" w:rsidR="00CD219C" w:rsidRPr="0077171B" w:rsidRDefault="00CD219C" w:rsidP="0077171B">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Conferirea dreptului la semnătură pe documentele contabile, bancare, patrimoniale, contractuale, precum și ale altor operațiuni economice. </w:t>
      </w:r>
    </w:p>
  </w:footnote>
  <w:footnote w:id="23">
    <w:p w14:paraId="1CAD5D10" w14:textId="63CEA8F5" w:rsidR="00CD219C" w:rsidRPr="00862B06" w:rsidRDefault="00CD219C" w:rsidP="006049D5">
      <w:pPr>
        <w:pStyle w:val="FootnoteText"/>
        <w:rPr>
          <w:rFonts w:ascii="Times New Roman" w:hAnsi="Times New Roman" w:cs="Times New Roman"/>
          <w:sz w:val="16"/>
          <w:szCs w:val="16"/>
        </w:rPr>
      </w:pPr>
      <w:r w:rsidRPr="00862B06">
        <w:rPr>
          <w:rStyle w:val="FootnoteReference"/>
          <w:rFonts w:ascii="Times New Roman" w:hAnsi="Times New Roman" w:cs="Times New Roman"/>
          <w:sz w:val="16"/>
          <w:szCs w:val="16"/>
        </w:rPr>
        <w:footnoteRef/>
      </w:r>
      <w:r w:rsidRPr="00862B06">
        <w:rPr>
          <w:rFonts w:ascii="Times New Roman" w:hAnsi="Times New Roman" w:cs="Times New Roman"/>
          <w:sz w:val="16"/>
          <w:szCs w:val="16"/>
        </w:rPr>
        <w:t xml:space="preserve"> Registrele operative privind evidența contractelor la finele anilor 2018, 2019, 2020, 2021</w:t>
      </w:r>
      <w:r>
        <w:rPr>
          <w:rFonts w:ascii="Times New Roman" w:hAnsi="Times New Roman" w:cs="Times New Roman"/>
          <w:sz w:val="16"/>
          <w:szCs w:val="16"/>
        </w:rPr>
        <w:t xml:space="preserve"> și</w:t>
      </w:r>
      <w:r w:rsidRPr="00862B06">
        <w:rPr>
          <w:rFonts w:ascii="Times New Roman" w:hAnsi="Times New Roman" w:cs="Times New Roman"/>
          <w:sz w:val="16"/>
          <w:szCs w:val="16"/>
        </w:rPr>
        <w:t xml:space="preserve"> 2022.</w:t>
      </w:r>
    </w:p>
  </w:footnote>
  <w:footnote w:id="24">
    <w:p w14:paraId="41D7EDAD" w14:textId="0A34AD27" w:rsidR="00CD219C" w:rsidRPr="0077171B" w:rsidRDefault="00CD219C" w:rsidP="006049D5">
      <w:pPr>
        <w:pStyle w:val="FootnoteText"/>
        <w:rPr>
          <w:rFonts w:ascii="Times New Roman" w:hAnsi="Times New Roman" w:cs="Times New Roman"/>
          <w:sz w:val="16"/>
          <w:szCs w:val="16"/>
          <w:vertAlign w:val="superscript"/>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vertAlign w:val="superscript"/>
          <w:lang w:val="ro-RO"/>
        </w:rPr>
        <w:t xml:space="preserve"> </w:t>
      </w:r>
      <w:r w:rsidRPr="0077171B">
        <w:rPr>
          <w:rFonts w:ascii="Times New Roman" w:hAnsi="Times New Roman" w:cs="Times New Roman"/>
          <w:sz w:val="16"/>
          <w:szCs w:val="16"/>
          <w:lang w:val="ro-RO"/>
        </w:rPr>
        <w:t>H</w:t>
      </w:r>
      <w:r>
        <w:rPr>
          <w:rFonts w:ascii="Times New Roman" w:hAnsi="Times New Roman" w:cs="Times New Roman"/>
          <w:sz w:val="16"/>
          <w:szCs w:val="16"/>
          <w:lang w:val="ro-RO"/>
        </w:rPr>
        <w:t>CC</w:t>
      </w:r>
      <w:r w:rsidRPr="0077171B">
        <w:rPr>
          <w:rFonts w:ascii="Times New Roman" w:hAnsi="Times New Roman" w:cs="Times New Roman"/>
          <w:sz w:val="16"/>
          <w:szCs w:val="16"/>
          <w:lang w:val="ro-RO"/>
        </w:rPr>
        <w:t xml:space="preserve"> nr.2 din 24.01.2020 „Cu privire la Cadrul Declarațiilor Profesionale ale INTOSAI”.</w:t>
      </w:r>
    </w:p>
  </w:footnote>
  <w:footnote w:id="25">
    <w:p w14:paraId="13C5EEE6" w14:textId="21E36518" w:rsidR="00CD219C" w:rsidRPr="0077171B" w:rsidRDefault="00CD219C" w:rsidP="006049D5">
      <w:pPr>
        <w:pStyle w:val="FootnoteText"/>
        <w:jc w:val="both"/>
        <w:rPr>
          <w:rFonts w:ascii="Times New Roman" w:hAnsi="Times New Roman" w:cs="Times New Roman"/>
          <w:sz w:val="18"/>
          <w:szCs w:val="18"/>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w:t>
      </w:r>
      <w:r w:rsidRPr="00655E3B">
        <w:rPr>
          <w:rFonts w:ascii="Times New Roman" w:eastAsia="Times New Roman" w:hAnsi="Times New Roman" w:cs="Times New Roman"/>
          <w:sz w:val="16"/>
          <w:szCs w:val="16"/>
          <w:lang w:val="ro-RO"/>
        </w:rPr>
        <w:t>H</w:t>
      </w:r>
      <w:r>
        <w:rPr>
          <w:rFonts w:ascii="Times New Roman" w:eastAsia="Times New Roman" w:hAnsi="Times New Roman" w:cs="Times New Roman"/>
          <w:sz w:val="16"/>
          <w:szCs w:val="16"/>
          <w:lang w:val="ro-RO"/>
        </w:rPr>
        <w:t>CC</w:t>
      </w:r>
      <w:r w:rsidRPr="00655E3B">
        <w:rPr>
          <w:rFonts w:ascii="Times New Roman" w:eastAsia="Times New Roman" w:hAnsi="Times New Roman" w:cs="Times New Roman"/>
          <w:sz w:val="16"/>
          <w:szCs w:val="16"/>
          <w:lang w:val="ro-RO"/>
        </w:rPr>
        <w:t xml:space="preserve"> nr.19 din 05.04.2019 „Cu privire la aprobarea Codului etic al Curții de Conturi”.</w:t>
      </w:r>
      <w:r w:rsidRPr="00655E3B">
        <w:rPr>
          <w:rFonts w:ascii="Times New Roman" w:eastAsia="Times New Roman" w:hAnsi="Times New Roman" w:cs="Times New Roman"/>
          <w:sz w:val="18"/>
          <w:szCs w:val="18"/>
          <w:lang w:val="ro-RO"/>
        </w:rPr>
        <w:t xml:space="preserve"> </w:t>
      </w:r>
    </w:p>
  </w:footnote>
  <w:footnote w:id="26">
    <w:p w14:paraId="2B6ABA5C" w14:textId="6A07FC0A" w:rsidR="00CD219C" w:rsidRPr="0077171B" w:rsidRDefault="00CD219C" w:rsidP="009E7117">
      <w:pPr>
        <w:spacing w:after="0" w:line="240" w:lineRule="auto"/>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Art.25 din Legea nr.181 din 25.07.2014; Legea privind controlul financiar public intern nr.229 din 23.09.2010; Setul metodologic privind elaborarea, aprobarea și modificarea bugetului, aprobat prin Ordinul ministrului </w:t>
      </w:r>
      <w:r>
        <w:rPr>
          <w:rFonts w:ascii="Times New Roman" w:hAnsi="Times New Roman" w:cs="Times New Roman"/>
          <w:sz w:val="16"/>
          <w:szCs w:val="16"/>
          <w:lang w:val="ro-RO"/>
        </w:rPr>
        <w:t>F</w:t>
      </w:r>
      <w:r w:rsidRPr="0077171B">
        <w:rPr>
          <w:rFonts w:ascii="Times New Roman" w:hAnsi="Times New Roman" w:cs="Times New Roman"/>
          <w:sz w:val="16"/>
          <w:szCs w:val="16"/>
          <w:lang w:val="ro-RO"/>
        </w:rPr>
        <w:t>inanțelor nr.209 din 24.12.2015.</w:t>
      </w:r>
    </w:p>
  </w:footnote>
  <w:footnote w:id="27">
    <w:p w14:paraId="387C15DE" w14:textId="77777777" w:rsidR="00CD219C" w:rsidRPr="0077171B" w:rsidRDefault="00CD219C" w:rsidP="009E7117">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w:t>
      </w:r>
      <w:r w:rsidRPr="00C408DA">
        <w:rPr>
          <w:rFonts w:ascii="Times New Roman" w:hAnsi="Times New Roman" w:cs="Times New Roman"/>
          <w:sz w:val="16"/>
          <w:szCs w:val="16"/>
          <w:lang w:val="ro-RO"/>
        </w:rPr>
        <w:t>Art.21 alin.(1) lit. i); art.25 lit. c) și art.43 din Legea nr.181 din 25.07.2014.</w:t>
      </w:r>
    </w:p>
  </w:footnote>
  <w:footnote w:id="28">
    <w:p w14:paraId="0B5FB334" w14:textId="3A54DF33" w:rsidR="00CD219C" w:rsidRPr="0077171B" w:rsidRDefault="00CD219C" w:rsidP="0077171B">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În anul 2019 mijloacele planificate </w:t>
      </w:r>
      <w:r>
        <w:rPr>
          <w:rFonts w:ascii="Times New Roman" w:hAnsi="Times New Roman" w:cs="Times New Roman"/>
          <w:sz w:val="16"/>
          <w:szCs w:val="16"/>
          <w:lang w:val="ro-RO"/>
        </w:rPr>
        <w:t>î</w:t>
      </w:r>
      <w:r w:rsidRPr="0077171B">
        <w:rPr>
          <w:rFonts w:ascii="Times New Roman" w:hAnsi="Times New Roman" w:cs="Times New Roman"/>
          <w:sz w:val="16"/>
          <w:szCs w:val="16"/>
          <w:lang w:val="ro-RO"/>
        </w:rPr>
        <w:t xml:space="preserve">n bugetul CNPDCP </w:t>
      </w:r>
      <w:r w:rsidRPr="0077171B">
        <w:rPr>
          <w:rFonts w:ascii="Times New Roman" w:eastAsia="Times New Roman" w:hAnsi="Times New Roman" w:cs="Times New Roman"/>
          <w:sz w:val="16"/>
          <w:szCs w:val="16"/>
          <w:lang w:val="ro-RO" w:eastAsia="ru-RU"/>
        </w:rPr>
        <w:t>la grupa de conturi 222300 „Servicii de locațiune” în sumă de 330 mii lei au fost redistribuite la grupa de conturi 314110 „Mașini și utilaje”</w:t>
      </w:r>
      <w:r>
        <w:rPr>
          <w:rFonts w:ascii="Times New Roman" w:eastAsia="Times New Roman" w:hAnsi="Times New Roman" w:cs="Times New Roman"/>
          <w:sz w:val="16"/>
          <w:szCs w:val="16"/>
          <w:lang w:val="ro-RO" w:eastAsia="ru-RU"/>
        </w:rPr>
        <w:t>,</w:t>
      </w:r>
      <w:r w:rsidRPr="0077171B">
        <w:rPr>
          <w:rFonts w:ascii="Times New Roman" w:eastAsia="Times New Roman" w:hAnsi="Times New Roman" w:cs="Times New Roman"/>
          <w:sz w:val="16"/>
          <w:szCs w:val="16"/>
          <w:lang w:val="ro-RO" w:eastAsia="ru-RU"/>
        </w:rPr>
        <w:t xml:space="preserve"> </w:t>
      </w:r>
      <w:r>
        <w:rPr>
          <w:rFonts w:ascii="Times New Roman" w:eastAsia="Times New Roman" w:hAnsi="Times New Roman" w:cs="Times New Roman"/>
          <w:sz w:val="16"/>
          <w:szCs w:val="16"/>
          <w:lang w:val="ro-RO" w:eastAsia="ru-RU"/>
        </w:rPr>
        <w:t>î</w:t>
      </w:r>
      <w:r w:rsidRPr="0077171B">
        <w:rPr>
          <w:rFonts w:ascii="Times New Roman" w:eastAsia="Times New Roman" w:hAnsi="Times New Roman" w:cs="Times New Roman"/>
          <w:sz w:val="16"/>
          <w:szCs w:val="16"/>
          <w:lang w:val="ro-RO" w:eastAsia="ru-RU"/>
        </w:rPr>
        <w:t>n sumă de 225,0 mii lei și</w:t>
      </w:r>
      <w:r>
        <w:rPr>
          <w:rFonts w:ascii="Times New Roman" w:eastAsia="Times New Roman" w:hAnsi="Times New Roman" w:cs="Times New Roman"/>
          <w:sz w:val="16"/>
          <w:szCs w:val="16"/>
          <w:lang w:val="ro-RO" w:eastAsia="ru-RU"/>
        </w:rPr>
        <w:t>,</w:t>
      </w:r>
      <w:r w:rsidRPr="0077171B">
        <w:rPr>
          <w:rFonts w:ascii="Times New Roman" w:eastAsia="Times New Roman" w:hAnsi="Times New Roman" w:cs="Times New Roman"/>
          <w:sz w:val="16"/>
          <w:szCs w:val="16"/>
          <w:lang w:val="ro-RO" w:eastAsia="ru-RU"/>
        </w:rPr>
        <w:t xml:space="preserve"> respectiv</w:t>
      </w:r>
      <w:r>
        <w:rPr>
          <w:rFonts w:ascii="Times New Roman" w:eastAsia="Times New Roman" w:hAnsi="Times New Roman" w:cs="Times New Roman"/>
          <w:sz w:val="16"/>
          <w:szCs w:val="16"/>
          <w:lang w:val="ro-RO" w:eastAsia="ru-RU"/>
        </w:rPr>
        <w:t>, de</w:t>
      </w:r>
      <w:r w:rsidRPr="0077171B">
        <w:rPr>
          <w:rFonts w:ascii="Times New Roman" w:eastAsia="Times New Roman" w:hAnsi="Times New Roman" w:cs="Times New Roman"/>
          <w:sz w:val="16"/>
          <w:szCs w:val="16"/>
          <w:lang w:val="ro-RO" w:eastAsia="ru-RU"/>
        </w:rPr>
        <w:t xml:space="preserve"> 105 mii lei </w:t>
      </w:r>
      <w:r>
        <w:rPr>
          <w:rFonts w:ascii="Times New Roman" w:eastAsia="Times New Roman" w:hAnsi="Times New Roman" w:cs="Times New Roman"/>
          <w:sz w:val="16"/>
          <w:szCs w:val="16"/>
          <w:lang w:val="ro-RO" w:eastAsia="ru-RU"/>
        </w:rPr>
        <w:t>–</w:t>
      </w:r>
      <w:r w:rsidRPr="0077171B">
        <w:rPr>
          <w:rFonts w:ascii="Times New Roman" w:eastAsia="Times New Roman" w:hAnsi="Times New Roman" w:cs="Times New Roman"/>
          <w:sz w:val="16"/>
          <w:szCs w:val="16"/>
          <w:lang w:val="ro-RO" w:eastAsia="ru-RU"/>
        </w:rPr>
        <w:t xml:space="preserve"> la  grupa de conturi 316110 „Unelte și scule, inventar de producere și gospodăresc”</w:t>
      </w:r>
      <w:r>
        <w:rPr>
          <w:rFonts w:ascii="Times New Roman" w:eastAsia="Times New Roman" w:hAnsi="Times New Roman" w:cs="Times New Roman"/>
          <w:sz w:val="16"/>
          <w:szCs w:val="16"/>
          <w:lang w:val="ro-RO" w:eastAsia="ru-RU"/>
        </w:rPr>
        <w:t>.</w:t>
      </w:r>
      <w:r w:rsidRPr="0077171B">
        <w:rPr>
          <w:rFonts w:ascii="Times New Roman" w:eastAsia="Times New Roman" w:hAnsi="Times New Roman" w:cs="Times New Roman"/>
          <w:sz w:val="16"/>
          <w:szCs w:val="16"/>
          <w:lang w:val="ro-RO" w:eastAsia="ru-RU"/>
        </w:rPr>
        <w:t xml:space="preserve"> </w:t>
      </w:r>
    </w:p>
  </w:footnote>
  <w:footnote w:id="29">
    <w:p w14:paraId="716A854A" w14:textId="65036D49" w:rsidR="00CD219C" w:rsidRPr="0077171B" w:rsidRDefault="00CD219C">
      <w:pPr>
        <w:pStyle w:val="FootnoteText"/>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Buget aprobat: 170,0 mii lei; precizat 733,5 mii lei și executate cheltuieli în sumă de 202,9 mii lei (nevalorificați </w:t>
      </w:r>
      <w:r>
        <w:rPr>
          <w:rFonts w:ascii="Times New Roman" w:hAnsi="Times New Roman" w:cs="Times New Roman"/>
          <w:sz w:val="16"/>
          <w:szCs w:val="16"/>
          <w:lang w:val="ro-RO"/>
        </w:rPr>
        <w:t xml:space="preserve">– </w:t>
      </w:r>
      <w:r w:rsidRPr="0077171B">
        <w:rPr>
          <w:rFonts w:ascii="Times New Roman" w:hAnsi="Times New Roman" w:cs="Times New Roman"/>
          <w:sz w:val="16"/>
          <w:szCs w:val="16"/>
          <w:lang w:val="ro-RO"/>
        </w:rPr>
        <w:t>531,5 mii lei).</w:t>
      </w:r>
    </w:p>
  </w:footnote>
  <w:footnote w:id="30">
    <w:p w14:paraId="1E8858F4" w14:textId="4F84677B" w:rsidR="00CD219C" w:rsidRPr="0077171B" w:rsidRDefault="00CD219C">
      <w:pPr>
        <w:pStyle w:val="FootnoteText"/>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Buget aprobat: 562,6 mii lei; precizat 1</w:t>
      </w:r>
      <w:r>
        <w:rPr>
          <w:rFonts w:ascii="Times New Roman" w:hAnsi="Times New Roman" w:cs="Times New Roman"/>
          <w:sz w:val="16"/>
          <w:szCs w:val="16"/>
          <w:lang w:val="ro-RO"/>
        </w:rPr>
        <w:t>.</w:t>
      </w:r>
      <w:r w:rsidRPr="0077171B">
        <w:rPr>
          <w:rFonts w:ascii="Times New Roman" w:hAnsi="Times New Roman" w:cs="Times New Roman"/>
          <w:sz w:val="16"/>
          <w:szCs w:val="16"/>
          <w:lang w:val="ro-RO"/>
        </w:rPr>
        <w:t>305,7 mii lei și executate cheltuieli în sumă de 976,3 mii lei (nevalorificați</w:t>
      </w:r>
      <w:r>
        <w:rPr>
          <w:rFonts w:ascii="Times New Roman" w:hAnsi="Times New Roman" w:cs="Times New Roman"/>
          <w:sz w:val="16"/>
          <w:szCs w:val="16"/>
          <w:lang w:val="ro-RO"/>
        </w:rPr>
        <w:t xml:space="preserve"> – </w:t>
      </w:r>
      <w:r w:rsidRPr="0077171B">
        <w:rPr>
          <w:rFonts w:ascii="Times New Roman" w:hAnsi="Times New Roman" w:cs="Times New Roman"/>
          <w:sz w:val="16"/>
          <w:szCs w:val="16"/>
          <w:lang w:val="ro-RO"/>
        </w:rPr>
        <w:t>329,4 mii lei).</w:t>
      </w:r>
    </w:p>
  </w:footnote>
  <w:footnote w:id="31">
    <w:p w14:paraId="6FC93FDC" w14:textId="77777777" w:rsidR="00CD219C" w:rsidRPr="001A5075" w:rsidRDefault="00CD219C" w:rsidP="00280524">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Pr>
          <w:rFonts w:ascii="Times New Roman" w:hAnsi="Times New Roman" w:cs="Times New Roman"/>
          <w:sz w:val="16"/>
          <w:szCs w:val="16"/>
          <w:lang w:val="ro-RO"/>
        </w:rPr>
        <w:t xml:space="preserve"> </w:t>
      </w:r>
      <w:r w:rsidRPr="001A5075">
        <w:rPr>
          <w:rFonts w:ascii="Times New Roman" w:hAnsi="Times New Roman" w:cs="Times New Roman"/>
          <w:sz w:val="16"/>
          <w:szCs w:val="16"/>
          <w:lang w:val="ro-RO"/>
        </w:rPr>
        <w:t>Scop: Asigurarea unui nivel adecvat de protecție a datelor cu caracter personal în Republica Moldova, conform standardelor europene</w:t>
      </w:r>
      <w:r w:rsidRPr="0077171B">
        <w:rPr>
          <w:rFonts w:ascii="Times New Roman" w:hAnsi="Times New Roman" w:cs="Times New Roman"/>
          <w:sz w:val="16"/>
          <w:szCs w:val="16"/>
          <w:lang w:val="ro-RO"/>
        </w:rPr>
        <w:t>.</w:t>
      </w:r>
    </w:p>
  </w:footnote>
  <w:footnote w:id="32">
    <w:p w14:paraId="16A3D61B" w14:textId="7571B619" w:rsidR="00CD219C" w:rsidRPr="001A5075" w:rsidRDefault="00CD219C" w:rsidP="002543A6">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w:t>
      </w:r>
      <w:r w:rsidRPr="001A5075">
        <w:rPr>
          <w:rFonts w:ascii="Times New Roman" w:hAnsi="Times New Roman" w:cs="Times New Roman"/>
          <w:color w:val="000000"/>
          <w:sz w:val="16"/>
          <w:szCs w:val="16"/>
          <w:lang w:val="ro-RO"/>
        </w:rPr>
        <w:t xml:space="preserve">Regulamentul (UE) 679/2016 al Parlamentului European și al Consiliului din 27 aprilie 2016 privind protecția persoanelor fizice în ceea ce privește prelucrarea datelor cu caracter personal și privind libera circulație a acestor date și de abrogare a Directivei 95/46/CE </w:t>
      </w:r>
      <w:r w:rsidRPr="00CB5976">
        <w:rPr>
          <w:rFonts w:ascii="Times New Roman" w:hAnsi="Times New Roman" w:cs="Times New Roman"/>
          <w:color w:val="000000"/>
          <w:sz w:val="16"/>
          <w:szCs w:val="16"/>
          <w:lang w:val="ro-RO"/>
        </w:rPr>
        <w:t xml:space="preserve">(Regulamentul general privind protecția datelor (în continuare </w:t>
      </w:r>
      <w:r>
        <w:rPr>
          <w:rFonts w:ascii="Times New Roman" w:hAnsi="Times New Roman" w:cs="Times New Roman"/>
          <w:color w:val="000000"/>
          <w:sz w:val="16"/>
          <w:szCs w:val="16"/>
          <w:lang w:val="ro-RO"/>
        </w:rPr>
        <w:t>–</w:t>
      </w:r>
      <w:r w:rsidRPr="001A5075">
        <w:rPr>
          <w:rFonts w:ascii="Times New Roman" w:hAnsi="Times New Roman" w:cs="Times New Roman"/>
          <w:color w:val="000000"/>
          <w:sz w:val="16"/>
          <w:szCs w:val="16"/>
          <w:lang w:val="ro-RO"/>
        </w:rPr>
        <w:t xml:space="preserve"> Regulamentul (UE) 679/2016 al Parlamentului European și al Consiliului din 27 aprilie 2016);</w:t>
      </w:r>
      <w:r w:rsidRPr="001A5075">
        <w:rPr>
          <w:rFonts w:ascii="Times New Roman" w:hAnsi="Times New Roman" w:cs="Times New Roman"/>
          <w:b/>
          <w:color w:val="000000"/>
          <w:sz w:val="16"/>
          <w:szCs w:val="16"/>
          <w:lang w:val="ro-RO"/>
        </w:rPr>
        <w:t xml:space="preserve"> </w:t>
      </w:r>
      <w:r w:rsidRPr="001A5075">
        <w:rPr>
          <w:rFonts w:ascii="Times New Roman" w:hAnsi="Times New Roman" w:cs="Times New Roman"/>
          <w:color w:val="000000"/>
          <w:sz w:val="16"/>
          <w:szCs w:val="16"/>
          <w:lang w:val="ro-RO"/>
        </w:rPr>
        <w:t>Directiva (UE) 2016/680 a Parlamentului European și a Consiliului din 27 aprilie 2016 privind protecția persoanelor fizice referitoare la prelucrarea datelor cu caracter personal de către autoritățile competente în scopul prevenirii, depistării, investigării sau urmăririi penale a infracțiunilor sau al executării pedepselor și privind libera circulație a acestor date și de abrogare a Deciziei-</w:t>
      </w:r>
      <w:r>
        <w:rPr>
          <w:rFonts w:ascii="Times New Roman" w:hAnsi="Times New Roman" w:cs="Times New Roman"/>
          <w:color w:val="000000"/>
          <w:sz w:val="16"/>
          <w:szCs w:val="16"/>
          <w:lang w:val="ro-RO"/>
        </w:rPr>
        <w:t>c</w:t>
      </w:r>
      <w:r w:rsidRPr="001A5075">
        <w:rPr>
          <w:rFonts w:ascii="Times New Roman" w:hAnsi="Times New Roman" w:cs="Times New Roman"/>
          <w:color w:val="000000"/>
          <w:sz w:val="16"/>
          <w:szCs w:val="16"/>
          <w:lang w:val="ro-RO"/>
        </w:rPr>
        <w:t xml:space="preserve">adru 2008/977/JAI a Consiliului (în continuare </w:t>
      </w:r>
      <w:r>
        <w:rPr>
          <w:rFonts w:ascii="Times New Roman" w:hAnsi="Times New Roman" w:cs="Times New Roman"/>
          <w:color w:val="000000"/>
          <w:sz w:val="16"/>
          <w:szCs w:val="16"/>
          <w:lang w:val="ro-RO"/>
        </w:rPr>
        <w:t>–</w:t>
      </w:r>
      <w:r w:rsidRPr="001A5075">
        <w:rPr>
          <w:rFonts w:ascii="Times New Roman" w:hAnsi="Times New Roman" w:cs="Times New Roman"/>
          <w:color w:val="000000"/>
          <w:sz w:val="16"/>
          <w:szCs w:val="16"/>
          <w:lang w:val="ro-RO"/>
        </w:rPr>
        <w:t xml:space="preserve"> Directiva (UE) 2016/680 a Parlamentului European și a Consiliului din 27 aprilie 2016).</w:t>
      </w:r>
    </w:p>
  </w:footnote>
  <w:footnote w:id="33">
    <w:p w14:paraId="265994F7" w14:textId="2663E108" w:rsidR="00CD219C" w:rsidRPr="0077171B" w:rsidRDefault="00CD219C" w:rsidP="00451F3D">
      <w:pPr>
        <w:spacing w:after="0" w:line="240" w:lineRule="auto"/>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Ordinul ministrului Finanțelor nr. 189 din 05.11.2015 </w:t>
      </w:r>
      <w:r>
        <w:rPr>
          <w:rFonts w:ascii="Times New Roman" w:hAnsi="Times New Roman" w:cs="Times New Roman"/>
          <w:sz w:val="16"/>
          <w:szCs w:val="16"/>
          <w:lang w:val="ro-RO"/>
        </w:rPr>
        <w:t>„C</w:t>
      </w:r>
      <w:r w:rsidRPr="0077171B">
        <w:rPr>
          <w:rFonts w:ascii="Times New Roman" w:hAnsi="Times New Roman" w:cs="Times New Roman"/>
          <w:sz w:val="16"/>
          <w:szCs w:val="16"/>
          <w:lang w:val="ro-RO"/>
        </w:rPr>
        <w:t>u privire la aprobarea Standardelor naționale de control intern în sectorul public</w:t>
      </w:r>
      <w:r>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w:t>
      </w:r>
      <w:r w:rsidRPr="0077171B">
        <w:rPr>
          <w:rStyle w:val="Strong"/>
          <w:rFonts w:ascii="Times New Roman" w:hAnsi="Times New Roman" w:cs="Times New Roman"/>
          <w:b w:val="0"/>
          <w:color w:val="333333"/>
          <w:sz w:val="16"/>
          <w:szCs w:val="16"/>
          <w:shd w:val="clear" w:color="auto" w:fill="FFFFFF"/>
          <w:lang w:val="ro-RO"/>
        </w:rPr>
        <w:t>SNCI 7. Stabilirea obiectivelor; SNCI 8. Planificarea, monitorizarea şi raportarea privind performanțele</w:t>
      </w:r>
      <w:r w:rsidRPr="0077171B">
        <w:rPr>
          <w:rFonts w:ascii="Times New Roman" w:hAnsi="Times New Roman" w:cs="Times New Roman"/>
          <w:sz w:val="16"/>
          <w:szCs w:val="16"/>
          <w:lang w:val="ro-RO"/>
        </w:rPr>
        <w:t>; pct.3.3. și pct.3.4 din Ghidul metodologic privind integrarea prevederilor Strategiei naționale de dezvoltare în documentele de planificare și documentele de politici publice la nivel național (obiective</w:t>
      </w:r>
      <w:r>
        <w:rPr>
          <w:rFonts w:ascii="Times New Roman" w:hAnsi="Times New Roman" w:cs="Times New Roman"/>
          <w:sz w:val="16"/>
          <w:szCs w:val="16"/>
          <w:lang w:val="ro-RO"/>
        </w:rPr>
        <w:t>le</w:t>
      </w:r>
      <w:r w:rsidRPr="0077171B">
        <w:rPr>
          <w:rFonts w:ascii="Times New Roman" w:hAnsi="Times New Roman" w:cs="Times New Roman"/>
          <w:sz w:val="16"/>
          <w:szCs w:val="16"/>
          <w:lang w:val="ro-RO"/>
        </w:rPr>
        <w:t xml:space="preserve"> principiul</w:t>
      </w:r>
      <w:r>
        <w:rPr>
          <w:rFonts w:ascii="Times New Roman" w:hAnsi="Times New Roman" w:cs="Times New Roman"/>
          <w:sz w:val="16"/>
          <w:szCs w:val="16"/>
          <w:lang w:val="ro-RO"/>
        </w:rPr>
        <w:t>ui</w:t>
      </w:r>
      <w:r w:rsidRPr="0077171B">
        <w:rPr>
          <w:rFonts w:ascii="Times New Roman" w:hAnsi="Times New Roman" w:cs="Times New Roman"/>
          <w:sz w:val="16"/>
          <w:szCs w:val="16"/>
          <w:lang w:val="ro-RO"/>
        </w:rPr>
        <w:t xml:space="preserve"> SMART: S – simple, M – măsurabile, A – acceptabile, R – realizabile</w:t>
      </w:r>
      <w:r>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și T – fixate în timp).</w:t>
      </w:r>
    </w:p>
  </w:footnote>
  <w:footnote w:id="34">
    <w:p w14:paraId="55B48253" w14:textId="7D5AAA0D" w:rsidR="00CD219C" w:rsidRPr="00862B06" w:rsidRDefault="00CD219C" w:rsidP="00451F3D">
      <w:pPr>
        <w:spacing w:after="0" w:line="240" w:lineRule="auto"/>
        <w:jc w:val="both"/>
        <w:rPr>
          <w:rFonts w:ascii="Times New Roman" w:hAnsi="Times New Roman" w:cs="Times New Roman"/>
          <w:sz w:val="16"/>
          <w:szCs w:val="16"/>
          <w:lang w:val="ro-RO"/>
        </w:rPr>
      </w:pPr>
      <w:r w:rsidRPr="00862B06">
        <w:rPr>
          <w:rStyle w:val="FootnoteReference"/>
          <w:rFonts w:ascii="Times New Roman" w:hAnsi="Times New Roman" w:cs="Times New Roman"/>
          <w:sz w:val="16"/>
          <w:szCs w:val="16"/>
        </w:rPr>
        <w:footnoteRef/>
      </w:r>
      <w:r w:rsidRPr="00862B06">
        <w:rPr>
          <w:rFonts w:ascii="Times New Roman" w:hAnsi="Times New Roman" w:cs="Times New Roman"/>
          <w:sz w:val="16"/>
          <w:szCs w:val="16"/>
        </w:rPr>
        <w:t xml:space="preserve">  Obiective operaționale: </w:t>
      </w:r>
      <w:r w:rsidRPr="00862B06">
        <w:rPr>
          <w:rFonts w:ascii="Times New Roman" w:hAnsi="Times New Roman" w:cs="Times New Roman"/>
          <w:sz w:val="16"/>
          <w:szCs w:val="16"/>
          <w:lang w:val="ro-RO"/>
        </w:rPr>
        <w:t xml:space="preserve">1. </w:t>
      </w:r>
      <w:r w:rsidRPr="00862B06">
        <w:rPr>
          <w:rFonts w:ascii="Times New Roman" w:hAnsi="Times New Roman" w:cs="Times New Roman"/>
          <w:color w:val="000000"/>
          <w:sz w:val="16"/>
          <w:szCs w:val="16"/>
          <w:lang w:val="ro-RO"/>
        </w:rPr>
        <w:t>Informarea operatorilor de date cu caracter personal privind necesitatea implementării principiilor de protecție a datelor cu caracter personal, precum şi despre responsabilitățile ce le revin asupra respectării acestora prin acordarea anuală a minim</w:t>
      </w:r>
      <w:r>
        <w:rPr>
          <w:rFonts w:ascii="Times New Roman" w:hAnsi="Times New Roman" w:cs="Times New Roman"/>
          <w:color w:val="000000"/>
          <w:sz w:val="16"/>
          <w:szCs w:val="16"/>
          <w:lang w:val="ro-RO"/>
        </w:rPr>
        <w:t>um</w:t>
      </w:r>
      <w:r w:rsidRPr="00862B06">
        <w:rPr>
          <w:rFonts w:ascii="Times New Roman" w:hAnsi="Times New Roman" w:cs="Times New Roman"/>
          <w:color w:val="000000"/>
          <w:sz w:val="16"/>
          <w:szCs w:val="16"/>
          <w:lang w:val="ro-RO"/>
        </w:rPr>
        <w:t xml:space="preserve"> 850 </w:t>
      </w:r>
      <w:r>
        <w:rPr>
          <w:rFonts w:ascii="Times New Roman" w:hAnsi="Times New Roman" w:cs="Times New Roman"/>
          <w:color w:val="000000"/>
          <w:sz w:val="16"/>
          <w:szCs w:val="16"/>
          <w:lang w:val="ro-RO"/>
        </w:rPr>
        <w:t xml:space="preserve">de </w:t>
      </w:r>
      <w:r w:rsidRPr="00862B06">
        <w:rPr>
          <w:rFonts w:ascii="Times New Roman" w:hAnsi="Times New Roman" w:cs="Times New Roman"/>
          <w:color w:val="000000"/>
          <w:sz w:val="16"/>
          <w:szCs w:val="16"/>
          <w:lang w:val="ro-RO"/>
        </w:rPr>
        <w:t>consultații, elaborarea anuală a câte 2 instrucțiuni (linii directo</w:t>
      </w:r>
      <w:r>
        <w:rPr>
          <w:rFonts w:ascii="Times New Roman" w:hAnsi="Times New Roman" w:cs="Times New Roman"/>
          <w:color w:val="000000"/>
          <w:sz w:val="16"/>
          <w:szCs w:val="16"/>
          <w:lang w:val="ro-RO"/>
        </w:rPr>
        <w:t>a</w:t>
      </w:r>
      <w:r w:rsidRPr="00862B06">
        <w:rPr>
          <w:rFonts w:ascii="Times New Roman" w:hAnsi="Times New Roman" w:cs="Times New Roman"/>
          <w:color w:val="000000"/>
          <w:sz w:val="16"/>
          <w:szCs w:val="16"/>
          <w:lang w:val="ro-RO"/>
        </w:rPr>
        <w:t>r</w:t>
      </w:r>
      <w:r>
        <w:rPr>
          <w:rFonts w:ascii="Times New Roman" w:hAnsi="Times New Roman" w:cs="Times New Roman"/>
          <w:color w:val="000000"/>
          <w:sz w:val="16"/>
          <w:szCs w:val="16"/>
          <w:lang w:val="ro-RO"/>
        </w:rPr>
        <w:t>e</w:t>
      </w:r>
      <w:r w:rsidRPr="00862B06">
        <w:rPr>
          <w:rFonts w:ascii="Times New Roman" w:hAnsi="Times New Roman" w:cs="Times New Roman"/>
          <w:color w:val="000000"/>
          <w:sz w:val="16"/>
          <w:szCs w:val="16"/>
          <w:lang w:val="ro-RO"/>
        </w:rPr>
        <w:t>); 2. Asigurarea înregistrării, pe parcursul anului 2022</w:t>
      </w:r>
      <w:r>
        <w:rPr>
          <w:rFonts w:ascii="Times New Roman" w:hAnsi="Times New Roman" w:cs="Times New Roman"/>
          <w:color w:val="000000"/>
          <w:sz w:val="16"/>
          <w:szCs w:val="16"/>
          <w:lang w:val="ro-RO"/>
        </w:rPr>
        <w:t>,</w:t>
      </w:r>
      <w:r w:rsidRPr="00862B06">
        <w:rPr>
          <w:rFonts w:ascii="Times New Roman" w:hAnsi="Times New Roman" w:cs="Times New Roman"/>
          <w:color w:val="000000"/>
          <w:sz w:val="16"/>
          <w:szCs w:val="16"/>
          <w:lang w:val="ro-RO"/>
        </w:rPr>
        <w:t xml:space="preserve"> a cel puțin 100 </w:t>
      </w:r>
      <w:r>
        <w:rPr>
          <w:rFonts w:ascii="Times New Roman" w:hAnsi="Times New Roman" w:cs="Times New Roman"/>
          <w:color w:val="000000"/>
          <w:sz w:val="16"/>
          <w:szCs w:val="16"/>
          <w:lang w:val="ro-RO"/>
        </w:rPr>
        <w:t xml:space="preserve">de </w:t>
      </w:r>
      <w:r w:rsidRPr="00862B06">
        <w:rPr>
          <w:rFonts w:ascii="Times New Roman" w:hAnsi="Times New Roman" w:cs="Times New Roman"/>
          <w:color w:val="000000"/>
          <w:sz w:val="16"/>
          <w:szCs w:val="16"/>
          <w:lang w:val="ro-RO"/>
        </w:rPr>
        <w:t xml:space="preserve">sisteme de evidență gestionate de operatorii de date cu caracter personal în Registrul de evidentă al operatorilor de date cu caracter personal; 3. Sensibilizarea persoanelor fizice referitor la drepturile de care dispun în ceea ce privește prelucrarea datelor cu caracter personal prin organizarea anuală a 25 </w:t>
      </w:r>
      <w:r>
        <w:rPr>
          <w:rFonts w:ascii="Times New Roman" w:hAnsi="Times New Roman" w:cs="Times New Roman"/>
          <w:color w:val="000000"/>
          <w:sz w:val="16"/>
          <w:szCs w:val="16"/>
          <w:lang w:val="ro-RO"/>
        </w:rPr>
        <w:t xml:space="preserve">de </w:t>
      </w:r>
      <w:r w:rsidRPr="00862B06">
        <w:rPr>
          <w:rFonts w:ascii="Times New Roman" w:hAnsi="Times New Roman" w:cs="Times New Roman"/>
          <w:color w:val="000000"/>
          <w:sz w:val="16"/>
          <w:szCs w:val="16"/>
          <w:lang w:val="ro-RO"/>
        </w:rPr>
        <w:t xml:space="preserve">acțiuni de informare, seminare, traininguri, mese rotunde, conferințe; 4. Efectuarea anuală a 250 </w:t>
      </w:r>
      <w:r>
        <w:rPr>
          <w:rFonts w:ascii="Times New Roman" w:hAnsi="Times New Roman" w:cs="Times New Roman"/>
          <w:color w:val="000000"/>
          <w:sz w:val="16"/>
          <w:szCs w:val="16"/>
          <w:lang w:val="ro-RO"/>
        </w:rPr>
        <w:t xml:space="preserve">de </w:t>
      </w:r>
      <w:r w:rsidRPr="00862B06">
        <w:rPr>
          <w:rFonts w:ascii="Times New Roman" w:hAnsi="Times New Roman" w:cs="Times New Roman"/>
          <w:color w:val="000000"/>
          <w:sz w:val="16"/>
          <w:szCs w:val="16"/>
          <w:lang w:val="ro-RO"/>
        </w:rPr>
        <w:t>controale asupra respectării de către operatori a procedurilor organizatorice şi tehnice,  necesare asigurării unui nivel adecvat de protecție a datelor cu caracter personal în procesul prelucrării acestora.</w:t>
      </w:r>
    </w:p>
  </w:footnote>
  <w:footnote w:id="35">
    <w:p w14:paraId="08F885A5" w14:textId="1A3AB6F3" w:rsidR="00CD219C" w:rsidRPr="00862B06" w:rsidRDefault="00CD219C" w:rsidP="00C75346">
      <w:pPr>
        <w:pStyle w:val="FootnoteText"/>
        <w:rPr>
          <w:rFonts w:ascii="Times New Roman" w:hAnsi="Times New Roman" w:cs="Times New Roman"/>
          <w:sz w:val="16"/>
          <w:szCs w:val="16"/>
        </w:rPr>
      </w:pPr>
      <w:r w:rsidRPr="00862B06">
        <w:rPr>
          <w:rStyle w:val="FootnoteReference"/>
          <w:rFonts w:ascii="Times New Roman" w:hAnsi="Times New Roman" w:cs="Times New Roman"/>
          <w:sz w:val="16"/>
          <w:szCs w:val="16"/>
        </w:rPr>
        <w:footnoteRef/>
      </w:r>
      <w:r w:rsidRPr="00862B06">
        <w:rPr>
          <w:rFonts w:ascii="Times New Roman" w:hAnsi="Times New Roman" w:cs="Times New Roman"/>
          <w:sz w:val="16"/>
          <w:szCs w:val="16"/>
        </w:rPr>
        <w:t xml:space="preserve"> Art.20 lit.(f) din </w:t>
      </w:r>
      <w:hyperlink r:id="rId4" w:history="1">
        <w:r w:rsidRPr="00862B06">
          <w:rPr>
            <w:rFonts w:ascii="Times New Roman" w:eastAsia="Times New Roman" w:hAnsi="Times New Roman" w:cs="Times New Roman"/>
            <w:sz w:val="16"/>
            <w:szCs w:val="16"/>
            <w:lang w:val="ro-RO"/>
          </w:rPr>
          <w:t xml:space="preserve">Legea </w:t>
        </w:r>
      </w:hyperlink>
      <w:r w:rsidRPr="00862B06">
        <w:rPr>
          <w:rFonts w:ascii="Times New Roman" w:eastAsia="Times New Roman" w:hAnsi="Times New Roman" w:cs="Times New Roman"/>
          <w:sz w:val="16"/>
          <w:szCs w:val="16"/>
          <w:lang w:val="ro-RO"/>
        </w:rPr>
        <w:t xml:space="preserve"> nr.133 din 08.07.2011.</w:t>
      </w:r>
    </w:p>
  </w:footnote>
  <w:footnote w:id="36">
    <w:p w14:paraId="412BB61A" w14:textId="5989566D" w:rsidR="00CD219C" w:rsidRPr="00862B06" w:rsidRDefault="00CD219C" w:rsidP="00237AEA">
      <w:pPr>
        <w:spacing w:after="0" w:line="276" w:lineRule="auto"/>
        <w:jc w:val="both"/>
        <w:rPr>
          <w:rFonts w:ascii="Times New Roman" w:hAnsi="Times New Roman" w:cs="Times New Roman"/>
          <w:lang w:val="en-US"/>
        </w:rPr>
      </w:pPr>
      <w:r w:rsidRPr="00862B06">
        <w:rPr>
          <w:rStyle w:val="FootnoteReference"/>
          <w:rFonts w:ascii="Times New Roman" w:hAnsi="Times New Roman" w:cs="Times New Roman"/>
          <w:sz w:val="16"/>
          <w:szCs w:val="16"/>
        </w:rPr>
        <w:footnoteRef/>
      </w:r>
      <w:r w:rsidRPr="00862B06">
        <w:rPr>
          <w:rFonts w:ascii="Times New Roman" w:hAnsi="Times New Roman" w:cs="Times New Roman"/>
          <w:sz w:val="16"/>
          <w:szCs w:val="16"/>
        </w:rPr>
        <w:t xml:space="preserve"> </w:t>
      </w:r>
      <w:r w:rsidRPr="00862B06">
        <w:rPr>
          <w:rFonts w:ascii="Times New Roman" w:eastAsia="Times New Roman" w:hAnsi="Times New Roman" w:cs="Times New Roman"/>
          <w:bCs/>
          <w:sz w:val="16"/>
          <w:szCs w:val="16"/>
        </w:rPr>
        <w:t>H</w:t>
      </w:r>
      <w:r>
        <w:rPr>
          <w:rFonts w:ascii="Times New Roman" w:eastAsia="Times New Roman" w:hAnsi="Times New Roman" w:cs="Times New Roman"/>
          <w:bCs/>
          <w:sz w:val="16"/>
          <w:szCs w:val="16"/>
        </w:rPr>
        <w:t>G</w:t>
      </w:r>
      <w:r w:rsidRPr="00862B06">
        <w:rPr>
          <w:rFonts w:ascii="Times New Roman" w:eastAsia="Times New Roman" w:hAnsi="Times New Roman" w:cs="Times New Roman"/>
          <w:bCs/>
          <w:sz w:val="16"/>
          <w:szCs w:val="16"/>
        </w:rPr>
        <w:t xml:space="preserve"> nr.296  din  15.05.2012 „Privind aprobarea Regulamentului Registrului de evidență a operatorilor de date cu caracter personal”. </w:t>
      </w:r>
    </w:p>
  </w:footnote>
  <w:footnote w:id="37">
    <w:p w14:paraId="44F5CEE6" w14:textId="2EBCB68E" w:rsidR="00CD219C" w:rsidRPr="00862B06" w:rsidRDefault="00CD219C" w:rsidP="00451F3D">
      <w:pPr>
        <w:pStyle w:val="FootnoteText"/>
        <w:jc w:val="both"/>
        <w:rPr>
          <w:rFonts w:ascii="Times New Roman" w:hAnsi="Times New Roman" w:cs="Times New Roman"/>
          <w:sz w:val="16"/>
          <w:szCs w:val="16"/>
        </w:rPr>
      </w:pPr>
      <w:r w:rsidRPr="00862B06">
        <w:rPr>
          <w:rStyle w:val="FootnoteReference"/>
          <w:rFonts w:ascii="Times New Roman" w:hAnsi="Times New Roman" w:cs="Times New Roman"/>
          <w:sz w:val="16"/>
          <w:szCs w:val="16"/>
        </w:rPr>
        <w:footnoteRef/>
      </w:r>
      <w:r w:rsidRPr="00862B06">
        <w:rPr>
          <w:rFonts w:ascii="Times New Roman" w:hAnsi="Times New Roman" w:cs="Times New Roman"/>
          <w:sz w:val="16"/>
          <w:szCs w:val="16"/>
        </w:rPr>
        <w:t xml:space="preserve"> </w:t>
      </w:r>
      <w:r>
        <w:rPr>
          <w:rFonts w:ascii="Times New Roman" w:hAnsi="Times New Roman" w:cs="Times New Roman"/>
          <w:sz w:val="16"/>
          <w:szCs w:val="16"/>
        </w:rPr>
        <w:t>0</w:t>
      </w:r>
      <w:r w:rsidRPr="00862B06">
        <w:rPr>
          <w:rFonts w:ascii="Times New Roman" w:hAnsi="Times New Roman" w:cs="Times New Roman"/>
          <w:sz w:val="16"/>
          <w:szCs w:val="16"/>
        </w:rPr>
        <w:t>1 „</w:t>
      </w:r>
      <w:r w:rsidRPr="00862B06">
        <w:rPr>
          <w:rFonts w:ascii="Times New Roman" w:hAnsi="Times New Roman" w:cs="Times New Roman"/>
          <w:sz w:val="16"/>
          <w:szCs w:val="16"/>
          <w:lang w:val="ro-RO" w:eastAsia="nl-NL"/>
        </w:rPr>
        <w:t>Numărul operatorilor înregistrați în Registrul de evidentă al operatorilor de date cu caracter personal”;</w:t>
      </w:r>
      <w:r w:rsidRPr="00862B06">
        <w:rPr>
          <w:rFonts w:ascii="Times New Roman" w:hAnsi="Times New Roman" w:cs="Times New Roman"/>
          <w:sz w:val="16"/>
          <w:szCs w:val="16"/>
        </w:rPr>
        <w:t xml:space="preserve"> </w:t>
      </w:r>
      <w:r>
        <w:rPr>
          <w:rFonts w:ascii="Times New Roman" w:hAnsi="Times New Roman" w:cs="Times New Roman"/>
          <w:sz w:val="16"/>
          <w:szCs w:val="16"/>
        </w:rPr>
        <w:t>0</w:t>
      </w:r>
      <w:r w:rsidRPr="00862B06">
        <w:rPr>
          <w:rFonts w:ascii="Times New Roman" w:hAnsi="Times New Roman" w:cs="Times New Roman"/>
          <w:sz w:val="16"/>
          <w:szCs w:val="16"/>
        </w:rPr>
        <w:t>2</w:t>
      </w:r>
      <w:r w:rsidRPr="00862B06">
        <w:rPr>
          <w:rFonts w:ascii="Times New Roman" w:hAnsi="Times New Roman" w:cs="Times New Roman"/>
          <w:color w:val="000000"/>
          <w:sz w:val="16"/>
          <w:szCs w:val="16"/>
          <w:lang w:val="ro-RO"/>
        </w:rPr>
        <w:t xml:space="preserve"> „Numărul sistemelor de eviden</w:t>
      </w:r>
      <w:r>
        <w:rPr>
          <w:rFonts w:ascii="Times New Roman" w:hAnsi="Times New Roman" w:cs="Times New Roman"/>
          <w:color w:val="000000"/>
          <w:sz w:val="16"/>
          <w:szCs w:val="16"/>
          <w:lang w:val="ro-RO"/>
        </w:rPr>
        <w:t>ț</w:t>
      </w:r>
      <w:r w:rsidRPr="00862B06">
        <w:rPr>
          <w:rFonts w:ascii="Times New Roman" w:hAnsi="Times New Roman" w:cs="Times New Roman"/>
          <w:color w:val="000000"/>
          <w:sz w:val="16"/>
          <w:szCs w:val="16"/>
          <w:lang w:val="ro-RO"/>
        </w:rPr>
        <w:t>ă înregistrate în Registrul de evidentă al operatorilor de date cu caracter personal”.</w:t>
      </w:r>
    </w:p>
  </w:footnote>
  <w:footnote w:id="38">
    <w:p w14:paraId="250F2406" w14:textId="77777777" w:rsidR="00CD219C" w:rsidRPr="00862B06" w:rsidRDefault="00CD219C" w:rsidP="00451F3D">
      <w:pPr>
        <w:pStyle w:val="FootnoteText"/>
        <w:jc w:val="both"/>
        <w:rPr>
          <w:rFonts w:ascii="Times New Roman" w:hAnsi="Times New Roman" w:cs="Times New Roman"/>
        </w:rPr>
      </w:pPr>
      <w:r w:rsidRPr="00862B06">
        <w:rPr>
          <w:rStyle w:val="FootnoteReference"/>
          <w:rFonts w:ascii="Times New Roman" w:hAnsi="Times New Roman" w:cs="Times New Roman"/>
          <w:sz w:val="16"/>
          <w:szCs w:val="16"/>
        </w:rPr>
        <w:footnoteRef/>
      </w:r>
      <w:r w:rsidRPr="00862B06">
        <w:rPr>
          <w:rFonts w:ascii="Times New Roman" w:hAnsi="Times New Roman" w:cs="Times New Roman"/>
          <w:sz w:val="16"/>
          <w:szCs w:val="16"/>
        </w:rPr>
        <w:t xml:space="preserve"> Contractul de achiziție publică a sistemului informațional automatizat „</w:t>
      </w:r>
      <w:r w:rsidRPr="00862B06">
        <w:rPr>
          <w:rFonts w:ascii="Times New Roman" w:hAnsi="Times New Roman" w:cs="Times New Roman"/>
          <w:color w:val="000000"/>
          <w:sz w:val="16"/>
          <w:szCs w:val="16"/>
          <w:lang w:val="ro-RO"/>
        </w:rPr>
        <w:t>Registrul operatorilor de date cu caracter personal”</w:t>
      </w:r>
      <w:r w:rsidRPr="00862B06">
        <w:rPr>
          <w:rFonts w:ascii="Times New Roman" w:hAnsi="Times New Roman" w:cs="Times New Roman"/>
          <w:sz w:val="16"/>
          <w:szCs w:val="16"/>
        </w:rPr>
        <w:t xml:space="preserve"> nr.3001-02 din 05.12.2011 în sumă de 1</w:t>
      </w:r>
      <w:r>
        <w:rPr>
          <w:rFonts w:ascii="Times New Roman" w:hAnsi="Times New Roman" w:cs="Times New Roman"/>
          <w:sz w:val="16"/>
          <w:szCs w:val="16"/>
        </w:rPr>
        <w:t>.</w:t>
      </w:r>
      <w:r w:rsidRPr="00862B06">
        <w:rPr>
          <w:rFonts w:ascii="Times New Roman" w:hAnsi="Times New Roman" w:cs="Times New Roman"/>
          <w:sz w:val="16"/>
          <w:szCs w:val="16"/>
        </w:rPr>
        <w:t>122,0 mii lei încheiat de Instituția Publică Centrul de Guvernare Electronică cu Î.C.S. „Teamnet Internațional” S.R.L (România)</w:t>
      </w:r>
      <w:r>
        <w:rPr>
          <w:rFonts w:ascii="Times New Roman" w:hAnsi="Times New Roman" w:cs="Times New Roman"/>
          <w:sz w:val="16"/>
          <w:szCs w:val="16"/>
        </w:rPr>
        <w:t>.</w:t>
      </w:r>
    </w:p>
  </w:footnote>
  <w:footnote w:id="39">
    <w:p w14:paraId="50E5C52F" w14:textId="18B43DA1" w:rsidR="00CD219C" w:rsidRPr="00862B06" w:rsidRDefault="00CD219C" w:rsidP="0070703C">
      <w:pPr>
        <w:pStyle w:val="FootnoteText"/>
        <w:jc w:val="both"/>
        <w:rPr>
          <w:rFonts w:ascii="Times New Roman" w:hAnsi="Times New Roman" w:cs="Times New Roman"/>
          <w:sz w:val="16"/>
          <w:szCs w:val="16"/>
        </w:rPr>
      </w:pPr>
      <w:r w:rsidRPr="00862B06">
        <w:rPr>
          <w:rStyle w:val="FootnoteReference"/>
          <w:rFonts w:ascii="Times New Roman" w:hAnsi="Times New Roman" w:cs="Times New Roman"/>
          <w:sz w:val="16"/>
          <w:szCs w:val="16"/>
        </w:rPr>
        <w:footnoteRef/>
      </w:r>
      <w:r w:rsidRPr="00862B06">
        <w:rPr>
          <w:rFonts w:ascii="Times New Roman" w:hAnsi="Times New Roman" w:cs="Times New Roman"/>
          <w:sz w:val="16"/>
          <w:szCs w:val="16"/>
        </w:rPr>
        <w:t xml:space="preserve"> </w:t>
      </w:r>
      <w:r w:rsidRPr="00862B06">
        <w:rPr>
          <w:rFonts w:ascii="Times New Roman" w:eastAsia="Times New Roman" w:hAnsi="Times New Roman" w:cs="Times New Roman"/>
          <w:bCs/>
          <w:sz w:val="16"/>
          <w:szCs w:val="16"/>
        </w:rPr>
        <w:t>H</w:t>
      </w:r>
      <w:r>
        <w:rPr>
          <w:rFonts w:ascii="Times New Roman" w:eastAsia="Times New Roman" w:hAnsi="Times New Roman" w:cs="Times New Roman"/>
          <w:bCs/>
          <w:sz w:val="16"/>
          <w:szCs w:val="16"/>
        </w:rPr>
        <w:t>G</w:t>
      </w:r>
      <w:r w:rsidRPr="00862B06">
        <w:rPr>
          <w:rFonts w:ascii="Times New Roman" w:eastAsia="Times New Roman" w:hAnsi="Times New Roman" w:cs="Times New Roman"/>
          <w:bCs/>
          <w:sz w:val="16"/>
          <w:szCs w:val="16"/>
        </w:rPr>
        <w:t xml:space="preserve"> nr.624 din 23.07.2014 </w:t>
      </w:r>
      <w:r>
        <w:rPr>
          <w:rFonts w:ascii="Times New Roman" w:eastAsia="Times New Roman" w:hAnsi="Times New Roman" w:cs="Times New Roman"/>
          <w:bCs/>
          <w:sz w:val="16"/>
          <w:szCs w:val="16"/>
        </w:rPr>
        <w:t>„</w:t>
      </w:r>
      <w:r w:rsidRPr="00862B06">
        <w:rPr>
          <w:rFonts w:ascii="Times New Roman" w:eastAsia="Times New Roman" w:hAnsi="Times New Roman" w:cs="Times New Roman"/>
          <w:bCs/>
          <w:sz w:val="16"/>
          <w:szCs w:val="16"/>
        </w:rPr>
        <w:t>Cu privire la transmiterea unui bun</w:t>
      </w:r>
      <w:r>
        <w:rPr>
          <w:rFonts w:ascii="Times New Roman" w:eastAsia="Times New Roman" w:hAnsi="Times New Roman" w:cs="Times New Roman"/>
          <w:bCs/>
          <w:sz w:val="16"/>
          <w:szCs w:val="16"/>
        </w:rPr>
        <w:t>”</w:t>
      </w:r>
      <w:r w:rsidRPr="00862B06">
        <w:rPr>
          <w:rFonts w:ascii="Times New Roman" w:eastAsia="Times New Roman" w:hAnsi="Times New Roman" w:cs="Times New Roman"/>
          <w:bCs/>
          <w:sz w:val="16"/>
          <w:szCs w:val="16"/>
        </w:rPr>
        <w:t xml:space="preserve">; </w:t>
      </w:r>
      <w:r w:rsidRPr="00862B06">
        <w:rPr>
          <w:rFonts w:ascii="Times New Roman" w:hAnsi="Times New Roman" w:cs="Times New Roman"/>
          <w:sz w:val="16"/>
          <w:szCs w:val="16"/>
        </w:rPr>
        <w:t>Contractul de achiziție publică a sistemului informațional automatizat „</w:t>
      </w:r>
      <w:r w:rsidRPr="00862B06">
        <w:rPr>
          <w:rFonts w:ascii="Times New Roman" w:hAnsi="Times New Roman" w:cs="Times New Roman"/>
          <w:color w:val="000000"/>
          <w:sz w:val="16"/>
          <w:szCs w:val="16"/>
          <w:lang w:val="ro-RO"/>
        </w:rPr>
        <w:t>Registrul operatorilor de date cu caracter personal”</w:t>
      </w:r>
      <w:r w:rsidRPr="00862B06">
        <w:rPr>
          <w:rFonts w:ascii="Times New Roman" w:hAnsi="Times New Roman" w:cs="Times New Roman"/>
          <w:sz w:val="16"/>
          <w:szCs w:val="16"/>
        </w:rPr>
        <w:t xml:space="preserve"> nr.3001-02 din 05.12.2011 în sumă de 1</w:t>
      </w:r>
      <w:r>
        <w:rPr>
          <w:rFonts w:ascii="Times New Roman" w:hAnsi="Times New Roman" w:cs="Times New Roman"/>
          <w:sz w:val="16"/>
          <w:szCs w:val="16"/>
        </w:rPr>
        <w:t>.</w:t>
      </w:r>
      <w:r w:rsidRPr="00862B06">
        <w:rPr>
          <w:rFonts w:ascii="Times New Roman" w:hAnsi="Times New Roman" w:cs="Times New Roman"/>
          <w:sz w:val="16"/>
          <w:szCs w:val="16"/>
        </w:rPr>
        <w:t>122,0 mii lei încheiat de Instituția Publică Centrul de Guvernare Electronică cu Î.C.S. „Teamnet Internațional” S.R.L (România).</w:t>
      </w:r>
    </w:p>
  </w:footnote>
  <w:footnote w:id="40">
    <w:p w14:paraId="19CA6F19" w14:textId="2253CE32" w:rsidR="00CD219C" w:rsidRPr="00862B06" w:rsidRDefault="00CD219C" w:rsidP="00451F3D">
      <w:pPr>
        <w:spacing w:after="0" w:line="240" w:lineRule="auto"/>
        <w:jc w:val="both"/>
        <w:rPr>
          <w:rFonts w:ascii="Times New Roman" w:hAnsi="Times New Roman" w:cs="Times New Roman"/>
          <w:sz w:val="16"/>
          <w:szCs w:val="16"/>
        </w:rPr>
      </w:pPr>
      <w:r w:rsidRPr="00862B06">
        <w:rPr>
          <w:rStyle w:val="FootnoteReference"/>
          <w:rFonts w:ascii="Times New Roman" w:hAnsi="Times New Roman" w:cs="Times New Roman"/>
          <w:sz w:val="16"/>
          <w:szCs w:val="16"/>
        </w:rPr>
        <w:footnoteRef/>
      </w:r>
      <w:r>
        <w:rPr>
          <w:rFonts w:ascii="Times New Roman" w:eastAsia="Times New Roman" w:hAnsi="Times New Roman" w:cs="Times New Roman"/>
          <w:bCs/>
          <w:sz w:val="16"/>
          <w:szCs w:val="16"/>
          <w:lang w:val="en-US"/>
        </w:rPr>
        <w:t xml:space="preserve"> </w:t>
      </w:r>
      <w:r w:rsidRPr="00862B06">
        <w:rPr>
          <w:rFonts w:ascii="Times New Roman" w:eastAsia="Times New Roman" w:hAnsi="Times New Roman" w:cs="Times New Roman"/>
          <w:bCs/>
          <w:sz w:val="16"/>
          <w:szCs w:val="16"/>
          <w:lang w:val="en-US"/>
        </w:rPr>
        <w:t xml:space="preserve">Art. XVIII </w:t>
      </w:r>
      <w:r w:rsidRPr="00862B06">
        <w:rPr>
          <w:rFonts w:ascii="Times New Roman" w:eastAsia="Times New Roman" w:hAnsi="Times New Roman" w:cs="Times New Roman"/>
          <w:bCs/>
          <w:sz w:val="16"/>
          <w:szCs w:val="16"/>
        </w:rPr>
        <w:t>din Legea pentru modificarea unor acte normative nr.175 din 11.11.2021; pct.1 din H</w:t>
      </w:r>
      <w:r>
        <w:rPr>
          <w:rFonts w:ascii="Times New Roman" w:eastAsia="Times New Roman" w:hAnsi="Times New Roman" w:cs="Times New Roman"/>
          <w:bCs/>
          <w:sz w:val="16"/>
          <w:szCs w:val="16"/>
        </w:rPr>
        <w:t>G</w:t>
      </w:r>
      <w:r w:rsidRPr="00862B06">
        <w:rPr>
          <w:rFonts w:ascii="Times New Roman" w:eastAsia="Times New Roman" w:hAnsi="Times New Roman" w:cs="Times New Roman"/>
          <w:bCs/>
          <w:sz w:val="16"/>
          <w:szCs w:val="16"/>
        </w:rPr>
        <w:t xml:space="preserve"> </w:t>
      </w:r>
      <w:r w:rsidRPr="00862B06">
        <w:rPr>
          <w:rFonts w:ascii="Times New Roman" w:eastAsia="Times New Roman" w:hAnsi="Times New Roman" w:cs="Times New Roman"/>
          <w:sz w:val="16"/>
          <w:szCs w:val="16"/>
        </w:rPr>
        <w:t xml:space="preserve">nr.282 din 27.04.2022 </w:t>
      </w:r>
      <w:r>
        <w:rPr>
          <w:rFonts w:ascii="Times New Roman" w:eastAsia="Times New Roman" w:hAnsi="Times New Roman" w:cs="Times New Roman"/>
          <w:sz w:val="16"/>
          <w:szCs w:val="16"/>
        </w:rPr>
        <w:t>„</w:t>
      </w:r>
      <w:r w:rsidRPr="00862B06">
        <w:rPr>
          <w:rFonts w:ascii="Times New Roman" w:eastAsia="Times New Roman" w:hAnsi="Times New Roman" w:cs="Times New Roman"/>
          <w:bCs/>
          <w:sz w:val="16"/>
          <w:szCs w:val="16"/>
        </w:rPr>
        <w:t>Cu privire la lichidarea Registrului de evidență al operatorilor de date cu caracter personal şi abrogarea unor hotărâri ale Guvernului</w:t>
      </w:r>
      <w:r>
        <w:rPr>
          <w:rFonts w:ascii="Times New Roman" w:eastAsia="Times New Roman" w:hAnsi="Times New Roman" w:cs="Times New Roman"/>
          <w:bCs/>
          <w:sz w:val="16"/>
          <w:szCs w:val="16"/>
        </w:rPr>
        <w:t>”</w:t>
      </w:r>
      <w:r w:rsidRPr="00862B06">
        <w:rPr>
          <w:rFonts w:ascii="Times New Roman" w:eastAsia="Times New Roman" w:hAnsi="Times New Roman" w:cs="Times New Roman"/>
          <w:bCs/>
          <w:sz w:val="16"/>
          <w:szCs w:val="16"/>
        </w:rPr>
        <w:t>. </w:t>
      </w:r>
      <w:r w:rsidRPr="00862B06">
        <w:rPr>
          <w:rFonts w:ascii="Times New Roman" w:hAnsi="Times New Roman" w:cs="Times New Roman"/>
          <w:sz w:val="16"/>
          <w:szCs w:val="16"/>
        </w:rPr>
        <w:t xml:space="preserve"> </w:t>
      </w:r>
    </w:p>
  </w:footnote>
  <w:footnote w:id="41">
    <w:p w14:paraId="0614CF74" w14:textId="779DD97C" w:rsidR="00CD219C" w:rsidRPr="00862B06" w:rsidRDefault="00CD219C" w:rsidP="007C165B">
      <w:pPr>
        <w:pStyle w:val="FootnoteText"/>
        <w:rPr>
          <w:rFonts w:ascii="Times New Roman" w:hAnsi="Times New Roman" w:cs="Times New Roman"/>
          <w:sz w:val="16"/>
          <w:szCs w:val="16"/>
        </w:rPr>
      </w:pPr>
      <w:r w:rsidRPr="00862B06">
        <w:rPr>
          <w:rStyle w:val="FootnoteReference"/>
          <w:rFonts w:ascii="Times New Roman" w:hAnsi="Times New Roman" w:cs="Times New Roman"/>
          <w:sz w:val="16"/>
          <w:szCs w:val="16"/>
        </w:rPr>
        <w:footnoteRef/>
      </w:r>
      <w:r>
        <w:rPr>
          <w:rFonts w:ascii="Times New Roman" w:eastAsia="Times New Roman" w:hAnsi="Times New Roman" w:cs="Times New Roman"/>
          <w:bCs/>
          <w:sz w:val="16"/>
          <w:szCs w:val="16"/>
        </w:rPr>
        <w:t xml:space="preserve"> </w:t>
      </w:r>
      <w:r w:rsidRPr="00862B06">
        <w:rPr>
          <w:rFonts w:ascii="Times New Roman" w:eastAsia="Times New Roman" w:hAnsi="Times New Roman" w:cs="Times New Roman"/>
          <w:bCs/>
          <w:sz w:val="16"/>
          <w:szCs w:val="16"/>
        </w:rPr>
        <w:t xml:space="preserve">Legea pentru modificarea unor acte normative nr.175 din 11.11.2021. </w:t>
      </w:r>
      <w:r w:rsidRPr="00862B06">
        <w:rPr>
          <w:rFonts w:ascii="Times New Roman" w:hAnsi="Times New Roman" w:cs="Times New Roman"/>
          <w:sz w:val="16"/>
          <w:szCs w:val="16"/>
        </w:rPr>
        <w:t xml:space="preserve"> </w:t>
      </w:r>
    </w:p>
  </w:footnote>
  <w:footnote w:id="42">
    <w:p w14:paraId="67673F8C" w14:textId="77777777" w:rsidR="00CD219C" w:rsidRPr="00862B06" w:rsidRDefault="00CD219C" w:rsidP="00451F3D">
      <w:pPr>
        <w:pStyle w:val="FootnoteText"/>
        <w:jc w:val="both"/>
        <w:rPr>
          <w:rFonts w:ascii="Times New Roman" w:hAnsi="Times New Roman" w:cs="Times New Roman"/>
          <w:sz w:val="16"/>
          <w:szCs w:val="16"/>
          <w:lang w:val="ro-RO"/>
        </w:rPr>
      </w:pPr>
      <w:r w:rsidRPr="00862B06">
        <w:rPr>
          <w:rStyle w:val="FootnoteReference"/>
          <w:rFonts w:ascii="Times New Roman" w:hAnsi="Times New Roman" w:cs="Times New Roman"/>
          <w:sz w:val="16"/>
          <w:szCs w:val="16"/>
          <w:lang w:val="ro-RO"/>
        </w:rPr>
        <w:footnoteRef/>
      </w:r>
      <w:r w:rsidRPr="00862B06">
        <w:rPr>
          <w:rFonts w:ascii="Times New Roman" w:hAnsi="Times New Roman" w:cs="Times New Roman"/>
          <w:sz w:val="16"/>
          <w:szCs w:val="16"/>
          <w:lang w:val="ro-RO"/>
        </w:rPr>
        <w:t xml:space="preserve"> </w:t>
      </w:r>
      <w:r w:rsidRPr="00862B06">
        <w:rPr>
          <w:rFonts w:ascii="Times New Roman" w:hAnsi="Times New Roman" w:cs="Times New Roman"/>
          <w:color w:val="000000"/>
          <w:sz w:val="16"/>
          <w:szCs w:val="16"/>
          <w:lang w:val="ro-RO" w:eastAsia="ro-RO" w:bidi="ro-RO"/>
        </w:rPr>
        <w:t xml:space="preserve">Acordul de Asociere la Uniunea Europeană </w:t>
      </w:r>
      <w:r w:rsidRPr="00862B06">
        <w:rPr>
          <w:rFonts w:ascii="Times New Roman" w:hAnsi="Times New Roman" w:cs="Times New Roman"/>
          <w:sz w:val="16"/>
          <w:szCs w:val="16"/>
          <w:lang w:val="ro-RO"/>
        </w:rPr>
        <w:t>şi Comunitatea Europeană a Energiei Atomice, ratificat prin Legea nr.112 din 02.07.2014.</w:t>
      </w:r>
    </w:p>
  </w:footnote>
  <w:footnote w:id="43">
    <w:p w14:paraId="7EFDD6B7" w14:textId="27BE787B" w:rsidR="00CD219C" w:rsidRPr="00862B06" w:rsidRDefault="00CD219C" w:rsidP="00451F3D">
      <w:pPr>
        <w:pStyle w:val="FootnoteText"/>
        <w:jc w:val="both"/>
        <w:rPr>
          <w:rFonts w:ascii="Times New Roman" w:hAnsi="Times New Roman" w:cs="Times New Roman"/>
          <w:sz w:val="16"/>
          <w:szCs w:val="16"/>
          <w:lang w:val="ro-RO"/>
        </w:rPr>
      </w:pPr>
      <w:r w:rsidRPr="00862B06">
        <w:rPr>
          <w:rStyle w:val="FootnoteReference"/>
          <w:rFonts w:ascii="Times New Roman" w:hAnsi="Times New Roman" w:cs="Times New Roman"/>
          <w:sz w:val="16"/>
          <w:szCs w:val="16"/>
          <w:lang w:val="ro-RO"/>
        </w:rPr>
        <w:footnoteRef/>
      </w:r>
      <w:r>
        <w:rPr>
          <w:rFonts w:ascii="Times New Roman" w:hAnsi="Times New Roman" w:cs="Times New Roman"/>
          <w:sz w:val="16"/>
          <w:szCs w:val="16"/>
          <w:lang w:val="ro-RO"/>
        </w:rPr>
        <w:t xml:space="preserve"> </w:t>
      </w:r>
      <w:r w:rsidRPr="00862B06">
        <w:rPr>
          <w:rFonts w:ascii="Times New Roman" w:hAnsi="Times New Roman" w:cs="Times New Roman"/>
          <w:sz w:val="16"/>
          <w:szCs w:val="16"/>
          <w:lang w:val="ro-RO"/>
        </w:rPr>
        <w:t>Titlul III Justiție, libertate și securitate, art. 13 „Protecția datelor cu caracter personal din Planul național de acțiuni pentru implementarea Acordului de Asociere Republica Moldova - Uniunea Europeană în perioada 2014-2016, aprobat prin H</w:t>
      </w:r>
      <w:r>
        <w:rPr>
          <w:rFonts w:ascii="Times New Roman" w:hAnsi="Times New Roman" w:cs="Times New Roman"/>
          <w:sz w:val="16"/>
          <w:szCs w:val="16"/>
          <w:lang w:val="ro-RO"/>
        </w:rPr>
        <w:t>G</w:t>
      </w:r>
      <w:r w:rsidRPr="00862B06">
        <w:rPr>
          <w:rFonts w:ascii="Times New Roman" w:hAnsi="Times New Roman" w:cs="Times New Roman"/>
          <w:sz w:val="16"/>
          <w:szCs w:val="16"/>
          <w:lang w:val="ro-RO"/>
        </w:rPr>
        <w:t xml:space="preserve"> nr.808 din 07.10.2014; Titlul III Justiție, libertate și securitate, art.13 „Protecția datelor cu caracter personal” din Planul național de acțiuni pentru implementarea Acordului de Asociere Republica Moldova - Uniunea Europeană în perioada 2017-2019, aprobat prin H</w:t>
      </w:r>
      <w:r>
        <w:rPr>
          <w:rFonts w:ascii="Times New Roman" w:hAnsi="Times New Roman" w:cs="Times New Roman"/>
          <w:sz w:val="16"/>
          <w:szCs w:val="16"/>
          <w:lang w:val="ro-RO"/>
        </w:rPr>
        <w:t>G</w:t>
      </w:r>
      <w:r w:rsidRPr="00862B06">
        <w:rPr>
          <w:rFonts w:ascii="Times New Roman" w:hAnsi="Times New Roman" w:cs="Times New Roman"/>
          <w:sz w:val="16"/>
          <w:szCs w:val="16"/>
          <w:lang w:val="ro-RO"/>
        </w:rPr>
        <w:t xml:space="preserve"> nr.1472 din 30.12.2016.</w:t>
      </w:r>
    </w:p>
  </w:footnote>
  <w:footnote w:id="44">
    <w:p w14:paraId="3F152E27" w14:textId="5C46B9A7" w:rsidR="00CD219C" w:rsidRPr="00D43D91" w:rsidRDefault="00CD219C" w:rsidP="001F0AB1">
      <w:pPr>
        <w:spacing w:after="0" w:line="240" w:lineRule="auto"/>
        <w:jc w:val="both"/>
        <w:rPr>
          <w:rFonts w:ascii="Times New Roman" w:hAnsi="Times New Roman" w:cs="Times New Roman"/>
          <w:sz w:val="16"/>
          <w:szCs w:val="16"/>
          <w:lang w:val="ro-RO"/>
        </w:rPr>
      </w:pPr>
      <w:r w:rsidRPr="001F0AB1">
        <w:rPr>
          <w:rStyle w:val="FootnoteReference"/>
          <w:rFonts w:ascii="Times New Roman" w:hAnsi="Times New Roman" w:cs="Times New Roman"/>
          <w:sz w:val="16"/>
          <w:szCs w:val="16"/>
          <w:lang w:val="ro-RO"/>
        </w:rPr>
        <w:footnoteRef/>
      </w:r>
      <w:r w:rsidRPr="001F0AB1">
        <w:rPr>
          <w:rFonts w:ascii="Times New Roman" w:hAnsi="Times New Roman" w:cs="Times New Roman"/>
          <w:sz w:val="16"/>
          <w:szCs w:val="16"/>
          <w:lang w:val="ro-RO"/>
        </w:rPr>
        <w:t>Art.13 „Protecția datelor cu caracter personal” din H</w:t>
      </w:r>
      <w:r>
        <w:rPr>
          <w:rFonts w:ascii="Times New Roman" w:hAnsi="Times New Roman" w:cs="Times New Roman"/>
          <w:sz w:val="16"/>
          <w:szCs w:val="16"/>
          <w:lang w:val="ro-RO"/>
        </w:rPr>
        <w:t>G</w:t>
      </w:r>
      <w:r w:rsidRPr="001F0AB1">
        <w:rPr>
          <w:rFonts w:ascii="Times New Roman" w:hAnsi="Times New Roman" w:cs="Times New Roman"/>
          <w:sz w:val="16"/>
          <w:szCs w:val="16"/>
          <w:lang w:val="ro-RO"/>
        </w:rPr>
        <w:t xml:space="preserve"> nr.1472 din 30.12.2016 „Cu privire la aprobarea Planului național de acțiuni pentru implementarea Acordului de Asociere Republica Moldova - Uniunea Europeană în perioada 2017-2019”. </w:t>
      </w:r>
    </w:p>
  </w:footnote>
  <w:footnote w:id="45">
    <w:p w14:paraId="2A985E1E" w14:textId="77777777" w:rsidR="00CD219C" w:rsidRPr="0077171B" w:rsidRDefault="00CD219C" w:rsidP="0077171B">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Art.23 alin.(2) din Legea cu privire la actele normative nr.100 din 22.12.2017.</w:t>
      </w:r>
    </w:p>
  </w:footnote>
  <w:footnote w:id="46">
    <w:p w14:paraId="325F7778" w14:textId="77777777" w:rsidR="00CD219C" w:rsidRPr="0077171B" w:rsidRDefault="00CD219C" w:rsidP="0077171B">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w:t>
      </w:r>
      <w:r w:rsidRPr="001F0AB1">
        <w:rPr>
          <w:rFonts w:ascii="Times New Roman" w:hAnsi="Times New Roman" w:cs="Times New Roman"/>
          <w:color w:val="333333"/>
          <w:sz w:val="16"/>
          <w:szCs w:val="16"/>
          <w:shd w:val="clear" w:color="auto" w:fill="FFFFFF"/>
          <w:lang w:val="ro-RO"/>
        </w:rPr>
        <w:t>Constituția Republicii Moldova adoptată la 29.07.1994.</w:t>
      </w:r>
    </w:p>
  </w:footnote>
  <w:footnote w:id="47">
    <w:p w14:paraId="137716E1" w14:textId="1A2F8A73" w:rsidR="00CD219C" w:rsidRPr="001F0AB1" w:rsidRDefault="00CD219C" w:rsidP="001F0AB1">
      <w:pPr>
        <w:spacing w:after="0" w:line="240" w:lineRule="auto"/>
        <w:jc w:val="both"/>
        <w:rPr>
          <w:rFonts w:ascii="Times New Roman" w:hAnsi="Times New Roman" w:cs="Times New Roman"/>
          <w:sz w:val="16"/>
          <w:szCs w:val="16"/>
          <w:lang w:val="ro-RO"/>
        </w:rPr>
      </w:pPr>
      <w:r w:rsidRPr="001F0AB1">
        <w:rPr>
          <w:rStyle w:val="FootnoteReference"/>
          <w:rFonts w:ascii="Times New Roman" w:hAnsi="Times New Roman" w:cs="Times New Roman"/>
          <w:sz w:val="16"/>
          <w:szCs w:val="16"/>
          <w:lang w:val="ro-RO"/>
        </w:rPr>
        <w:footnoteRef/>
      </w:r>
      <w:r>
        <w:rPr>
          <w:rFonts w:ascii="Times New Roman" w:hAnsi="Times New Roman" w:cs="Times New Roman"/>
          <w:sz w:val="16"/>
          <w:szCs w:val="16"/>
          <w:lang w:val="ro-RO"/>
        </w:rPr>
        <w:t xml:space="preserve"> </w:t>
      </w:r>
      <w:r w:rsidRPr="001F0AB1">
        <w:rPr>
          <w:rFonts w:ascii="Times New Roman" w:hAnsi="Times New Roman" w:cs="Times New Roman"/>
          <w:sz w:val="16"/>
          <w:szCs w:val="16"/>
          <w:lang w:val="ro-RO"/>
        </w:rPr>
        <w:t>Art.13 „Protecția datelor cu caracter personal” din H</w:t>
      </w:r>
      <w:r>
        <w:rPr>
          <w:rFonts w:ascii="Times New Roman" w:hAnsi="Times New Roman" w:cs="Times New Roman"/>
          <w:sz w:val="16"/>
          <w:szCs w:val="16"/>
          <w:lang w:val="ro-RO"/>
        </w:rPr>
        <w:t>G</w:t>
      </w:r>
      <w:r w:rsidRPr="001F0AB1">
        <w:rPr>
          <w:rFonts w:ascii="Times New Roman" w:hAnsi="Times New Roman" w:cs="Times New Roman"/>
          <w:sz w:val="16"/>
          <w:szCs w:val="16"/>
          <w:lang w:val="ro-RO"/>
        </w:rPr>
        <w:t xml:space="preserve"> nr.1472 din 30.12.2016 „Cu privire la aprobarea Planului național de acțiuni pentru implementarea Acordului de Asociere Republica Moldova - Uniunea Europeană în perioada 2017-2019” .</w:t>
      </w:r>
    </w:p>
  </w:footnote>
  <w:footnote w:id="48">
    <w:p w14:paraId="5AB578DF" w14:textId="77777777" w:rsidR="00CD219C" w:rsidRPr="00862B06" w:rsidRDefault="00CD219C">
      <w:pPr>
        <w:pStyle w:val="FootnoteText"/>
        <w:rPr>
          <w:rFonts w:ascii="Times New Roman" w:hAnsi="Times New Roman" w:cs="Times New Roman"/>
          <w:sz w:val="16"/>
          <w:szCs w:val="16"/>
        </w:rPr>
      </w:pPr>
      <w:r w:rsidRPr="00862B06">
        <w:rPr>
          <w:rStyle w:val="FootnoteReference"/>
          <w:rFonts w:ascii="Times New Roman" w:hAnsi="Times New Roman" w:cs="Times New Roman"/>
          <w:sz w:val="16"/>
          <w:szCs w:val="16"/>
        </w:rPr>
        <w:footnoteRef/>
      </w:r>
      <w:r w:rsidRPr="00862B06">
        <w:rPr>
          <w:rFonts w:ascii="Times New Roman" w:hAnsi="Times New Roman" w:cs="Times New Roman"/>
          <w:sz w:val="16"/>
          <w:szCs w:val="16"/>
        </w:rPr>
        <w:t xml:space="preserve"> Art.28  din </w:t>
      </w:r>
      <w:r w:rsidRPr="00862B06">
        <w:rPr>
          <w:rFonts w:ascii="Times New Roman" w:hAnsi="Times New Roman" w:cs="Times New Roman"/>
          <w:color w:val="000000"/>
          <w:sz w:val="16"/>
          <w:szCs w:val="16"/>
        </w:rPr>
        <w:t>Constituția Republicii Moldova.</w:t>
      </w:r>
    </w:p>
  </w:footnote>
  <w:footnote w:id="49">
    <w:p w14:paraId="7EEAF99F" w14:textId="2AFEF790" w:rsidR="00CD219C" w:rsidRPr="00862B06" w:rsidRDefault="00CD219C" w:rsidP="00B00204">
      <w:pPr>
        <w:spacing w:after="0" w:line="240" w:lineRule="auto"/>
        <w:jc w:val="both"/>
        <w:rPr>
          <w:rFonts w:ascii="Times New Roman" w:hAnsi="Times New Roman" w:cs="Times New Roman"/>
          <w:sz w:val="16"/>
          <w:szCs w:val="16"/>
          <w:lang w:val="ro-RO"/>
        </w:rPr>
      </w:pPr>
      <w:r w:rsidRPr="00862B06">
        <w:rPr>
          <w:rStyle w:val="FootnoteReference"/>
          <w:rFonts w:ascii="Times New Roman" w:hAnsi="Times New Roman" w:cs="Times New Roman"/>
          <w:sz w:val="16"/>
          <w:szCs w:val="16"/>
        </w:rPr>
        <w:footnoteRef/>
      </w:r>
      <w:r w:rsidRPr="00862B06">
        <w:rPr>
          <w:rFonts w:ascii="Times New Roman" w:hAnsi="Times New Roman" w:cs="Times New Roman"/>
          <w:sz w:val="16"/>
          <w:szCs w:val="16"/>
        </w:rPr>
        <w:t xml:space="preserve"> </w:t>
      </w:r>
      <w:r w:rsidRPr="00862B06">
        <w:rPr>
          <w:rFonts w:ascii="Times New Roman" w:eastAsia="Times New Roman" w:hAnsi="Times New Roman" w:cs="Times New Roman"/>
          <w:bCs/>
          <w:sz w:val="16"/>
          <w:szCs w:val="16"/>
          <w:lang w:val="ro-RO"/>
        </w:rPr>
        <w:t>Legea pentru aprobarea Strategiei naționale în domeniul protecției datelor cu caracter personal pentru anii 2013-2018 și a Planului de acțiuni privind implementarea acesteia nr.229 din 10.10.2013.</w:t>
      </w:r>
    </w:p>
  </w:footnote>
  <w:footnote w:id="50">
    <w:p w14:paraId="17773735" w14:textId="5709B627" w:rsidR="00CD219C" w:rsidRPr="00862B06" w:rsidRDefault="00CD219C">
      <w:pPr>
        <w:pStyle w:val="FootnoteText"/>
        <w:rPr>
          <w:rFonts w:ascii="Times New Roman" w:hAnsi="Times New Roman" w:cs="Times New Roman"/>
          <w:sz w:val="16"/>
          <w:szCs w:val="16"/>
        </w:rPr>
      </w:pPr>
      <w:r w:rsidRPr="00862B06">
        <w:rPr>
          <w:rStyle w:val="FootnoteReference"/>
          <w:rFonts w:ascii="Times New Roman" w:hAnsi="Times New Roman" w:cs="Times New Roman"/>
          <w:sz w:val="16"/>
          <w:szCs w:val="16"/>
        </w:rPr>
        <w:footnoteRef/>
      </w:r>
      <w:r>
        <w:rPr>
          <w:rFonts w:ascii="Times New Roman" w:eastAsia="Times New Roman" w:hAnsi="Times New Roman" w:cs="Times New Roman"/>
          <w:bCs/>
          <w:sz w:val="16"/>
          <w:szCs w:val="16"/>
        </w:rPr>
        <w:t xml:space="preserve"> </w:t>
      </w:r>
      <w:r w:rsidRPr="00862B06">
        <w:rPr>
          <w:rFonts w:ascii="Times New Roman" w:eastAsia="Times New Roman" w:hAnsi="Times New Roman" w:cs="Times New Roman"/>
          <w:bCs/>
          <w:sz w:val="16"/>
          <w:szCs w:val="16"/>
        </w:rPr>
        <w:t xml:space="preserve">Legea pentru modificarea unor acte normative nr.175 din 11.11.2021. </w:t>
      </w:r>
      <w:r w:rsidRPr="00862B06">
        <w:rPr>
          <w:rFonts w:ascii="Times New Roman" w:hAnsi="Times New Roman" w:cs="Times New Roman"/>
          <w:sz w:val="16"/>
          <w:szCs w:val="16"/>
        </w:rPr>
        <w:t xml:space="preserve"> </w:t>
      </w:r>
    </w:p>
  </w:footnote>
  <w:footnote w:id="51">
    <w:p w14:paraId="538DBC34" w14:textId="77777777" w:rsidR="00CD219C" w:rsidRPr="0077171B" w:rsidRDefault="00CD219C" w:rsidP="005D39DA">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Pr>
          <w:rFonts w:ascii="Times New Roman" w:hAnsi="Times New Roman" w:cs="Times New Roman"/>
          <w:sz w:val="16"/>
          <w:szCs w:val="16"/>
          <w:lang w:val="ro-RO"/>
        </w:rPr>
        <w:t xml:space="preserve"> </w:t>
      </w:r>
      <w:r w:rsidRPr="0077171B">
        <w:rPr>
          <w:rFonts w:ascii="Times New Roman" w:hAnsi="Times New Roman" w:cs="Times New Roman"/>
          <w:sz w:val="16"/>
          <w:szCs w:val="16"/>
          <w:lang w:val="ro-RO"/>
        </w:rPr>
        <w:t>Renault Kadjar nr. HRE 854 a fost accidentat de 3 ori</w:t>
      </w:r>
      <w:r>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fiind cauzate pagube în sumă de 80,3 mii lei; Renault Kadjar nr. HRE 861 a fost accidentat de 3 ori</w:t>
      </w:r>
      <w:r>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fiind cauzate pagube în sumă de 44,6 mii lei; Chevrolet Captiva nr. CQR 523 a fost accidentat de 6 ori</w:t>
      </w:r>
      <w:r>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fiind cauzate pagube în sumă de 15,6 mii lei și Chevrolet Cruize nr. CPW 938 a fost accidentat de 2 ori</w:t>
      </w:r>
      <w:r>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fiind cauzate pagube în sumă de 4,7 mii lei, care au fost achitate din contul mijloacelor bugetare. </w:t>
      </w:r>
    </w:p>
  </w:footnote>
  <w:footnote w:id="52">
    <w:p w14:paraId="7F79E975" w14:textId="77777777" w:rsidR="00CD219C" w:rsidRPr="00D43D91" w:rsidRDefault="00CD219C" w:rsidP="00C968A4">
      <w:pPr>
        <w:pStyle w:val="FootnoteText"/>
        <w:jc w:val="both"/>
        <w:rPr>
          <w:rFonts w:ascii="Times New Roman" w:hAnsi="Times New Roman" w:cs="Times New Roman"/>
          <w:sz w:val="16"/>
          <w:szCs w:val="16"/>
          <w:lang w:val="ro-RO"/>
        </w:rPr>
      </w:pPr>
      <w:r w:rsidRPr="00D43D91">
        <w:rPr>
          <w:rStyle w:val="FootnoteReference"/>
          <w:rFonts w:ascii="Times New Roman" w:hAnsi="Times New Roman" w:cs="Times New Roman"/>
          <w:sz w:val="16"/>
          <w:szCs w:val="16"/>
          <w:lang w:val="ro-RO"/>
        </w:rPr>
        <w:footnoteRef/>
      </w:r>
      <w:r w:rsidRPr="00D43D91">
        <w:rPr>
          <w:rFonts w:ascii="Times New Roman" w:hAnsi="Times New Roman" w:cs="Times New Roman"/>
          <w:sz w:val="16"/>
          <w:szCs w:val="16"/>
          <w:lang w:val="ro-RO"/>
        </w:rPr>
        <w:t xml:space="preserve"> Pct.2, pct.5, pct.7, pct.8, pct.13 și pct.18 din Regulamentul cu privire la modul de planificare a contractelor de achiziții publice, aprobat prin HG nr.1419 din 28.12.2016 (în continuare – Regulamentul aprobat prin HG nr.1419 din 28.12.2016).</w:t>
      </w:r>
    </w:p>
  </w:footnote>
  <w:footnote w:id="53">
    <w:p w14:paraId="02FE3427" w14:textId="77777777" w:rsidR="00CD219C" w:rsidRPr="00372EAF" w:rsidRDefault="00CD219C" w:rsidP="00DA11DE">
      <w:pPr>
        <w:pStyle w:val="tt"/>
        <w:jc w:val="both"/>
        <w:rPr>
          <w:b w:val="0"/>
          <w:sz w:val="16"/>
          <w:szCs w:val="16"/>
          <w:lang w:val="ro-RO"/>
        </w:rPr>
      </w:pPr>
      <w:r w:rsidRPr="00DA11DE">
        <w:rPr>
          <w:rStyle w:val="FootnoteReference"/>
          <w:rFonts w:eastAsiaTheme="minorEastAsia"/>
          <w:b w:val="0"/>
          <w:sz w:val="16"/>
          <w:szCs w:val="16"/>
          <w:lang w:val="ro-RO"/>
        </w:rPr>
        <w:footnoteRef/>
      </w:r>
      <w:r w:rsidRPr="00DA11DE">
        <w:rPr>
          <w:b w:val="0"/>
          <w:sz w:val="16"/>
          <w:szCs w:val="16"/>
          <w:lang w:val="ro-RO"/>
        </w:rPr>
        <w:t xml:space="preserve"> Art.4 alin.(1) și alin. (2), art.39 alin. (1); art. 61 alin.(1) din Legea nr.131/2015 privind achizițiile publice; pct.1, pct.</w:t>
      </w:r>
      <w:r w:rsidRPr="00DA11DE">
        <w:rPr>
          <w:b w:val="0"/>
          <w:bCs w:val="0"/>
          <w:sz w:val="16"/>
          <w:szCs w:val="16"/>
          <w:lang w:val="ro-RO"/>
        </w:rPr>
        <w:t>5-</w:t>
      </w:r>
      <w:r w:rsidRPr="00DA11DE">
        <w:rPr>
          <w:b w:val="0"/>
          <w:sz w:val="16"/>
          <w:szCs w:val="16"/>
          <w:lang w:val="ro-RO"/>
        </w:rPr>
        <w:t>8</w:t>
      </w:r>
      <w:r w:rsidRPr="00DA11DE">
        <w:rPr>
          <w:b w:val="0"/>
          <w:bCs w:val="0"/>
          <w:sz w:val="16"/>
          <w:szCs w:val="16"/>
          <w:lang w:val="ro-RO"/>
        </w:rPr>
        <w:t xml:space="preserve"> </w:t>
      </w:r>
      <w:r w:rsidRPr="00DA11DE">
        <w:rPr>
          <w:b w:val="0"/>
          <w:sz w:val="16"/>
          <w:szCs w:val="16"/>
          <w:lang w:val="ro-RO"/>
        </w:rPr>
        <w:t>din Regulamentul aprobat prin HG nr.1419 din 28.12.2016; pct.17 din Regulamentul aprobat prin HG nr.667 din 27.05.2016.</w:t>
      </w:r>
    </w:p>
  </w:footnote>
  <w:footnote w:id="54">
    <w:p w14:paraId="6D237F60" w14:textId="77777777" w:rsidR="00CD219C" w:rsidRPr="0077171B" w:rsidRDefault="00CD219C" w:rsidP="0077171B">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Pr>
          <w:rFonts w:ascii="Times New Roman" w:hAnsi="Times New Roman" w:cs="Times New Roman"/>
          <w:sz w:val="16"/>
          <w:szCs w:val="16"/>
          <w:lang w:val="ro-RO"/>
        </w:rPr>
        <w:t xml:space="preserve"> </w:t>
      </w:r>
      <w:r w:rsidRPr="00DA11DE">
        <w:rPr>
          <w:rFonts w:ascii="Times New Roman" w:hAnsi="Times New Roman" w:cs="Times New Roman"/>
          <w:sz w:val="16"/>
          <w:szCs w:val="16"/>
          <w:lang w:val="ro-RO"/>
        </w:rPr>
        <w:t>Pct.18 din Regulamentul aprobat prin HG nr.1419 din 28.12.2016.</w:t>
      </w:r>
    </w:p>
  </w:footnote>
  <w:footnote w:id="55">
    <w:p w14:paraId="05DA8376" w14:textId="06F643BA" w:rsidR="00CD219C" w:rsidRPr="0077171B" w:rsidRDefault="00CD219C" w:rsidP="00DA11DE">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Planul de achiziții pe anul 2018 a fost publicat la 16.12.2019; planul de achiziții pe anul 2019 a fost publicat la 16.12.2019, iar cel modificat pe anul 2019 a fost publicat la 16.03.2020; planul de achiziții pe anul 2020 a fost publicat la 21.02.2020, iar planul de achiziții pe anul 2021 a fost publicat  la 05.03.2021.  </w:t>
      </w:r>
    </w:p>
  </w:footnote>
  <w:footnote w:id="56">
    <w:p w14:paraId="2AF1FA8B" w14:textId="3FC93E8D" w:rsidR="00CD219C" w:rsidRPr="0077171B" w:rsidRDefault="00CD219C" w:rsidP="00DA11DE">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Pct.1 din</w:t>
      </w:r>
      <w:r w:rsidRPr="00DA11DE">
        <w:rPr>
          <w:rFonts w:ascii="Times New Roman" w:hAnsi="Times New Roman" w:cs="Times New Roman"/>
          <w:sz w:val="16"/>
          <w:szCs w:val="16"/>
          <w:lang w:val="ro-RO"/>
        </w:rPr>
        <w:t xml:space="preserve"> Regulamentul aprobat prin HG nr.1419 din 28.12.2016.</w:t>
      </w:r>
      <w:r w:rsidRPr="0077171B">
        <w:rPr>
          <w:rFonts w:ascii="Times New Roman" w:hAnsi="Times New Roman" w:cs="Times New Roman"/>
          <w:sz w:val="16"/>
          <w:szCs w:val="16"/>
          <w:lang w:val="ro-RO"/>
        </w:rPr>
        <w:t xml:space="preserve"> </w:t>
      </w:r>
    </w:p>
  </w:footnote>
  <w:footnote w:id="57">
    <w:p w14:paraId="20257493" w14:textId="4208B1AB" w:rsidR="00CD219C" w:rsidRPr="0077171B" w:rsidRDefault="00CD219C" w:rsidP="0077171B">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Valoarea planificată a achizițiilor publice în sumă de </w:t>
      </w:r>
      <w:r w:rsidRPr="0077171B">
        <w:rPr>
          <w:rFonts w:ascii="Times New Roman" w:eastAsia="Calibri" w:hAnsi="Times New Roman" w:cs="Times New Roman"/>
          <w:sz w:val="16"/>
          <w:szCs w:val="16"/>
          <w:lang w:val="ro-RO"/>
        </w:rPr>
        <w:t>8209,1</w:t>
      </w:r>
      <w:r w:rsidRPr="0077171B">
        <w:rPr>
          <w:rFonts w:ascii="Times New Roman" w:hAnsi="Times New Roman" w:cs="Times New Roman"/>
          <w:sz w:val="16"/>
          <w:szCs w:val="16"/>
          <w:lang w:val="ro-RO"/>
        </w:rPr>
        <w:t xml:space="preserve"> mii lei (cu TVA).</w:t>
      </w:r>
    </w:p>
  </w:footnote>
  <w:footnote w:id="58">
    <w:p w14:paraId="57F5E938" w14:textId="77777777" w:rsidR="00CD219C" w:rsidRPr="0077171B" w:rsidRDefault="00CD219C" w:rsidP="00DA11DE">
      <w:pPr>
        <w:pStyle w:val="tt"/>
        <w:jc w:val="both"/>
        <w:rPr>
          <w:b w:val="0"/>
          <w:sz w:val="16"/>
          <w:szCs w:val="16"/>
          <w:lang w:val="ro-RO"/>
        </w:rPr>
      </w:pPr>
      <w:r w:rsidRPr="0077171B">
        <w:rPr>
          <w:rStyle w:val="FootnoteReference"/>
          <w:b w:val="0"/>
          <w:sz w:val="16"/>
          <w:szCs w:val="16"/>
          <w:lang w:val="ro-RO"/>
        </w:rPr>
        <w:footnoteRef/>
      </w:r>
      <w:r w:rsidRPr="0077171B">
        <w:rPr>
          <w:b w:val="0"/>
          <w:sz w:val="16"/>
          <w:szCs w:val="16"/>
          <w:lang w:val="ro-RO"/>
        </w:rPr>
        <w:t xml:space="preserve"> Art.4 alin. (1) și alin. (2) din Legea nr.131</w:t>
      </w:r>
      <w:r w:rsidRPr="0077171B">
        <w:rPr>
          <w:b w:val="0"/>
          <w:bCs w:val="0"/>
          <w:sz w:val="16"/>
          <w:szCs w:val="16"/>
          <w:lang w:val="ro-RO"/>
        </w:rPr>
        <w:t>/</w:t>
      </w:r>
      <w:r w:rsidRPr="0077171B">
        <w:rPr>
          <w:b w:val="0"/>
          <w:sz w:val="16"/>
          <w:szCs w:val="16"/>
          <w:lang w:val="ro-RO"/>
        </w:rPr>
        <w:t>2015</w:t>
      </w:r>
      <w:r w:rsidRPr="0077171B">
        <w:rPr>
          <w:b w:val="0"/>
          <w:bCs w:val="0"/>
          <w:sz w:val="16"/>
          <w:szCs w:val="16"/>
          <w:lang w:val="ro-RO"/>
        </w:rPr>
        <w:t xml:space="preserve"> privind achizițiile publice</w:t>
      </w:r>
      <w:r w:rsidRPr="0077171B">
        <w:rPr>
          <w:b w:val="0"/>
          <w:sz w:val="16"/>
          <w:szCs w:val="16"/>
          <w:lang w:val="ro-RO"/>
        </w:rPr>
        <w:t>; pct.1, pct.</w:t>
      </w:r>
      <w:r w:rsidRPr="0077171B">
        <w:rPr>
          <w:b w:val="0"/>
          <w:bCs w:val="0"/>
          <w:sz w:val="16"/>
          <w:szCs w:val="16"/>
          <w:lang w:val="ro-RO"/>
        </w:rPr>
        <w:t>5-</w:t>
      </w:r>
      <w:r w:rsidRPr="0077171B">
        <w:rPr>
          <w:b w:val="0"/>
          <w:sz w:val="16"/>
          <w:szCs w:val="16"/>
          <w:lang w:val="ro-RO"/>
        </w:rPr>
        <w:t>8 și</w:t>
      </w:r>
      <w:r w:rsidRPr="0077171B">
        <w:rPr>
          <w:b w:val="0"/>
          <w:bCs w:val="0"/>
          <w:sz w:val="16"/>
          <w:szCs w:val="16"/>
          <w:lang w:val="ro-RO"/>
        </w:rPr>
        <w:t xml:space="preserve"> </w:t>
      </w:r>
      <w:r w:rsidRPr="0077171B">
        <w:rPr>
          <w:b w:val="0"/>
          <w:sz w:val="16"/>
          <w:szCs w:val="16"/>
          <w:lang w:val="ro-RO"/>
        </w:rPr>
        <w:t>pct.13</w:t>
      </w:r>
      <w:r w:rsidRPr="0077171B">
        <w:rPr>
          <w:b w:val="0"/>
          <w:bCs w:val="0"/>
          <w:sz w:val="16"/>
          <w:szCs w:val="16"/>
          <w:lang w:val="ro-RO"/>
        </w:rPr>
        <w:t xml:space="preserve"> </w:t>
      </w:r>
      <w:r w:rsidRPr="0077171B">
        <w:rPr>
          <w:b w:val="0"/>
          <w:sz w:val="16"/>
          <w:szCs w:val="16"/>
          <w:lang w:val="ro-RO"/>
        </w:rPr>
        <w:t>din Regulamentul aprobat prin HG nr.1419 din 28.12.2016.</w:t>
      </w:r>
    </w:p>
  </w:footnote>
  <w:footnote w:id="59">
    <w:p w14:paraId="1000DD91" w14:textId="26718E1A" w:rsidR="00CD219C" w:rsidRPr="0077171B" w:rsidRDefault="00CD219C" w:rsidP="00DA11DE">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w:t>
      </w:r>
      <w:r w:rsidRPr="0077171B">
        <w:rPr>
          <w:rFonts w:ascii="Times New Roman" w:eastAsia="Calibri" w:hAnsi="Times New Roman" w:cs="Times New Roman"/>
          <w:sz w:val="16"/>
          <w:szCs w:val="16"/>
          <w:lang w:val="ro-RO"/>
        </w:rPr>
        <w:t xml:space="preserve">CNPDCP a încheiat 200 </w:t>
      </w:r>
      <w:r>
        <w:rPr>
          <w:rFonts w:ascii="Times New Roman" w:eastAsia="Calibri" w:hAnsi="Times New Roman" w:cs="Times New Roman"/>
          <w:sz w:val="16"/>
          <w:szCs w:val="16"/>
          <w:lang w:val="ro-RO"/>
        </w:rPr>
        <w:t xml:space="preserve">de </w:t>
      </w:r>
      <w:r w:rsidRPr="0077171B">
        <w:rPr>
          <w:rFonts w:ascii="Times New Roman" w:eastAsia="Calibri" w:hAnsi="Times New Roman" w:cs="Times New Roman"/>
          <w:sz w:val="16"/>
          <w:szCs w:val="16"/>
          <w:lang w:val="ro-RO"/>
        </w:rPr>
        <w:t>contracte de achiziții în sumă totală de 6</w:t>
      </w:r>
      <w:r>
        <w:rPr>
          <w:rFonts w:ascii="Times New Roman" w:eastAsia="Calibri" w:hAnsi="Times New Roman" w:cs="Times New Roman"/>
          <w:sz w:val="16"/>
          <w:szCs w:val="16"/>
          <w:lang w:val="ro-RO"/>
        </w:rPr>
        <w:t>.</w:t>
      </w:r>
      <w:r w:rsidRPr="0077171B">
        <w:rPr>
          <w:rFonts w:ascii="Times New Roman" w:eastAsia="Calibri" w:hAnsi="Times New Roman" w:cs="Times New Roman"/>
          <w:sz w:val="16"/>
          <w:szCs w:val="16"/>
          <w:lang w:val="ro-RO"/>
        </w:rPr>
        <w:t>512,0</w:t>
      </w:r>
      <w:r w:rsidRPr="0077171B">
        <w:rPr>
          <w:rFonts w:ascii="Times New Roman" w:hAnsi="Times New Roman" w:cs="Times New Roman"/>
          <w:color w:val="000000"/>
          <w:sz w:val="16"/>
          <w:szCs w:val="16"/>
          <w:lang w:val="ro-RO"/>
        </w:rPr>
        <w:t xml:space="preserve"> </w:t>
      </w:r>
      <w:r w:rsidRPr="0077171B">
        <w:rPr>
          <w:rFonts w:ascii="Times New Roman" w:eastAsia="Calibri" w:hAnsi="Times New Roman" w:cs="Times New Roman"/>
          <w:sz w:val="16"/>
          <w:szCs w:val="16"/>
          <w:lang w:val="ro-RO"/>
        </w:rPr>
        <w:t>mii lei, inclusiv 3 proceduri de negociere fără publicare în valoare de 984,7 mii lei; o</w:t>
      </w:r>
      <w:r w:rsidRPr="0077171B">
        <w:rPr>
          <w:rFonts w:ascii="Times New Roman" w:eastAsia="Calibri" w:hAnsi="Times New Roman" w:cs="Times New Roman"/>
          <w:color w:val="FF0000"/>
          <w:sz w:val="16"/>
          <w:szCs w:val="16"/>
          <w:lang w:val="ro-RO"/>
        </w:rPr>
        <w:t xml:space="preserve"> </w:t>
      </w:r>
      <w:r w:rsidRPr="0077171B">
        <w:rPr>
          <w:rFonts w:ascii="Times New Roman" w:eastAsia="Calibri" w:hAnsi="Times New Roman" w:cs="Times New Roman"/>
          <w:sz w:val="16"/>
          <w:szCs w:val="16"/>
          <w:lang w:val="ro-RO"/>
        </w:rPr>
        <w:t>procedură prin cererea ofertelor de prețuri – de 45,1 mii lei; o procedură prin acord</w:t>
      </w:r>
      <w:r>
        <w:rPr>
          <w:rFonts w:ascii="Times New Roman" w:eastAsia="Calibri" w:hAnsi="Times New Roman" w:cs="Times New Roman"/>
          <w:sz w:val="16"/>
          <w:szCs w:val="16"/>
          <w:lang w:val="ro-RO"/>
        </w:rPr>
        <w:t>-</w:t>
      </w:r>
      <w:r w:rsidRPr="0077171B">
        <w:rPr>
          <w:rFonts w:ascii="Times New Roman" w:eastAsia="Calibri" w:hAnsi="Times New Roman" w:cs="Times New Roman"/>
          <w:sz w:val="16"/>
          <w:szCs w:val="16"/>
          <w:lang w:val="ro-RO"/>
        </w:rPr>
        <w:t>cadru –</w:t>
      </w:r>
      <w:r>
        <w:rPr>
          <w:rFonts w:ascii="Times New Roman" w:eastAsia="Calibri" w:hAnsi="Times New Roman" w:cs="Times New Roman"/>
          <w:sz w:val="16"/>
          <w:szCs w:val="16"/>
          <w:lang w:val="ro-RO"/>
        </w:rPr>
        <w:t xml:space="preserve"> </w:t>
      </w:r>
      <w:r w:rsidRPr="0077171B">
        <w:rPr>
          <w:rFonts w:ascii="Times New Roman" w:eastAsia="Calibri" w:hAnsi="Times New Roman" w:cs="Times New Roman"/>
          <w:sz w:val="16"/>
          <w:szCs w:val="16"/>
          <w:lang w:val="ro-RO"/>
        </w:rPr>
        <w:t>de 96,8 mii lei</w:t>
      </w:r>
      <w:r>
        <w:rPr>
          <w:rFonts w:ascii="Times New Roman" w:eastAsia="Calibri" w:hAnsi="Times New Roman" w:cs="Times New Roman"/>
          <w:sz w:val="16"/>
          <w:szCs w:val="16"/>
          <w:lang w:val="ro-RO"/>
        </w:rPr>
        <w:t>,</w:t>
      </w:r>
      <w:r w:rsidRPr="0077171B">
        <w:rPr>
          <w:rFonts w:ascii="Times New Roman" w:eastAsia="Calibri" w:hAnsi="Times New Roman" w:cs="Times New Roman"/>
          <w:sz w:val="16"/>
          <w:szCs w:val="16"/>
          <w:lang w:val="ro-RO"/>
        </w:rPr>
        <w:t xml:space="preserve"> și 195 de proceduri-achiziții de valoare mică în sumă totală de 5</w:t>
      </w:r>
      <w:r>
        <w:rPr>
          <w:rFonts w:ascii="Times New Roman" w:eastAsia="Calibri" w:hAnsi="Times New Roman" w:cs="Times New Roman"/>
          <w:sz w:val="16"/>
          <w:szCs w:val="16"/>
          <w:lang w:val="ro-RO"/>
        </w:rPr>
        <w:t>.</w:t>
      </w:r>
      <w:r w:rsidRPr="0077171B">
        <w:rPr>
          <w:rFonts w:ascii="Times New Roman" w:eastAsia="Calibri" w:hAnsi="Times New Roman" w:cs="Times New Roman"/>
          <w:sz w:val="16"/>
          <w:szCs w:val="16"/>
          <w:lang w:val="ro-RO"/>
        </w:rPr>
        <w:t>385,4 mii lei.</w:t>
      </w:r>
    </w:p>
  </w:footnote>
  <w:footnote w:id="60">
    <w:p w14:paraId="0C40BD73" w14:textId="77777777" w:rsidR="00CD219C" w:rsidRPr="0077171B" w:rsidRDefault="00CD219C" w:rsidP="00DA11DE">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Pct.13 din</w:t>
      </w:r>
      <w:r w:rsidRPr="00DA11DE">
        <w:rPr>
          <w:rFonts w:ascii="Times New Roman" w:hAnsi="Times New Roman" w:cs="Times New Roman"/>
          <w:sz w:val="16"/>
          <w:szCs w:val="16"/>
          <w:lang w:val="ro-RO"/>
        </w:rPr>
        <w:t xml:space="preserve"> Regulamentul aprobat prin HG nr.1419 din 28.12.2016.</w:t>
      </w:r>
      <w:r w:rsidRPr="0077171B">
        <w:rPr>
          <w:rFonts w:ascii="Times New Roman" w:hAnsi="Times New Roman" w:cs="Times New Roman"/>
          <w:sz w:val="16"/>
          <w:szCs w:val="16"/>
          <w:lang w:val="ro-RO"/>
        </w:rPr>
        <w:t xml:space="preserve"> </w:t>
      </w:r>
    </w:p>
  </w:footnote>
  <w:footnote w:id="61">
    <w:p w14:paraId="2AB099FA" w14:textId="6007AB69" w:rsidR="00CD219C" w:rsidRPr="0077171B" w:rsidRDefault="00CD219C" w:rsidP="0077171B">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Buget precizat pe anii 2018-2022 în sumă de 11</w:t>
      </w:r>
      <w:r>
        <w:rPr>
          <w:rFonts w:ascii="Times New Roman" w:hAnsi="Times New Roman" w:cs="Times New Roman"/>
          <w:sz w:val="16"/>
          <w:szCs w:val="16"/>
          <w:lang w:val="ro-RO"/>
        </w:rPr>
        <w:t>.</w:t>
      </w:r>
      <w:r w:rsidRPr="0077171B">
        <w:rPr>
          <w:rFonts w:ascii="Times New Roman" w:hAnsi="Times New Roman" w:cs="Times New Roman"/>
          <w:sz w:val="16"/>
          <w:szCs w:val="16"/>
          <w:lang w:val="ro-RO"/>
        </w:rPr>
        <w:t>441,4 mii lei, inclusiv „Servicii” în sumă de 7</w:t>
      </w:r>
      <w:r>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451,1 mii lei și active nefinanciare </w:t>
      </w:r>
      <w:r>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de 3</w:t>
      </w:r>
      <w:r>
        <w:rPr>
          <w:rFonts w:ascii="Times New Roman" w:hAnsi="Times New Roman" w:cs="Times New Roman"/>
          <w:sz w:val="16"/>
          <w:szCs w:val="16"/>
          <w:lang w:val="ro-RO"/>
        </w:rPr>
        <w:t>.</w:t>
      </w:r>
      <w:r w:rsidRPr="0077171B">
        <w:rPr>
          <w:rFonts w:ascii="Times New Roman" w:hAnsi="Times New Roman" w:cs="Times New Roman"/>
          <w:sz w:val="16"/>
          <w:szCs w:val="16"/>
          <w:lang w:val="ro-RO"/>
        </w:rPr>
        <w:t>990,3 mii lei</w:t>
      </w:r>
      <w:r>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w:t>
      </w:r>
    </w:p>
  </w:footnote>
  <w:footnote w:id="62">
    <w:p w14:paraId="540FE44F" w14:textId="59415ED6" w:rsidR="00CD219C" w:rsidRPr="0077171B" w:rsidRDefault="00CD219C" w:rsidP="00811AA0">
      <w:pPr>
        <w:spacing w:after="0" w:line="240" w:lineRule="auto"/>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P</w:t>
      </w:r>
      <w:r w:rsidRPr="0077171B">
        <w:rPr>
          <w:rFonts w:ascii="Times New Roman" w:eastAsia="Calibri" w:hAnsi="Times New Roman" w:cs="Times New Roman"/>
          <w:color w:val="000000"/>
          <w:sz w:val="16"/>
          <w:szCs w:val="16"/>
          <w:lang w:val="ro-RO"/>
        </w:rPr>
        <w:t>ct.4; pct.13 și pct.14</w:t>
      </w:r>
      <w:r w:rsidRPr="0077171B">
        <w:rPr>
          <w:rFonts w:ascii="Times New Roman" w:hAnsi="Times New Roman" w:cs="Times New Roman"/>
          <w:sz w:val="16"/>
          <w:szCs w:val="16"/>
          <w:lang w:val="ro-RO"/>
        </w:rPr>
        <w:t xml:space="preserve"> din Regulamentului cu privire la achizițiile publice de valoare mică, aprobat prin H</w:t>
      </w:r>
      <w:r>
        <w:rPr>
          <w:rFonts w:ascii="Times New Roman" w:hAnsi="Times New Roman" w:cs="Times New Roman"/>
          <w:sz w:val="16"/>
          <w:szCs w:val="16"/>
          <w:lang w:val="ro-RO"/>
        </w:rPr>
        <w:t>G</w:t>
      </w:r>
      <w:r w:rsidRPr="0077171B">
        <w:rPr>
          <w:rFonts w:ascii="Times New Roman" w:hAnsi="Times New Roman" w:cs="Times New Roman"/>
          <w:sz w:val="16"/>
          <w:szCs w:val="16"/>
          <w:lang w:val="ro-RO"/>
        </w:rPr>
        <w:t xml:space="preserve">  nr.665  din 27.05.2016.</w:t>
      </w:r>
    </w:p>
  </w:footnote>
  <w:footnote w:id="63">
    <w:p w14:paraId="00B69866" w14:textId="1A55945E" w:rsidR="00CD219C" w:rsidRPr="0077171B" w:rsidRDefault="00CD219C" w:rsidP="00811AA0">
      <w:pPr>
        <w:spacing w:after="0" w:line="240" w:lineRule="auto"/>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P</w:t>
      </w:r>
      <w:r w:rsidRPr="0077171B">
        <w:rPr>
          <w:rFonts w:ascii="Times New Roman" w:eastAsia="Calibri" w:hAnsi="Times New Roman" w:cs="Times New Roman"/>
          <w:color w:val="000000"/>
          <w:sz w:val="16"/>
          <w:szCs w:val="16"/>
          <w:lang w:val="ro-RO"/>
        </w:rPr>
        <w:t>ct.12</w:t>
      </w:r>
      <w:r w:rsidRPr="0077171B">
        <w:rPr>
          <w:rFonts w:ascii="Times New Roman" w:hAnsi="Times New Roman" w:cs="Times New Roman"/>
          <w:sz w:val="16"/>
          <w:szCs w:val="16"/>
          <w:lang w:val="ro-RO"/>
        </w:rPr>
        <w:t xml:space="preserve"> din Regulamentul cu privire la achizițiile publice de valoare mică, aprobat prin H</w:t>
      </w:r>
      <w:r>
        <w:rPr>
          <w:rFonts w:ascii="Times New Roman" w:hAnsi="Times New Roman" w:cs="Times New Roman"/>
          <w:sz w:val="16"/>
          <w:szCs w:val="16"/>
          <w:lang w:val="ro-RO"/>
        </w:rPr>
        <w:t>G</w:t>
      </w:r>
      <w:r w:rsidRPr="0077171B">
        <w:rPr>
          <w:rFonts w:ascii="Times New Roman" w:hAnsi="Times New Roman" w:cs="Times New Roman"/>
          <w:sz w:val="16"/>
          <w:szCs w:val="16"/>
          <w:lang w:val="ro-RO"/>
        </w:rPr>
        <w:t xml:space="preserve"> nr.665 din 27.05.2016.</w:t>
      </w:r>
    </w:p>
  </w:footnote>
  <w:footnote w:id="64">
    <w:p w14:paraId="78013188" w14:textId="7C8C2936" w:rsidR="00CD219C" w:rsidRPr="006D3B6A" w:rsidRDefault="00CD219C" w:rsidP="00811AA0">
      <w:pPr>
        <w:pStyle w:val="FootnoteText"/>
        <w:jc w:val="both"/>
        <w:rPr>
          <w:rFonts w:ascii="Times New Roman" w:hAnsi="Times New Roman" w:cs="Times New Roman"/>
          <w:sz w:val="16"/>
          <w:szCs w:val="16"/>
          <w:lang w:val="ro-RO"/>
        </w:rPr>
      </w:pPr>
      <w:r w:rsidRPr="00E97C76">
        <w:rPr>
          <w:rStyle w:val="FootnoteReference"/>
          <w:rFonts w:ascii="Times New Roman" w:hAnsi="Times New Roman" w:cs="Times New Roman"/>
          <w:sz w:val="16"/>
          <w:szCs w:val="16"/>
          <w:lang w:val="ro-RO"/>
        </w:rPr>
        <w:footnoteRef/>
      </w:r>
      <w:r w:rsidRPr="00E97C76">
        <w:rPr>
          <w:rFonts w:ascii="Times New Roman" w:hAnsi="Times New Roman" w:cs="Times New Roman"/>
          <w:sz w:val="16"/>
          <w:szCs w:val="16"/>
          <w:lang w:val="ro-RO"/>
        </w:rPr>
        <w:t xml:space="preserve"> H</w:t>
      </w:r>
      <w:r>
        <w:rPr>
          <w:rFonts w:ascii="Times New Roman" w:hAnsi="Times New Roman" w:cs="Times New Roman"/>
          <w:sz w:val="16"/>
          <w:szCs w:val="16"/>
          <w:lang w:val="ro-RO"/>
        </w:rPr>
        <w:t>G</w:t>
      </w:r>
      <w:r w:rsidRPr="00E97C76">
        <w:rPr>
          <w:rFonts w:ascii="Times New Roman" w:hAnsi="Times New Roman" w:cs="Times New Roman"/>
          <w:sz w:val="16"/>
          <w:szCs w:val="16"/>
          <w:lang w:val="ro-RO"/>
        </w:rPr>
        <w:t xml:space="preserve"> nr.986 din 10.10.2018 „Cu privire la aprobarea Regulamentului privind modul de ținere a Registrului de stat al achizițiilor publice </w:t>
      </w:r>
      <w:r w:rsidRPr="006D3B6A">
        <w:rPr>
          <w:rFonts w:ascii="Times New Roman" w:hAnsi="Times New Roman" w:cs="Times New Roman"/>
          <w:sz w:val="16"/>
          <w:szCs w:val="16"/>
          <w:lang w:val="ro-RO"/>
        </w:rPr>
        <w:t>format de Sistemul informațional automatizat „Registrul de stat al achizițiilor publice” (MTender)”. H</w:t>
      </w:r>
      <w:r>
        <w:rPr>
          <w:rFonts w:ascii="Times New Roman" w:hAnsi="Times New Roman" w:cs="Times New Roman"/>
          <w:sz w:val="16"/>
          <w:szCs w:val="16"/>
          <w:lang w:val="ro-RO"/>
        </w:rPr>
        <w:t>G</w:t>
      </w:r>
      <w:r w:rsidRPr="006D3B6A">
        <w:rPr>
          <w:rFonts w:ascii="Times New Roman" w:hAnsi="Times New Roman" w:cs="Times New Roman"/>
          <w:sz w:val="16"/>
          <w:szCs w:val="16"/>
          <w:lang w:val="ro-RO"/>
        </w:rPr>
        <w:t xml:space="preserve"> nr.705 din 11.07.2018 „Cu privire la aprobarea Conceptului tehnic al Sistemului informațional automatizat „Registrul de stat al achizițiilor publice” (MTender)”.</w:t>
      </w:r>
    </w:p>
  </w:footnote>
  <w:footnote w:id="65">
    <w:p w14:paraId="60D61C40" w14:textId="6A62A772" w:rsidR="00CD219C" w:rsidRPr="0077171B" w:rsidRDefault="00CD219C" w:rsidP="0077171B">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Art.76 alin</w:t>
      </w:r>
      <w:r w:rsidRPr="006D3B6A">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(1) din Legea nr. 131 din 03.07.2015 privind achizițiile publice și pct.14 din Regulamentul cu privire la modul de planificare a contractelor de achiziții publice nr.1419 din 28.12.2016.</w:t>
      </w:r>
    </w:p>
  </w:footnote>
  <w:footnote w:id="66">
    <w:p w14:paraId="1106B392" w14:textId="77777777" w:rsidR="00CD219C" w:rsidRPr="0077171B" w:rsidRDefault="00CD219C" w:rsidP="00811AA0">
      <w:pPr>
        <w:pStyle w:val="FootnoteText"/>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Art.39 alin</w:t>
      </w:r>
      <w:r>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(1) din Legea nr. 131 din 03.07.2015 privind achizițiile publice.</w:t>
      </w:r>
    </w:p>
  </w:footnote>
  <w:footnote w:id="67">
    <w:p w14:paraId="4923A63B" w14:textId="36F33290" w:rsidR="00CD219C" w:rsidRPr="00CB4262" w:rsidRDefault="00CD219C" w:rsidP="00811AA0">
      <w:pPr>
        <w:pStyle w:val="FootnoteText"/>
        <w:jc w:val="both"/>
        <w:rPr>
          <w:rFonts w:ascii="Times New Roman" w:hAnsi="Times New Roman" w:cs="Times New Roman"/>
          <w:sz w:val="16"/>
          <w:szCs w:val="16"/>
          <w:lang w:val="ro-RO"/>
        </w:rPr>
      </w:pPr>
      <w:r w:rsidRPr="00CB4262">
        <w:rPr>
          <w:rStyle w:val="FootnoteReference"/>
          <w:rFonts w:ascii="Times New Roman" w:hAnsi="Times New Roman" w:cs="Times New Roman"/>
          <w:sz w:val="16"/>
          <w:szCs w:val="16"/>
          <w:lang w:val="ro-RO"/>
        </w:rPr>
        <w:footnoteRef/>
      </w:r>
      <w:r w:rsidRPr="00CB4262">
        <w:rPr>
          <w:rFonts w:ascii="Times New Roman" w:hAnsi="Times New Roman" w:cs="Times New Roman"/>
          <w:sz w:val="16"/>
          <w:szCs w:val="16"/>
          <w:lang w:val="ro-RO"/>
        </w:rPr>
        <w:t xml:space="preserve"> H</w:t>
      </w:r>
      <w:r>
        <w:rPr>
          <w:rFonts w:ascii="Times New Roman" w:hAnsi="Times New Roman" w:cs="Times New Roman"/>
          <w:sz w:val="16"/>
          <w:szCs w:val="16"/>
          <w:lang w:val="ro-RO"/>
        </w:rPr>
        <w:t>G</w:t>
      </w:r>
      <w:r w:rsidRPr="00CB4262">
        <w:rPr>
          <w:rFonts w:ascii="Times New Roman" w:hAnsi="Times New Roman" w:cs="Times New Roman"/>
          <w:sz w:val="16"/>
          <w:szCs w:val="16"/>
          <w:lang w:val="ro-RO"/>
        </w:rPr>
        <w:t xml:space="preserve"> nr.986 din 10.10.2018 „Cu privire la aprobarea Regulamentului privind modul de ținere a Registrului de stat al achizițiilor publice format de Sistemul informațional automatizat „Registrul de stat al achizițiilor publice” (MTender)”. H</w:t>
      </w:r>
      <w:r>
        <w:rPr>
          <w:rFonts w:ascii="Times New Roman" w:hAnsi="Times New Roman" w:cs="Times New Roman"/>
          <w:sz w:val="16"/>
          <w:szCs w:val="16"/>
          <w:lang w:val="ro-RO"/>
        </w:rPr>
        <w:t>G</w:t>
      </w:r>
      <w:r w:rsidRPr="00CB4262">
        <w:rPr>
          <w:rFonts w:ascii="Times New Roman" w:hAnsi="Times New Roman" w:cs="Times New Roman"/>
          <w:sz w:val="16"/>
          <w:szCs w:val="16"/>
          <w:lang w:val="ro-RO"/>
        </w:rPr>
        <w:t xml:space="preserve"> nr.705 din 11.07.2018 „Cu privire la aprobarea Conceptului tehnic al Sistemului informațional automatizat „Registrul de stat al achizițiilor publice” (MTender)”.</w:t>
      </w:r>
    </w:p>
  </w:footnote>
  <w:footnote w:id="68">
    <w:p w14:paraId="77ACF621" w14:textId="3A7FD8E9" w:rsidR="00CD219C" w:rsidRPr="0077171B" w:rsidRDefault="00CD219C" w:rsidP="00811AA0">
      <w:pPr>
        <w:spacing w:after="0" w:line="240" w:lineRule="auto"/>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Pr>
          <w:rFonts w:ascii="Times New Roman" w:hAnsi="Times New Roman" w:cs="Times New Roman"/>
          <w:sz w:val="16"/>
          <w:szCs w:val="16"/>
          <w:lang w:val="ro-RO"/>
        </w:rPr>
        <w:t xml:space="preserve"> </w:t>
      </w:r>
      <w:r w:rsidRPr="0077171B">
        <w:rPr>
          <w:rFonts w:ascii="Times New Roman" w:hAnsi="Times New Roman" w:cs="Times New Roman"/>
          <w:sz w:val="16"/>
          <w:szCs w:val="16"/>
          <w:lang w:val="ro-RO"/>
        </w:rPr>
        <w:t xml:space="preserve">Pct.124 alin.(4) din Regulamentul cu privire la achizițiile publice folosind procedura de negociere, aprobat prin HG nr. 668  din  27.05.2016; pct.137 alin.(4), 142, 143, 144 și 151 din </w:t>
      </w:r>
      <w:r w:rsidRPr="0077171B">
        <w:rPr>
          <w:rFonts w:ascii="Times New Roman" w:eastAsia="Times New Roman" w:hAnsi="Times New Roman" w:cs="Times New Roman"/>
          <w:bCs/>
          <w:sz w:val="16"/>
          <w:szCs w:val="16"/>
          <w:lang w:val="ro-RO"/>
        </w:rPr>
        <w:t xml:space="preserve">Regulamentul cu privire la achizițiile publice folosind procedura de negociere, aprobat prin </w:t>
      </w:r>
      <w:r w:rsidRPr="0077171B">
        <w:rPr>
          <w:rFonts w:ascii="Times New Roman" w:hAnsi="Times New Roman" w:cs="Times New Roman"/>
          <w:sz w:val="16"/>
          <w:szCs w:val="16"/>
          <w:lang w:val="ro-RO"/>
        </w:rPr>
        <w:t>H</w:t>
      </w:r>
      <w:r>
        <w:rPr>
          <w:rFonts w:ascii="Times New Roman" w:hAnsi="Times New Roman" w:cs="Times New Roman"/>
          <w:sz w:val="16"/>
          <w:szCs w:val="16"/>
          <w:lang w:val="ro-RO"/>
        </w:rPr>
        <w:t>G</w:t>
      </w:r>
      <w:r w:rsidRPr="0077171B">
        <w:rPr>
          <w:rFonts w:ascii="Times New Roman" w:hAnsi="Times New Roman" w:cs="Times New Roman"/>
          <w:sz w:val="16"/>
          <w:szCs w:val="16"/>
          <w:lang w:val="ro-RO"/>
        </w:rPr>
        <w:t xml:space="preserve"> nr.599 din 12.08.2020</w:t>
      </w:r>
      <w:r w:rsidRPr="0077171B">
        <w:rPr>
          <w:rFonts w:ascii="Times New Roman" w:eastAsia="Times New Roman" w:hAnsi="Times New Roman" w:cs="Times New Roman"/>
          <w:bCs/>
          <w:sz w:val="16"/>
          <w:szCs w:val="16"/>
          <w:lang w:val="ro-RO"/>
        </w:rPr>
        <w:t>.</w:t>
      </w:r>
    </w:p>
  </w:footnote>
  <w:footnote w:id="69">
    <w:p w14:paraId="416B41E1" w14:textId="77777777" w:rsidR="00CD219C" w:rsidRPr="0077171B" w:rsidRDefault="00CD219C" w:rsidP="00811AA0">
      <w:pPr>
        <w:spacing w:after="0" w:line="240" w:lineRule="auto"/>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Art.7 din Legea nr.131 din 03.07.2015 privind achizițiile publice.</w:t>
      </w:r>
    </w:p>
  </w:footnote>
  <w:footnote w:id="70">
    <w:p w14:paraId="4ACB322C" w14:textId="0C7E264F" w:rsidR="00CD219C" w:rsidRPr="0077171B" w:rsidRDefault="00CD219C" w:rsidP="00431276">
      <w:pPr>
        <w:spacing w:after="0" w:line="240" w:lineRule="auto"/>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Art.11 și art.25 din Legea nr.181 din 25.07.2014; Legea privind controlul financiar public intern nr.229 din 23.09.2010; pct. 693 din Setul metodologic privind elaborarea, aprobarea și modificarea bugetului, aprobat prin Ordinul ministrului </w:t>
      </w:r>
      <w:r>
        <w:rPr>
          <w:rFonts w:ascii="Times New Roman" w:hAnsi="Times New Roman" w:cs="Times New Roman"/>
          <w:sz w:val="16"/>
          <w:szCs w:val="16"/>
          <w:lang w:val="ro-RO"/>
        </w:rPr>
        <w:t>F</w:t>
      </w:r>
      <w:r w:rsidRPr="0077171B">
        <w:rPr>
          <w:rFonts w:ascii="Times New Roman" w:hAnsi="Times New Roman" w:cs="Times New Roman"/>
          <w:sz w:val="16"/>
          <w:szCs w:val="16"/>
          <w:lang w:val="ro-RO"/>
        </w:rPr>
        <w:t>inanțelor nr.209 din 24.12.2015.</w:t>
      </w:r>
    </w:p>
  </w:footnote>
  <w:footnote w:id="71">
    <w:p w14:paraId="7050AF3A" w14:textId="5E904BBC" w:rsidR="00CD219C" w:rsidRPr="0077171B" w:rsidRDefault="00CD219C" w:rsidP="00676D68">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Legea cu privire la asigurarea obligatorie de răspundere civilă pentru pagube produse de autovehicule nr.414-XVI din 22.12.2006; Legea privind asigurarea obligatorie de răspundere civilă auto pentru pagube produse de vehicule nr.106 din 21.04.2022.</w:t>
      </w:r>
    </w:p>
  </w:footnote>
  <w:footnote w:id="72">
    <w:p w14:paraId="625F3DD4" w14:textId="77777777" w:rsidR="00CD219C" w:rsidRPr="0077171B" w:rsidRDefault="00CD219C" w:rsidP="00676D68">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C.A. Donaris Viena Insurance Group S.A.</w:t>
      </w:r>
    </w:p>
  </w:footnote>
  <w:footnote w:id="73">
    <w:p w14:paraId="7AD3CE4C" w14:textId="77777777" w:rsidR="00CD219C" w:rsidRPr="0077171B" w:rsidRDefault="00CD219C" w:rsidP="0034525C">
      <w:pPr>
        <w:pStyle w:val="FootnoteText"/>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Renault Kadjar nr. HRE 854; Renault Kadjar nr. HRE 861; Chevrolet Captiva nr. CQR 523 și Chevrolet Cruize nr. CPW 938.</w:t>
      </w:r>
    </w:p>
  </w:footnote>
  <w:footnote w:id="74">
    <w:p w14:paraId="2A9E231C" w14:textId="77777777" w:rsidR="00CD219C" w:rsidRPr="0077171B" w:rsidRDefault="00CD219C" w:rsidP="003D01CC">
      <w:pPr>
        <w:pStyle w:val="FootnoteText"/>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C.A. Donaris Viena Insurance Group S.A.</w:t>
      </w:r>
    </w:p>
  </w:footnote>
  <w:footnote w:id="75">
    <w:p w14:paraId="0FB5B96C" w14:textId="77777777" w:rsidR="00CD219C" w:rsidRPr="00862B06" w:rsidRDefault="00CD219C" w:rsidP="001E6E35">
      <w:pPr>
        <w:pStyle w:val="FootnoteText"/>
        <w:jc w:val="both"/>
        <w:rPr>
          <w:rFonts w:ascii="Times New Roman" w:hAnsi="Times New Roman" w:cs="Times New Roman"/>
          <w:sz w:val="16"/>
          <w:szCs w:val="16"/>
        </w:rPr>
      </w:pPr>
      <w:r w:rsidRPr="00862B06">
        <w:rPr>
          <w:rStyle w:val="FootnoteReference"/>
          <w:rFonts w:ascii="Times New Roman" w:hAnsi="Times New Roman" w:cs="Times New Roman"/>
          <w:sz w:val="16"/>
          <w:szCs w:val="16"/>
        </w:rPr>
        <w:footnoteRef/>
      </w:r>
      <w:r w:rsidRPr="00862B06">
        <w:rPr>
          <w:rFonts w:ascii="Times New Roman" w:hAnsi="Times New Roman" w:cs="Times New Roman"/>
          <w:sz w:val="16"/>
          <w:szCs w:val="16"/>
        </w:rPr>
        <w:t xml:space="preserve">Autoturismul Renault Kadjar nr.HRE 854 a fost accidentat de 3 ori fiind cauzate pagube în sumă de 80,3 mii lei; Renault Kadjar nr. HRE 861 a fost accidentat de 3 ori fiind cauzate pagube în sumă de 44,6 mii lei; Chevrolet Captiva nr. CQR 523 a fost accidentat de 6 ori fiind cauzate pagube în sumă de 15,9 mii lei și Chevrolet Cruize nr. CPW 938 a fost accidentat de 2 ori fiind cauzate pagube în sumă de 4,7 mii lei. </w:t>
      </w:r>
    </w:p>
  </w:footnote>
  <w:footnote w:id="76">
    <w:p w14:paraId="49972C51" w14:textId="77777777" w:rsidR="00CD219C" w:rsidRPr="00862B06" w:rsidRDefault="00CD219C" w:rsidP="001413F9">
      <w:pPr>
        <w:spacing w:after="0" w:line="240" w:lineRule="auto"/>
        <w:rPr>
          <w:rFonts w:ascii="Times New Roman" w:hAnsi="Times New Roman" w:cs="Times New Roman"/>
        </w:rPr>
      </w:pPr>
      <w:r w:rsidRPr="00862B06">
        <w:rPr>
          <w:rStyle w:val="FootnoteReference"/>
          <w:rFonts w:ascii="Times New Roman" w:hAnsi="Times New Roman" w:cs="Times New Roman"/>
          <w:sz w:val="16"/>
          <w:szCs w:val="16"/>
        </w:rPr>
        <w:footnoteRef/>
      </w:r>
      <w:r w:rsidRPr="00862B06">
        <w:rPr>
          <w:rFonts w:ascii="Times New Roman" w:hAnsi="Times New Roman" w:cs="Times New Roman"/>
          <w:sz w:val="16"/>
          <w:szCs w:val="16"/>
        </w:rPr>
        <w:t xml:space="preserve"> În perioada auditată au fost comise 6 accidente, iar asiguratorul a achitat pagube în sumă de 96,1 mii lei în baza poliței de asigurare facultativă CASCO.</w:t>
      </w:r>
    </w:p>
  </w:footnote>
  <w:footnote w:id="77">
    <w:p w14:paraId="478BEF39" w14:textId="5F9E2485" w:rsidR="00CD219C" w:rsidRPr="00862B06" w:rsidRDefault="00CD219C" w:rsidP="00716C97">
      <w:pPr>
        <w:pStyle w:val="FootnoteText"/>
        <w:rPr>
          <w:rFonts w:ascii="Times New Roman" w:hAnsi="Times New Roman" w:cs="Times New Roman"/>
          <w:sz w:val="16"/>
          <w:szCs w:val="16"/>
        </w:rPr>
      </w:pPr>
      <w:r w:rsidRPr="00862B06">
        <w:rPr>
          <w:rStyle w:val="FootnoteReference"/>
          <w:rFonts w:ascii="Times New Roman" w:hAnsi="Times New Roman" w:cs="Times New Roman"/>
          <w:sz w:val="16"/>
          <w:szCs w:val="16"/>
        </w:rPr>
        <w:footnoteRef/>
      </w:r>
      <w:r w:rsidRPr="00862B06">
        <w:rPr>
          <w:rFonts w:ascii="Times New Roman" w:hAnsi="Times New Roman" w:cs="Times New Roman"/>
          <w:sz w:val="16"/>
          <w:szCs w:val="16"/>
        </w:rPr>
        <w:t xml:space="preserve"> Licitațiile publice </w:t>
      </w:r>
      <w:r w:rsidR="00724A27">
        <w:rPr>
          <w:rFonts w:ascii="Times New Roman" w:hAnsi="Times New Roman" w:cs="Times New Roman"/>
          <w:sz w:val="16"/>
          <w:szCs w:val="16"/>
        </w:rPr>
        <w:t>n</w:t>
      </w:r>
      <w:r w:rsidRPr="00862B06">
        <w:rPr>
          <w:rFonts w:ascii="Times New Roman" w:hAnsi="Times New Roman" w:cs="Times New Roman"/>
          <w:sz w:val="16"/>
          <w:szCs w:val="16"/>
        </w:rPr>
        <w:t xml:space="preserve">r.403/17 din 26.10.2017 și </w:t>
      </w:r>
      <w:r w:rsidRPr="00862B06">
        <w:rPr>
          <w:rFonts w:ascii="Times New Roman" w:hAnsi="Times New Roman" w:cs="Times New Roman"/>
          <w:sz w:val="16"/>
          <w:szCs w:val="16"/>
          <w:lang w:val="ro-RO"/>
        </w:rPr>
        <w:t>nr.427/17 din 24.11.2017.</w:t>
      </w:r>
    </w:p>
  </w:footnote>
  <w:footnote w:id="78">
    <w:p w14:paraId="5E6548B4" w14:textId="77777777" w:rsidR="00CD219C" w:rsidRPr="00862B06" w:rsidRDefault="00CD219C" w:rsidP="00716C97">
      <w:pPr>
        <w:pStyle w:val="FootnoteText"/>
        <w:jc w:val="both"/>
        <w:rPr>
          <w:rFonts w:ascii="Times New Roman" w:hAnsi="Times New Roman" w:cs="Times New Roman"/>
          <w:sz w:val="16"/>
          <w:szCs w:val="16"/>
          <w:lang w:val="ro-RO"/>
        </w:rPr>
      </w:pPr>
      <w:r w:rsidRPr="00862B06">
        <w:rPr>
          <w:rStyle w:val="FootnoteReference"/>
          <w:rFonts w:ascii="Times New Roman" w:hAnsi="Times New Roman" w:cs="Times New Roman"/>
          <w:sz w:val="16"/>
          <w:szCs w:val="16"/>
          <w:lang w:val="ro-RO"/>
        </w:rPr>
        <w:footnoteRef/>
      </w:r>
      <w:r w:rsidRPr="00862B06">
        <w:rPr>
          <w:rFonts w:ascii="Times New Roman" w:hAnsi="Times New Roman" w:cs="Times New Roman"/>
          <w:sz w:val="16"/>
          <w:szCs w:val="16"/>
          <w:lang w:val="ro-RO"/>
        </w:rPr>
        <w:t xml:space="preserve"> Art.50 alin.(1) din Legea nr.131 </w:t>
      </w:r>
      <w:r w:rsidRPr="00862B06">
        <w:rPr>
          <w:rFonts w:ascii="Times New Roman" w:hAnsi="Times New Roman" w:cs="Times New Roman"/>
          <w:sz w:val="16"/>
          <w:szCs w:val="16"/>
        </w:rPr>
        <w:t xml:space="preserve">din 03.07.2015 </w:t>
      </w:r>
      <w:r w:rsidRPr="00862B06">
        <w:rPr>
          <w:rFonts w:ascii="Times New Roman" w:hAnsi="Times New Roman" w:cs="Times New Roman"/>
          <w:sz w:val="16"/>
          <w:szCs w:val="16"/>
          <w:lang w:val="ro-RO"/>
        </w:rPr>
        <w:t>privind achizițiile publice.</w:t>
      </w:r>
    </w:p>
  </w:footnote>
  <w:footnote w:id="79">
    <w:p w14:paraId="6EA309EA" w14:textId="77777777" w:rsidR="00CD219C" w:rsidRPr="00862B06" w:rsidRDefault="00CD219C" w:rsidP="003D207C">
      <w:pPr>
        <w:pStyle w:val="FootnoteText"/>
        <w:jc w:val="both"/>
        <w:rPr>
          <w:rFonts w:ascii="Times New Roman" w:hAnsi="Times New Roman" w:cs="Times New Roman"/>
          <w:sz w:val="16"/>
          <w:szCs w:val="16"/>
        </w:rPr>
      </w:pPr>
      <w:r w:rsidRPr="00862B06">
        <w:rPr>
          <w:rStyle w:val="FootnoteReference"/>
          <w:rFonts w:ascii="Times New Roman" w:hAnsi="Times New Roman" w:cs="Times New Roman"/>
          <w:sz w:val="16"/>
          <w:szCs w:val="16"/>
        </w:rPr>
        <w:footnoteRef/>
      </w:r>
      <w:r w:rsidRPr="00862B06">
        <w:rPr>
          <w:rFonts w:ascii="Times New Roman" w:hAnsi="Times New Roman" w:cs="Times New Roman"/>
          <w:sz w:val="16"/>
          <w:szCs w:val="16"/>
        </w:rPr>
        <w:t xml:space="preserve"> V</w:t>
      </w:r>
      <w:r w:rsidRPr="00862B06">
        <w:rPr>
          <w:rFonts w:ascii="Times New Roman" w:eastAsia="Times New Roman" w:hAnsi="Times New Roman" w:cs="Times New Roman"/>
          <w:sz w:val="16"/>
          <w:szCs w:val="16"/>
        </w:rPr>
        <w:t>iteza maximă km/h de minimum 180 km/h; accelerarea autoturismului 0-100 km/h în 11,2 secunde maximum; Radio, Bluetooth, Port USB cu comenzi pe volan;  putere minimă - 130 c.p; jante aliaj ușor R17; lunetă pe spate încălzită, sistem de iluminare LED, tracțiune față sau 4X4 a autoturismelor etc.</w:t>
      </w:r>
    </w:p>
  </w:footnote>
  <w:footnote w:id="80">
    <w:p w14:paraId="7FC03EC1" w14:textId="6AB70E8B" w:rsidR="00CD219C" w:rsidRPr="00862B06" w:rsidRDefault="00CD219C">
      <w:pPr>
        <w:pStyle w:val="FootnoteText"/>
        <w:rPr>
          <w:rFonts w:ascii="Times New Roman" w:hAnsi="Times New Roman" w:cs="Times New Roman"/>
          <w:sz w:val="16"/>
          <w:szCs w:val="16"/>
        </w:rPr>
      </w:pPr>
      <w:r w:rsidRPr="00862B06">
        <w:rPr>
          <w:rStyle w:val="FootnoteReference"/>
          <w:rFonts w:ascii="Times New Roman" w:hAnsi="Times New Roman" w:cs="Times New Roman"/>
          <w:sz w:val="16"/>
          <w:szCs w:val="16"/>
        </w:rPr>
        <w:footnoteRef/>
      </w:r>
      <w:r w:rsidRPr="00862B06">
        <w:rPr>
          <w:rFonts w:ascii="Times New Roman" w:hAnsi="Times New Roman" w:cs="Times New Roman"/>
          <w:sz w:val="16"/>
          <w:szCs w:val="16"/>
        </w:rPr>
        <w:t xml:space="preserve"> Inițial entitatea a stabilit garda la sol min 160 mm apoi după anularea procedurii de achiziție a modificat documentația de atribuire pentru diferite clase de automobile </w:t>
      </w:r>
      <w:r w:rsidR="00A22E71" w:rsidRPr="00862B06">
        <w:rPr>
          <w:rFonts w:ascii="Times New Roman" w:hAnsi="Times New Roman" w:cs="Times New Roman"/>
          <w:sz w:val="16"/>
          <w:szCs w:val="16"/>
        </w:rPr>
        <w:t>solicitând</w:t>
      </w:r>
      <w:r w:rsidRPr="00862B06">
        <w:rPr>
          <w:rFonts w:ascii="Times New Roman" w:hAnsi="Times New Roman" w:cs="Times New Roman"/>
          <w:sz w:val="16"/>
          <w:szCs w:val="16"/>
        </w:rPr>
        <w:t xml:space="preserve"> garda la sol 200 mm; de asemenea a fost modificată esențial și capacitatea motorului 1,4-1,8 dm3 față de 1,2-1,4 dm3 și alte obținui.</w:t>
      </w:r>
    </w:p>
  </w:footnote>
  <w:footnote w:id="81">
    <w:p w14:paraId="0D346FEC" w14:textId="77777777" w:rsidR="00CD219C" w:rsidRPr="00862B06" w:rsidRDefault="00CD219C" w:rsidP="00716C97">
      <w:pPr>
        <w:pStyle w:val="FootnoteText"/>
        <w:rPr>
          <w:rFonts w:ascii="Times New Roman" w:hAnsi="Times New Roman" w:cs="Times New Roman"/>
        </w:rPr>
      </w:pPr>
      <w:r w:rsidRPr="003755C4">
        <w:rPr>
          <w:rStyle w:val="FootnoteReference"/>
          <w:rFonts w:ascii="Times New Roman" w:hAnsi="Times New Roman" w:cs="Times New Roman"/>
          <w:sz w:val="16"/>
          <w:szCs w:val="16"/>
          <w:lang w:val="ro-RO"/>
        </w:rPr>
        <w:footnoteRef/>
      </w:r>
      <w:r w:rsidRPr="003755C4">
        <w:rPr>
          <w:rFonts w:ascii="Times New Roman" w:hAnsi="Times New Roman" w:cs="Times New Roman"/>
          <w:sz w:val="16"/>
          <w:szCs w:val="16"/>
          <w:lang w:val="ro-RO"/>
        </w:rPr>
        <w:t>Consumul urban(l/100km) max-7,5 litri; consumul mixt(l/100km) –max 5,7 litri, consumul extra urban(l/100km</w:t>
      </w:r>
      <w:r w:rsidRPr="00862B06">
        <w:rPr>
          <w:rFonts w:ascii="Times New Roman" w:hAnsi="Times New Roman" w:cs="Times New Roman"/>
          <w:sz w:val="16"/>
          <w:szCs w:val="16"/>
          <w:lang w:val="ro-RO"/>
        </w:rPr>
        <w:t>) max-4,7 în raport cu capacitatea motorului de 1,4-1,8 dm</w:t>
      </w:r>
      <w:r w:rsidRPr="00862B06">
        <w:rPr>
          <w:rFonts w:ascii="Times New Roman" w:hAnsi="Times New Roman" w:cs="Times New Roman"/>
          <w:sz w:val="16"/>
          <w:szCs w:val="16"/>
          <w:vertAlign w:val="superscript"/>
          <w:lang w:val="ro-RO"/>
        </w:rPr>
        <w:t>3</w:t>
      </w:r>
      <w:r w:rsidRPr="00862B06">
        <w:rPr>
          <w:rFonts w:ascii="Times New Roman" w:hAnsi="Times New Roman" w:cs="Times New Roman"/>
          <w:sz w:val="16"/>
          <w:szCs w:val="16"/>
          <w:lang w:val="ro-RO"/>
        </w:rPr>
        <w:t xml:space="preserve"> și</w:t>
      </w:r>
      <w:r w:rsidRPr="00862B06">
        <w:rPr>
          <w:rFonts w:ascii="Times New Roman" w:eastAsia="Times New Roman" w:hAnsi="Times New Roman" w:cs="Times New Roman"/>
          <w:sz w:val="16"/>
          <w:szCs w:val="16"/>
          <w:lang w:val="ro-RO"/>
        </w:rPr>
        <w:t xml:space="preserve"> accelerarea autoturismului 0-100 km/h în 11 secunde maximum,</w:t>
      </w:r>
      <w:r w:rsidRPr="00862B06">
        <w:rPr>
          <w:rFonts w:ascii="Times New Roman" w:hAnsi="Times New Roman" w:cs="Times New Roman"/>
          <w:sz w:val="16"/>
          <w:szCs w:val="16"/>
          <w:lang w:val="ro-RO"/>
        </w:rPr>
        <w:t xml:space="preserve"> viteză maximă min 195 km și jante aliaj R16-R17 etc.</w:t>
      </w:r>
    </w:p>
  </w:footnote>
  <w:footnote w:id="82">
    <w:p w14:paraId="2FB66350" w14:textId="77777777" w:rsidR="00CD219C" w:rsidRPr="00862B06" w:rsidRDefault="00CD219C" w:rsidP="00716C97">
      <w:pPr>
        <w:pStyle w:val="FootnoteText"/>
        <w:jc w:val="both"/>
        <w:rPr>
          <w:rFonts w:ascii="Times New Roman" w:hAnsi="Times New Roman" w:cs="Times New Roman"/>
          <w:sz w:val="16"/>
          <w:szCs w:val="16"/>
          <w:lang w:val="ro-RO"/>
        </w:rPr>
      </w:pPr>
      <w:r w:rsidRPr="00862B06">
        <w:rPr>
          <w:rStyle w:val="FootnoteReference"/>
          <w:rFonts w:ascii="Times New Roman" w:hAnsi="Times New Roman" w:cs="Times New Roman"/>
          <w:sz w:val="16"/>
          <w:szCs w:val="16"/>
          <w:lang w:val="ro-RO"/>
        </w:rPr>
        <w:footnoteRef/>
      </w:r>
      <w:r w:rsidRPr="00862B06">
        <w:rPr>
          <w:rFonts w:ascii="Times New Roman" w:hAnsi="Times New Roman" w:cs="Times New Roman"/>
          <w:sz w:val="16"/>
          <w:szCs w:val="16"/>
          <w:lang w:val="ro-RO"/>
        </w:rPr>
        <w:t xml:space="preserve"> Scrisoarea CNPDCP nr.05-20/1757 din 03.11.2017 adresată Agenției Achiziții Publice.</w:t>
      </w:r>
    </w:p>
  </w:footnote>
  <w:footnote w:id="83">
    <w:p w14:paraId="030CBED8" w14:textId="77777777" w:rsidR="00CD219C" w:rsidRPr="00862B06" w:rsidRDefault="00CD219C" w:rsidP="00716C97">
      <w:pPr>
        <w:pStyle w:val="FootnoteText"/>
        <w:rPr>
          <w:rFonts w:ascii="Times New Roman" w:hAnsi="Times New Roman" w:cs="Times New Roman"/>
          <w:sz w:val="16"/>
          <w:szCs w:val="16"/>
        </w:rPr>
      </w:pPr>
      <w:r w:rsidRPr="00862B06">
        <w:rPr>
          <w:rStyle w:val="FootnoteReference"/>
          <w:rFonts w:ascii="Times New Roman" w:hAnsi="Times New Roman" w:cs="Times New Roman"/>
          <w:sz w:val="16"/>
          <w:szCs w:val="16"/>
        </w:rPr>
        <w:footnoteRef/>
      </w:r>
      <w:r w:rsidRPr="00862B06">
        <w:rPr>
          <w:rFonts w:ascii="Times New Roman" w:hAnsi="Times New Roman" w:cs="Times New Roman"/>
          <w:sz w:val="16"/>
          <w:szCs w:val="16"/>
        </w:rPr>
        <w:t xml:space="preserve"> Art.49</w:t>
      </w:r>
      <w:r w:rsidRPr="00862B06">
        <w:rPr>
          <w:rFonts w:ascii="Times New Roman" w:hAnsi="Times New Roman" w:cs="Times New Roman"/>
          <w:sz w:val="16"/>
          <w:szCs w:val="16"/>
          <w:lang w:val="ro-RO"/>
        </w:rPr>
        <w:t xml:space="preserve"> alin.(3) din Legea nr.131 </w:t>
      </w:r>
      <w:r w:rsidRPr="00862B06">
        <w:rPr>
          <w:rFonts w:ascii="Times New Roman" w:hAnsi="Times New Roman" w:cs="Times New Roman"/>
          <w:sz w:val="16"/>
          <w:szCs w:val="16"/>
        </w:rPr>
        <w:t xml:space="preserve">din 03.07.2015 </w:t>
      </w:r>
      <w:r w:rsidRPr="00862B06">
        <w:rPr>
          <w:rFonts w:ascii="Times New Roman" w:hAnsi="Times New Roman" w:cs="Times New Roman"/>
          <w:sz w:val="16"/>
          <w:szCs w:val="16"/>
          <w:lang w:val="ro-RO"/>
        </w:rPr>
        <w:t>privind achizițiile publice.</w:t>
      </w:r>
    </w:p>
  </w:footnote>
  <w:footnote w:id="84">
    <w:p w14:paraId="1B022296" w14:textId="77777777" w:rsidR="00CD219C" w:rsidRPr="00862B06" w:rsidRDefault="00CD219C" w:rsidP="00716C97">
      <w:pPr>
        <w:pStyle w:val="FootnoteText"/>
        <w:jc w:val="both"/>
        <w:rPr>
          <w:rFonts w:ascii="Times New Roman" w:hAnsi="Times New Roman" w:cs="Times New Roman"/>
          <w:lang w:val="ro-RO"/>
        </w:rPr>
      </w:pPr>
      <w:r w:rsidRPr="00862B06">
        <w:rPr>
          <w:rStyle w:val="FootnoteReference"/>
          <w:rFonts w:ascii="Times New Roman" w:hAnsi="Times New Roman" w:cs="Times New Roman"/>
          <w:sz w:val="16"/>
          <w:szCs w:val="16"/>
        </w:rPr>
        <w:footnoteRef/>
      </w:r>
      <w:r w:rsidRPr="00862B06">
        <w:rPr>
          <w:rFonts w:ascii="Times New Roman" w:hAnsi="Times New Roman" w:cs="Times New Roman"/>
          <w:sz w:val="16"/>
          <w:szCs w:val="16"/>
        </w:rPr>
        <w:t xml:space="preserve"> </w:t>
      </w:r>
      <w:r w:rsidRPr="00862B06">
        <w:rPr>
          <w:rFonts w:ascii="Times New Roman" w:hAnsi="Times New Roman" w:cs="Times New Roman"/>
          <w:sz w:val="16"/>
          <w:szCs w:val="16"/>
          <w:lang w:val="ro-RO"/>
        </w:rPr>
        <w:t xml:space="preserve">Art.49 alin.(5) din Legea nr.131 </w:t>
      </w:r>
      <w:r w:rsidRPr="00862B06">
        <w:rPr>
          <w:rFonts w:ascii="Times New Roman" w:hAnsi="Times New Roman" w:cs="Times New Roman"/>
          <w:sz w:val="16"/>
          <w:szCs w:val="16"/>
        </w:rPr>
        <w:t xml:space="preserve">din 03.07.2015 </w:t>
      </w:r>
      <w:r w:rsidRPr="00862B06">
        <w:rPr>
          <w:rFonts w:ascii="Times New Roman" w:hAnsi="Times New Roman" w:cs="Times New Roman"/>
          <w:sz w:val="16"/>
          <w:szCs w:val="16"/>
          <w:lang w:val="ro-RO"/>
        </w:rPr>
        <w:t>privind achizițiile publice.</w:t>
      </w:r>
    </w:p>
  </w:footnote>
  <w:footnote w:id="85">
    <w:p w14:paraId="3BF59E39" w14:textId="77777777" w:rsidR="00CD219C" w:rsidRPr="00862B06" w:rsidRDefault="00CD219C" w:rsidP="00716C97">
      <w:pPr>
        <w:pStyle w:val="FootnoteText"/>
        <w:rPr>
          <w:rFonts w:ascii="Times New Roman" w:hAnsi="Times New Roman" w:cs="Times New Roman"/>
          <w:sz w:val="16"/>
          <w:szCs w:val="16"/>
          <w:lang w:val="ro-RO"/>
        </w:rPr>
      </w:pPr>
      <w:r w:rsidRPr="00862B06">
        <w:rPr>
          <w:rStyle w:val="FootnoteReference"/>
          <w:rFonts w:ascii="Times New Roman" w:hAnsi="Times New Roman" w:cs="Times New Roman"/>
          <w:sz w:val="16"/>
          <w:szCs w:val="16"/>
          <w:lang w:val="ro-RO"/>
        </w:rPr>
        <w:footnoteRef/>
      </w:r>
      <w:r w:rsidRPr="00862B06">
        <w:rPr>
          <w:rFonts w:ascii="Times New Roman" w:hAnsi="Times New Roman" w:cs="Times New Roman"/>
          <w:sz w:val="16"/>
          <w:szCs w:val="16"/>
          <w:lang w:val="ro-RO"/>
        </w:rPr>
        <w:t xml:space="preserve"> Licitația publică nr.427/17 din 24.11.2017 privind achiziția autoturismelor de serviciu.</w:t>
      </w:r>
    </w:p>
  </w:footnote>
  <w:footnote w:id="86">
    <w:p w14:paraId="58C3D75C" w14:textId="77777777" w:rsidR="00CD219C" w:rsidRPr="00862B06" w:rsidRDefault="00CD219C" w:rsidP="00716C97">
      <w:pPr>
        <w:pStyle w:val="FootnoteText"/>
        <w:jc w:val="both"/>
        <w:rPr>
          <w:rFonts w:ascii="Times New Roman" w:hAnsi="Times New Roman" w:cs="Times New Roman"/>
          <w:sz w:val="16"/>
          <w:szCs w:val="16"/>
          <w:lang w:val="ro-RO"/>
        </w:rPr>
      </w:pPr>
      <w:r w:rsidRPr="00862B06">
        <w:rPr>
          <w:rStyle w:val="FootnoteReference"/>
          <w:rFonts w:ascii="Times New Roman" w:hAnsi="Times New Roman" w:cs="Times New Roman"/>
          <w:sz w:val="16"/>
          <w:szCs w:val="16"/>
          <w:lang w:val="ro-RO"/>
        </w:rPr>
        <w:footnoteRef/>
      </w:r>
      <w:r w:rsidRPr="00862B06">
        <w:rPr>
          <w:rFonts w:ascii="Times New Roman" w:hAnsi="Times New Roman" w:cs="Times New Roman"/>
          <w:sz w:val="16"/>
          <w:szCs w:val="16"/>
          <w:lang w:val="ro-RO"/>
        </w:rPr>
        <w:t xml:space="preserve"> Contractul nr.40/17 din 14.12.2017 în sumă de 674,0 mii lei,  încheiat de CNPDCP cu S.C. „DAAC-Autosport” S.R.L.</w:t>
      </w:r>
    </w:p>
  </w:footnote>
  <w:footnote w:id="87">
    <w:p w14:paraId="6C29B86A" w14:textId="36817600" w:rsidR="00CD219C" w:rsidRPr="00372EAF" w:rsidRDefault="00CD219C" w:rsidP="00372EAF">
      <w:pPr>
        <w:pStyle w:val="FootnoteText"/>
        <w:jc w:val="both"/>
        <w:rPr>
          <w:rFonts w:ascii="Times New Roman" w:hAnsi="Times New Roman" w:cs="Times New Roman"/>
          <w:sz w:val="16"/>
          <w:szCs w:val="16"/>
          <w:lang w:val="ro-RO"/>
        </w:rPr>
      </w:pPr>
      <w:r w:rsidRPr="00372EAF">
        <w:rPr>
          <w:rStyle w:val="FootnoteReference"/>
          <w:rFonts w:ascii="Times New Roman" w:hAnsi="Times New Roman" w:cs="Times New Roman"/>
          <w:sz w:val="16"/>
          <w:szCs w:val="16"/>
          <w:lang w:val="ro-RO"/>
        </w:rPr>
        <w:footnoteRef/>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 xml:space="preserve">Consumul de combustibil al autoturismului </w:t>
      </w:r>
      <w:r w:rsidRPr="00372EAF">
        <w:rPr>
          <w:rFonts w:ascii="Times New Roman" w:eastAsia="Times New Roman" w:hAnsi="Times New Roman" w:cs="Times New Roman"/>
          <w:sz w:val="16"/>
          <w:szCs w:val="16"/>
          <w:lang w:val="ro-RO"/>
        </w:rPr>
        <w:t xml:space="preserve">Renault Kadjar cu cutie de viteză manuală, </w:t>
      </w:r>
      <w:r w:rsidRPr="00372EAF">
        <w:rPr>
          <w:rFonts w:ascii="Times New Roman" w:hAnsi="Times New Roman" w:cs="Times New Roman"/>
          <w:sz w:val="16"/>
          <w:szCs w:val="16"/>
          <w:lang w:val="ro-RO"/>
        </w:rPr>
        <w:t>extra urban</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(l/100</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km) –max</w:t>
      </w:r>
      <w:r>
        <w:rPr>
          <w:rFonts w:ascii="Times New Roman" w:hAnsi="Times New Roman" w:cs="Times New Roman"/>
          <w:sz w:val="16"/>
          <w:szCs w:val="16"/>
          <w:lang w:val="ro-RO"/>
        </w:rPr>
        <w:t>.</w:t>
      </w:r>
      <w:r w:rsidRPr="00372EAF">
        <w:rPr>
          <w:rFonts w:ascii="Times New Roman" w:hAnsi="Times New Roman" w:cs="Times New Roman"/>
          <w:sz w:val="16"/>
          <w:szCs w:val="16"/>
          <w:lang w:val="ro-RO"/>
        </w:rPr>
        <w:t xml:space="preserve"> 5,1 litri; consumul urban</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(l/100km) max</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7,0 litri; consumul mixt</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(l/100</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km) –</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max</w:t>
      </w:r>
      <w:r>
        <w:rPr>
          <w:rFonts w:ascii="Times New Roman" w:hAnsi="Times New Roman" w:cs="Times New Roman"/>
          <w:sz w:val="16"/>
          <w:szCs w:val="16"/>
          <w:lang w:val="ro-RO"/>
        </w:rPr>
        <w:t>.</w:t>
      </w:r>
      <w:r w:rsidRPr="00372EAF">
        <w:rPr>
          <w:rFonts w:ascii="Times New Roman" w:hAnsi="Times New Roman" w:cs="Times New Roman"/>
          <w:sz w:val="16"/>
          <w:szCs w:val="16"/>
          <w:lang w:val="ro-RO"/>
        </w:rPr>
        <w:t xml:space="preserve"> 5,8 litri,</w:t>
      </w:r>
      <w:r w:rsidRPr="00372EAF">
        <w:rPr>
          <w:rFonts w:ascii="Times New Roman" w:eastAsia="Times New Roman" w:hAnsi="Times New Roman" w:cs="Times New Roman"/>
          <w:sz w:val="16"/>
          <w:szCs w:val="16"/>
          <w:lang w:val="ro-RO"/>
        </w:rPr>
        <w:t xml:space="preserve"> accelerarea autoturismului 0-100 km/h în 10,2 secunde maximum</w:t>
      </w:r>
      <w:r w:rsidRPr="00372EAF">
        <w:rPr>
          <w:rFonts w:ascii="Times New Roman" w:hAnsi="Times New Roman" w:cs="Times New Roman"/>
          <w:sz w:val="16"/>
          <w:szCs w:val="16"/>
          <w:lang w:val="ro-RO"/>
        </w:rPr>
        <w:t xml:space="preserve">; Consumul de combustibil al autoturismului </w:t>
      </w:r>
      <w:r w:rsidRPr="00372EAF">
        <w:rPr>
          <w:rFonts w:ascii="Times New Roman" w:eastAsia="Times New Roman" w:hAnsi="Times New Roman" w:cs="Times New Roman"/>
          <w:sz w:val="16"/>
          <w:szCs w:val="16"/>
          <w:lang w:val="ro-RO"/>
        </w:rPr>
        <w:t xml:space="preserve">Renault Kadjar cu cutie de viteză automată, </w:t>
      </w:r>
      <w:r w:rsidRPr="00372EAF">
        <w:rPr>
          <w:rFonts w:ascii="Times New Roman" w:hAnsi="Times New Roman" w:cs="Times New Roman"/>
          <w:sz w:val="16"/>
          <w:szCs w:val="16"/>
          <w:lang w:val="ro-RO"/>
        </w:rPr>
        <w:t>extra urban</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(l/100</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km) –</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max</w:t>
      </w:r>
      <w:r>
        <w:rPr>
          <w:rFonts w:ascii="Times New Roman" w:hAnsi="Times New Roman" w:cs="Times New Roman"/>
          <w:sz w:val="16"/>
          <w:szCs w:val="16"/>
          <w:lang w:val="ro-RO"/>
        </w:rPr>
        <w:t>.</w:t>
      </w:r>
      <w:r w:rsidRPr="00372EAF">
        <w:rPr>
          <w:rFonts w:ascii="Times New Roman" w:hAnsi="Times New Roman" w:cs="Times New Roman"/>
          <w:sz w:val="16"/>
          <w:szCs w:val="16"/>
          <w:lang w:val="ro-RO"/>
        </w:rPr>
        <w:t xml:space="preserve"> 5,2 litri; consumul urban</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(l/100</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km) –</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max</w:t>
      </w:r>
      <w:r w:rsidRPr="00A423C8">
        <w:rPr>
          <w:rFonts w:ascii="Times New Roman" w:hAnsi="Times New Roman" w:cs="Times New Roman"/>
          <w:sz w:val="16"/>
          <w:szCs w:val="16"/>
          <w:lang w:val="ro-RO"/>
        </w:rPr>
        <w:t>. 6,9</w:t>
      </w:r>
      <w:r w:rsidRPr="00372EAF">
        <w:rPr>
          <w:rFonts w:ascii="Times New Roman" w:hAnsi="Times New Roman" w:cs="Times New Roman"/>
          <w:sz w:val="16"/>
          <w:szCs w:val="16"/>
          <w:lang w:val="ro-RO"/>
        </w:rPr>
        <w:t xml:space="preserve"> litri; consumul mixt</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(l/100</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km) –max</w:t>
      </w:r>
      <w:r>
        <w:rPr>
          <w:rFonts w:ascii="Times New Roman" w:hAnsi="Times New Roman" w:cs="Times New Roman"/>
          <w:sz w:val="16"/>
          <w:szCs w:val="16"/>
          <w:lang w:val="ro-RO"/>
        </w:rPr>
        <w:t>.</w:t>
      </w:r>
      <w:r w:rsidRPr="00372EAF">
        <w:rPr>
          <w:rFonts w:ascii="Times New Roman" w:hAnsi="Times New Roman" w:cs="Times New Roman"/>
          <w:sz w:val="16"/>
          <w:szCs w:val="16"/>
          <w:lang w:val="ro-RO"/>
        </w:rPr>
        <w:t xml:space="preserve"> 5,8 litri,</w:t>
      </w:r>
      <w:r w:rsidRPr="00372EAF">
        <w:rPr>
          <w:rFonts w:ascii="Times New Roman" w:eastAsia="Times New Roman" w:hAnsi="Times New Roman" w:cs="Times New Roman"/>
          <w:sz w:val="16"/>
          <w:szCs w:val="16"/>
          <w:lang w:val="ro-RO"/>
        </w:rPr>
        <w:t xml:space="preserve"> accelerarea autoturismului 0-100 km/h în 10,2 secunde maximum.</w:t>
      </w:r>
    </w:p>
    <w:p w14:paraId="1794AC1A" w14:textId="6F7ABF2E" w:rsidR="00CD219C" w:rsidRPr="00C370A5" w:rsidRDefault="00CD219C" w:rsidP="00372EAF">
      <w:pPr>
        <w:pStyle w:val="FootnoteText"/>
        <w:jc w:val="both"/>
        <w:rPr>
          <w:rFonts w:ascii="Times New Roman" w:hAnsi="Times New Roman" w:cs="Times New Roman"/>
          <w:sz w:val="16"/>
          <w:szCs w:val="16"/>
          <w:lang w:val="ro-RO"/>
        </w:rPr>
      </w:pPr>
      <w:r w:rsidRPr="00372EAF">
        <w:rPr>
          <w:rFonts w:ascii="Times New Roman" w:hAnsi="Times New Roman" w:cs="Times New Roman"/>
          <w:sz w:val="16"/>
          <w:szCs w:val="16"/>
          <w:lang w:val="ro-RO"/>
        </w:rPr>
        <w:t xml:space="preserve"> Consumul de combustibil extra urban</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(l/100</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km) max</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5,1 litri; consumul urban</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(l/100</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km) max</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7,0 litri; consumul mixt</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(l/100</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km) max</w:t>
      </w:r>
      <w:r>
        <w:rPr>
          <w:rFonts w:ascii="Times New Roman" w:hAnsi="Times New Roman" w:cs="Times New Roman"/>
          <w:sz w:val="16"/>
          <w:szCs w:val="16"/>
          <w:lang w:val="ro-RO"/>
        </w:rPr>
        <w:t xml:space="preserve">. </w:t>
      </w:r>
      <w:r w:rsidRPr="00372EAF">
        <w:rPr>
          <w:rFonts w:ascii="Times New Roman" w:hAnsi="Times New Roman" w:cs="Times New Roman"/>
          <w:sz w:val="16"/>
          <w:szCs w:val="16"/>
          <w:lang w:val="ro-RO"/>
        </w:rPr>
        <w:t>5,8 litri;</w:t>
      </w:r>
      <w:r w:rsidRPr="00372EAF">
        <w:rPr>
          <w:rFonts w:ascii="Times New Roman" w:eastAsia="Times New Roman" w:hAnsi="Times New Roman" w:cs="Times New Roman"/>
          <w:sz w:val="16"/>
          <w:szCs w:val="16"/>
          <w:lang w:val="ro-RO"/>
        </w:rPr>
        <w:t xml:space="preserve"> accelerarea autoturismului 0-100 km/h în 11 secunde maximum.</w:t>
      </w:r>
    </w:p>
  </w:footnote>
  <w:footnote w:id="88">
    <w:p w14:paraId="3D9B2302" w14:textId="53054032" w:rsidR="00CD219C" w:rsidRPr="0077171B" w:rsidRDefault="00CD219C" w:rsidP="00372EAF">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eastAsia="Times New Roman" w:hAnsi="Times New Roman" w:cs="Times New Roman"/>
          <w:sz w:val="16"/>
          <w:szCs w:val="16"/>
          <w:lang w:val="ro-RO"/>
        </w:rPr>
        <w:t xml:space="preserve"> Buletinul achizițiilor publice nr.90/17 din 17.11.2017.</w:t>
      </w:r>
    </w:p>
  </w:footnote>
  <w:footnote w:id="89">
    <w:p w14:paraId="039ADB19" w14:textId="77777777" w:rsidR="00CD219C" w:rsidRPr="00372EAF" w:rsidRDefault="00CD219C" w:rsidP="00C370A5">
      <w:pPr>
        <w:pStyle w:val="FootnoteText"/>
        <w:jc w:val="both"/>
        <w:rPr>
          <w:rFonts w:ascii="Times New Roman" w:hAnsi="Times New Roman" w:cs="Times New Roman"/>
          <w:sz w:val="16"/>
          <w:szCs w:val="16"/>
          <w:lang w:val="ro-RO"/>
        </w:rPr>
      </w:pPr>
      <w:r w:rsidRPr="00372EAF">
        <w:rPr>
          <w:rStyle w:val="FootnoteReference"/>
          <w:rFonts w:ascii="Times New Roman" w:hAnsi="Times New Roman" w:cs="Times New Roman"/>
          <w:sz w:val="16"/>
          <w:szCs w:val="16"/>
          <w:lang w:val="ro-RO"/>
        </w:rPr>
        <w:footnoteRef/>
      </w:r>
      <w:r w:rsidRPr="00372EAF">
        <w:rPr>
          <w:rFonts w:ascii="Times New Roman" w:hAnsi="Times New Roman" w:cs="Times New Roman"/>
          <w:sz w:val="16"/>
          <w:szCs w:val="16"/>
          <w:lang w:val="ro-RO"/>
        </w:rPr>
        <w:t xml:space="preserve"> Documentația standard pentru realizarea achizițiilor publice de bunuri și servicii licitația nr.424/17 din 24.11.2017 (automobile de serviciu).</w:t>
      </w:r>
    </w:p>
  </w:footnote>
  <w:footnote w:id="90">
    <w:p w14:paraId="66D3F99D" w14:textId="77777777" w:rsidR="00CD219C" w:rsidRPr="00372EAF" w:rsidRDefault="00CD219C" w:rsidP="00C370A5">
      <w:pPr>
        <w:pStyle w:val="FootnoteText"/>
        <w:jc w:val="both"/>
        <w:rPr>
          <w:rFonts w:ascii="Times New Roman" w:hAnsi="Times New Roman" w:cs="Times New Roman"/>
          <w:sz w:val="16"/>
          <w:szCs w:val="16"/>
          <w:lang w:val="ro-RO"/>
        </w:rPr>
      </w:pPr>
      <w:r w:rsidRPr="00372EAF">
        <w:rPr>
          <w:rStyle w:val="FootnoteReference"/>
          <w:rFonts w:ascii="Times New Roman" w:hAnsi="Times New Roman" w:cs="Times New Roman"/>
          <w:sz w:val="16"/>
          <w:szCs w:val="16"/>
          <w:lang w:val="ro-RO"/>
        </w:rPr>
        <w:footnoteRef/>
      </w:r>
      <w:r w:rsidRPr="00372EAF">
        <w:rPr>
          <w:rFonts w:ascii="Times New Roman" w:hAnsi="Times New Roman" w:cs="Times New Roman"/>
          <w:sz w:val="16"/>
          <w:szCs w:val="16"/>
          <w:lang w:val="ro-RO"/>
        </w:rPr>
        <w:t xml:space="preserve"> Art.67 alin.(1) lit.(d) din Legea nr.131</w:t>
      </w:r>
      <w:r w:rsidRPr="0077171B">
        <w:rPr>
          <w:rFonts w:ascii="Times New Roman" w:hAnsi="Times New Roman" w:cs="Times New Roman"/>
          <w:sz w:val="16"/>
          <w:szCs w:val="16"/>
          <w:lang w:val="ro-RO"/>
        </w:rPr>
        <w:t xml:space="preserve"> din 03.07.2015 </w:t>
      </w:r>
      <w:r w:rsidRPr="00372EAF">
        <w:rPr>
          <w:rFonts w:ascii="Times New Roman" w:hAnsi="Times New Roman" w:cs="Times New Roman"/>
          <w:sz w:val="16"/>
          <w:szCs w:val="16"/>
          <w:lang w:val="ro-RO"/>
        </w:rPr>
        <w:t>privind achizițiile publice.</w:t>
      </w:r>
    </w:p>
  </w:footnote>
  <w:footnote w:id="91">
    <w:p w14:paraId="6D1BEA54" w14:textId="77777777" w:rsidR="00CD219C" w:rsidRPr="0077171B" w:rsidRDefault="00CD219C" w:rsidP="0077171B">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Prețul maxim propus de S.R.L „DAAC auto” pentru 2 autoturisme Școda Octavia în sumă de 598,6 mii lei și prețul maxim propus de S.R.L „DAAC autosport” pentru 2 autoturisme </w:t>
      </w:r>
      <w:r w:rsidRPr="0077171B">
        <w:rPr>
          <w:rFonts w:ascii="Times New Roman" w:eastAsia="Times New Roman" w:hAnsi="Times New Roman" w:cs="Times New Roman"/>
          <w:sz w:val="16"/>
          <w:szCs w:val="16"/>
          <w:lang w:val="ro-RO"/>
        </w:rPr>
        <w:t xml:space="preserve">Renault Kadjar </w:t>
      </w:r>
      <w:r w:rsidRPr="0077171B">
        <w:rPr>
          <w:rFonts w:ascii="Times New Roman" w:hAnsi="Times New Roman" w:cs="Times New Roman"/>
          <w:sz w:val="16"/>
          <w:szCs w:val="16"/>
          <w:lang w:val="ro-RO"/>
        </w:rPr>
        <w:t xml:space="preserve">în sumă de </w:t>
      </w:r>
      <w:r w:rsidRPr="0077171B">
        <w:rPr>
          <w:rFonts w:ascii="Times New Roman" w:eastAsia="Times New Roman" w:hAnsi="Times New Roman" w:cs="Times New Roman"/>
          <w:color w:val="222222"/>
          <w:sz w:val="16"/>
          <w:szCs w:val="16"/>
          <w:lang w:val="ro-RO" w:eastAsia="ro-RO"/>
        </w:rPr>
        <w:t>674,0</w:t>
      </w:r>
      <w:r w:rsidRPr="0077171B">
        <w:rPr>
          <w:rFonts w:ascii="Times New Roman" w:hAnsi="Times New Roman" w:cs="Times New Roman"/>
          <w:sz w:val="16"/>
          <w:szCs w:val="16"/>
          <w:lang w:val="ro-RO"/>
        </w:rPr>
        <w:t xml:space="preserve"> mii lei</w:t>
      </w:r>
      <w:r>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w:t>
      </w:r>
    </w:p>
  </w:footnote>
  <w:footnote w:id="92">
    <w:p w14:paraId="62F980BD" w14:textId="5DB4FD94" w:rsidR="00CD219C" w:rsidRPr="0077171B" w:rsidRDefault="00CD219C" w:rsidP="00372EAF">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Consumul de combustibil al autoturismului </w:t>
      </w:r>
      <w:r w:rsidRPr="0077171B">
        <w:rPr>
          <w:rFonts w:ascii="Times New Roman" w:eastAsia="Times New Roman" w:hAnsi="Times New Roman" w:cs="Times New Roman"/>
          <w:sz w:val="16"/>
          <w:szCs w:val="16"/>
          <w:lang w:val="ro-RO"/>
        </w:rPr>
        <w:t xml:space="preserve">Renault Kadjar cu cutie de viteză manuală, </w:t>
      </w:r>
      <w:r w:rsidRPr="0077171B">
        <w:rPr>
          <w:rFonts w:ascii="Times New Roman" w:hAnsi="Times New Roman" w:cs="Times New Roman"/>
          <w:sz w:val="16"/>
          <w:szCs w:val="16"/>
          <w:lang w:val="ro-RO"/>
        </w:rPr>
        <w:t>extra urban</w:t>
      </w:r>
      <w:r>
        <w:rPr>
          <w:rFonts w:ascii="Times New Roman" w:hAnsi="Times New Roman" w:cs="Times New Roman"/>
          <w:sz w:val="16"/>
          <w:szCs w:val="16"/>
          <w:lang w:val="ro-RO"/>
        </w:rPr>
        <w:t xml:space="preserve"> </w:t>
      </w:r>
      <w:r w:rsidRPr="0077171B">
        <w:rPr>
          <w:rFonts w:ascii="Times New Roman" w:hAnsi="Times New Roman" w:cs="Times New Roman"/>
          <w:sz w:val="16"/>
          <w:szCs w:val="16"/>
          <w:lang w:val="ro-RO"/>
        </w:rPr>
        <w:t>(l/100</w:t>
      </w:r>
      <w:r>
        <w:rPr>
          <w:rFonts w:ascii="Times New Roman" w:hAnsi="Times New Roman" w:cs="Times New Roman"/>
          <w:sz w:val="16"/>
          <w:szCs w:val="16"/>
          <w:lang w:val="ro-RO"/>
        </w:rPr>
        <w:t xml:space="preserve"> </w:t>
      </w:r>
      <w:r w:rsidRPr="0077171B">
        <w:rPr>
          <w:rFonts w:ascii="Times New Roman" w:hAnsi="Times New Roman" w:cs="Times New Roman"/>
          <w:sz w:val="16"/>
          <w:szCs w:val="16"/>
          <w:lang w:val="ro-RO"/>
        </w:rPr>
        <w:t>km) 5,1 litri; consumul urban</w:t>
      </w:r>
      <w:r>
        <w:rPr>
          <w:rFonts w:ascii="Times New Roman" w:hAnsi="Times New Roman" w:cs="Times New Roman"/>
          <w:sz w:val="16"/>
          <w:szCs w:val="16"/>
          <w:lang w:val="ro-RO"/>
        </w:rPr>
        <w:t xml:space="preserve"> </w:t>
      </w:r>
      <w:r w:rsidRPr="0077171B">
        <w:rPr>
          <w:rFonts w:ascii="Times New Roman" w:hAnsi="Times New Roman" w:cs="Times New Roman"/>
          <w:sz w:val="16"/>
          <w:szCs w:val="16"/>
          <w:lang w:val="ro-RO"/>
        </w:rPr>
        <w:t>(l/100</w:t>
      </w:r>
      <w:r>
        <w:rPr>
          <w:rFonts w:ascii="Times New Roman" w:hAnsi="Times New Roman" w:cs="Times New Roman"/>
          <w:sz w:val="16"/>
          <w:szCs w:val="16"/>
          <w:lang w:val="ro-RO"/>
        </w:rPr>
        <w:t xml:space="preserve"> </w:t>
      </w:r>
      <w:r w:rsidRPr="0077171B">
        <w:rPr>
          <w:rFonts w:ascii="Times New Roman" w:hAnsi="Times New Roman" w:cs="Times New Roman"/>
          <w:sz w:val="16"/>
          <w:szCs w:val="16"/>
          <w:lang w:val="ro-RO"/>
        </w:rPr>
        <w:t>km) - 7,0 litri; consumul mixt</w:t>
      </w:r>
      <w:r>
        <w:rPr>
          <w:rFonts w:ascii="Times New Roman" w:hAnsi="Times New Roman" w:cs="Times New Roman"/>
          <w:sz w:val="16"/>
          <w:szCs w:val="16"/>
          <w:lang w:val="ro-RO"/>
        </w:rPr>
        <w:t xml:space="preserve"> </w:t>
      </w:r>
      <w:r w:rsidRPr="0077171B">
        <w:rPr>
          <w:rFonts w:ascii="Times New Roman" w:hAnsi="Times New Roman" w:cs="Times New Roman"/>
          <w:sz w:val="16"/>
          <w:szCs w:val="16"/>
          <w:lang w:val="ro-RO"/>
        </w:rPr>
        <w:t>(l/100</w:t>
      </w:r>
      <w:r>
        <w:rPr>
          <w:rFonts w:ascii="Times New Roman" w:hAnsi="Times New Roman" w:cs="Times New Roman"/>
          <w:sz w:val="16"/>
          <w:szCs w:val="16"/>
          <w:lang w:val="ro-RO"/>
        </w:rPr>
        <w:t xml:space="preserve"> </w:t>
      </w:r>
      <w:r w:rsidRPr="0077171B">
        <w:rPr>
          <w:rFonts w:ascii="Times New Roman" w:hAnsi="Times New Roman" w:cs="Times New Roman"/>
          <w:sz w:val="16"/>
          <w:szCs w:val="16"/>
          <w:lang w:val="ro-RO"/>
        </w:rPr>
        <w:t xml:space="preserve">km) - 5,8 litri; Consumul de combustibil al autoturismului </w:t>
      </w:r>
      <w:r w:rsidRPr="0077171B">
        <w:rPr>
          <w:rFonts w:ascii="Times New Roman" w:eastAsia="Times New Roman" w:hAnsi="Times New Roman" w:cs="Times New Roman"/>
          <w:sz w:val="16"/>
          <w:szCs w:val="16"/>
          <w:lang w:val="ro-RO"/>
        </w:rPr>
        <w:t xml:space="preserve">Renault Kadjar cu cutie de viteză automată, </w:t>
      </w:r>
      <w:r w:rsidRPr="0077171B">
        <w:rPr>
          <w:rFonts w:ascii="Times New Roman" w:hAnsi="Times New Roman" w:cs="Times New Roman"/>
          <w:sz w:val="16"/>
          <w:szCs w:val="16"/>
          <w:lang w:val="ro-RO"/>
        </w:rPr>
        <w:t>extra urban</w:t>
      </w:r>
      <w:r>
        <w:rPr>
          <w:rFonts w:ascii="Times New Roman" w:hAnsi="Times New Roman" w:cs="Times New Roman"/>
          <w:sz w:val="16"/>
          <w:szCs w:val="16"/>
          <w:lang w:val="ro-RO"/>
        </w:rPr>
        <w:t xml:space="preserve"> </w:t>
      </w:r>
      <w:r w:rsidRPr="0077171B">
        <w:rPr>
          <w:rFonts w:ascii="Times New Roman" w:hAnsi="Times New Roman" w:cs="Times New Roman"/>
          <w:sz w:val="16"/>
          <w:szCs w:val="16"/>
          <w:lang w:val="ro-RO"/>
        </w:rPr>
        <w:t>(l/100</w:t>
      </w:r>
      <w:r>
        <w:rPr>
          <w:rFonts w:ascii="Times New Roman" w:hAnsi="Times New Roman" w:cs="Times New Roman"/>
          <w:sz w:val="16"/>
          <w:szCs w:val="16"/>
          <w:lang w:val="ro-RO"/>
        </w:rPr>
        <w:t xml:space="preserve"> </w:t>
      </w:r>
      <w:r w:rsidRPr="0077171B">
        <w:rPr>
          <w:rFonts w:ascii="Times New Roman" w:hAnsi="Times New Roman" w:cs="Times New Roman"/>
          <w:sz w:val="16"/>
          <w:szCs w:val="16"/>
          <w:lang w:val="ro-RO"/>
        </w:rPr>
        <w:t>km) - 5,2 litri; consumul urban</w:t>
      </w:r>
      <w:r>
        <w:rPr>
          <w:rFonts w:ascii="Times New Roman" w:hAnsi="Times New Roman" w:cs="Times New Roman"/>
          <w:sz w:val="16"/>
          <w:szCs w:val="16"/>
          <w:lang w:val="ro-RO"/>
        </w:rPr>
        <w:t xml:space="preserve"> </w:t>
      </w:r>
      <w:r w:rsidRPr="0077171B">
        <w:rPr>
          <w:rFonts w:ascii="Times New Roman" w:hAnsi="Times New Roman" w:cs="Times New Roman"/>
          <w:sz w:val="16"/>
          <w:szCs w:val="16"/>
          <w:lang w:val="ro-RO"/>
        </w:rPr>
        <w:t xml:space="preserve">(l/100km) </w:t>
      </w:r>
      <w:r w:rsidRPr="00A423C8">
        <w:rPr>
          <w:rFonts w:ascii="Times New Roman" w:hAnsi="Times New Roman" w:cs="Times New Roman"/>
          <w:sz w:val="16"/>
          <w:szCs w:val="16"/>
          <w:lang w:val="ro-RO"/>
        </w:rPr>
        <w:t>- 6,9 litri</w:t>
      </w:r>
      <w:r w:rsidRPr="0077171B">
        <w:rPr>
          <w:rFonts w:ascii="Times New Roman" w:hAnsi="Times New Roman" w:cs="Times New Roman"/>
          <w:sz w:val="16"/>
          <w:szCs w:val="16"/>
          <w:lang w:val="ro-RO"/>
        </w:rPr>
        <w:t>; consumul mixt</w:t>
      </w:r>
      <w:r>
        <w:rPr>
          <w:rFonts w:ascii="Times New Roman" w:hAnsi="Times New Roman" w:cs="Times New Roman"/>
          <w:sz w:val="16"/>
          <w:szCs w:val="16"/>
          <w:lang w:val="ro-RO"/>
        </w:rPr>
        <w:t xml:space="preserve"> </w:t>
      </w:r>
      <w:r w:rsidRPr="0077171B">
        <w:rPr>
          <w:rFonts w:ascii="Times New Roman" w:hAnsi="Times New Roman" w:cs="Times New Roman"/>
          <w:sz w:val="16"/>
          <w:szCs w:val="16"/>
          <w:lang w:val="ro-RO"/>
        </w:rPr>
        <w:t>(l/100</w:t>
      </w:r>
      <w:r>
        <w:rPr>
          <w:rFonts w:ascii="Times New Roman" w:hAnsi="Times New Roman" w:cs="Times New Roman"/>
          <w:sz w:val="16"/>
          <w:szCs w:val="16"/>
          <w:lang w:val="ro-RO"/>
        </w:rPr>
        <w:t xml:space="preserve"> </w:t>
      </w:r>
      <w:r w:rsidRPr="0077171B">
        <w:rPr>
          <w:rFonts w:ascii="Times New Roman" w:hAnsi="Times New Roman" w:cs="Times New Roman"/>
          <w:sz w:val="16"/>
          <w:szCs w:val="16"/>
          <w:lang w:val="ro-RO"/>
        </w:rPr>
        <w:t>km) - 5,8 litri</w:t>
      </w:r>
      <w:r w:rsidRPr="0077171B">
        <w:rPr>
          <w:rFonts w:ascii="Times New Roman" w:eastAsia="Times New Roman" w:hAnsi="Times New Roman" w:cs="Times New Roman"/>
          <w:sz w:val="16"/>
          <w:szCs w:val="16"/>
          <w:lang w:val="ro-RO"/>
        </w:rPr>
        <w:t>.</w:t>
      </w:r>
    </w:p>
  </w:footnote>
  <w:footnote w:id="93">
    <w:p w14:paraId="18CCC5FA" w14:textId="47FB5800" w:rsidR="00CD219C" w:rsidRPr="0077171B" w:rsidRDefault="00CD219C" w:rsidP="00372EAF">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Ordinul directorului CNPDCP nr.27 din 08.08.2018 „Cu privire la instituirea Comisiei tehnice pentru revizuirea normelor de consum de combustibil pentru autoturismele </w:t>
      </w:r>
      <w:r w:rsidRPr="0077171B">
        <w:rPr>
          <w:rFonts w:ascii="Times New Roman" w:eastAsia="Times New Roman" w:hAnsi="Times New Roman" w:cs="Times New Roman"/>
          <w:sz w:val="16"/>
          <w:szCs w:val="16"/>
          <w:lang w:val="ro-RO"/>
        </w:rPr>
        <w:t>Renault Kadjar HRE 861 (cutie manuală</w:t>
      </w:r>
      <w:r>
        <w:rPr>
          <w:rFonts w:ascii="Times New Roman" w:eastAsia="Times New Roman" w:hAnsi="Times New Roman" w:cs="Times New Roman"/>
          <w:sz w:val="16"/>
          <w:szCs w:val="16"/>
          <w:lang w:val="ro-RO"/>
        </w:rPr>
        <w:t>)</w:t>
      </w:r>
      <w:r w:rsidRPr="0077171B">
        <w:rPr>
          <w:rFonts w:ascii="Times New Roman" w:eastAsia="Times New Roman" w:hAnsi="Times New Roman" w:cs="Times New Roman"/>
          <w:sz w:val="16"/>
          <w:szCs w:val="16"/>
          <w:lang w:val="ro-RO"/>
        </w:rPr>
        <w:t xml:space="preserve"> și Renault Kadjar HRE 854 (cutie automată)”.</w:t>
      </w:r>
    </w:p>
  </w:footnote>
  <w:footnote w:id="94">
    <w:p w14:paraId="02D3D035" w14:textId="3F1C83BB" w:rsidR="00CD219C" w:rsidRPr="0077171B" w:rsidRDefault="00CD219C" w:rsidP="00372EAF">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Contractul nr.40/17 din 14.12.2017 în sumă de 674,0 mii lei, încheiat de CNPDCP cu S.C. „DAAC-Autosport” S.R.L. </w:t>
      </w:r>
    </w:p>
  </w:footnote>
  <w:footnote w:id="95">
    <w:p w14:paraId="12E72034" w14:textId="77777777"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Contractul nr.30/20 din 23.11.2020 încheiat de CNPDCP cu S.R.L. „Automatic Lux” privind</w:t>
      </w:r>
      <w:r w:rsidRPr="0077171B">
        <w:rPr>
          <w:rFonts w:ascii="Times New Roman" w:eastAsia="Calibri" w:hAnsi="Times New Roman" w:cs="Times New Roman"/>
          <w:b/>
          <w:color w:val="000000"/>
          <w:lang w:val="ro-RO"/>
        </w:rPr>
        <w:t xml:space="preserve"> </w:t>
      </w:r>
      <w:r w:rsidRPr="0077171B">
        <w:rPr>
          <w:rFonts w:ascii="Times New Roman" w:eastAsia="Calibri" w:hAnsi="Times New Roman" w:cs="Times New Roman"/>
          <w:color w:val="000000"/>
          <w:sz w:val="16"/>
          <w:szCs w:val="16"/>
          <w:lang w:val="ro-RO"/>
        </w:rPr>
        <w:t>achiziția serviciilor de reparație a cutiei de viteză a automobilului Chevrolet Captiva în sumă de 59,5 mii lei</w:t>
      </w:r>
      <w:r w:rsidRPr="0077171B">
        <w:rPr>
          <w:rFonts w:ascii="Times New Roman" w:hAnsi="Times New Roman" w:cs="Times New Roman"/>
          <w:sz w:val="16"/>
          <w:szCs w:val="16"/>
          <w:lang w:val="ro-RO"/>
        </w:rPr>
        <w:t>.</w:t>
      </w:r>
    </w:p>
  </w:footnote>
  <w:footnote w:id="96">
    <w:p w14:paraId="47CB1F0B" w14:textId="256BE7AA" w:rsidR="00CD219C" w:rsidRPr="0077171B" w:rsidRDefault="00CD219C" w:rsidP="00AC7BA4">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A</w:t>
      </w:r>
      <w:r w:rsidRPr="0077171B">
        <w:rPr>
          <w:rFonts w:ascii="Times New Roman" w:eastAsia="Calibri" w:hAnsi="Times New Roman" w:cs="Times New Roman"/>
          <w:color w:val="000000"/>
          <w:sz w:val="16"/>
          <w:szCs w:val="16"/>
          <w:lang w:val="ro-RO"/>
        </w:rPr>
        <w:t xml:space="preserve">rt. 38  alin. (1) din Legea </w:t>
      </w:r>
      <w:r>
        <w:rPr>
          <w:rFonts w:ascii="Times New Roman" w:eastAsia="Calibri" w:hAnsi="Times New Roman" w:cs="Times New Roman"/>
          <w:color w:val="000000"/>
          <w:sz w:val="16"/>
          <w:szCs w:val="16"/>
          <w:lang w:val="ro-RO"/>
        </w:rPr>
        <w:t>nr.</w:t>
      </w:r>
      <w:r w:rsidRPr="0077171B">
        <w:rPr>
          <w:rFonts w:ascii="Times New Roman" w:eastAsia="Calibri" w:hAnsi="Times New Roman" w:cs="Times New Roman"/>
          <w:color w:val="000000"/>
          <w:sz w:val="16"/>
          <w:szCs w:val="16"/>
          <w:lang w:val="ro-RO"/>
        </w:rPr>
        <w:t>131 din 03.03.2015 privind achizițiile publice</w:t>
      </w:r>
      <w:r w:rsidRPr="0077171B">
        <w:rPr>
          <w:rFonts w:ascii="Times New Roman" w:hAnsi="Times New Roman" w:cs="Times New Roman"/>
          <w:sz w:val="16"/>
          <w:szCs w:val="16"/>
          <w:lang w:val="ro-RO"/>
        </w:rPr>
        <w:t>.</w:t>
      </w:r>
    </w:p>
  </w:footnote>
  <w:footnote w:id="97">
    <w:p w14:paraId="5672C3A9" w14:textId="6D736BB3"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Scrisoarea nr.05-20/3562 din 16.12.2019 adresată de CNPDCP directorului S.R.L.„GBS”</w:t>
      </w:r>
      <w:r>
        <w:rPr>
          <w:rFonts w:ascii="Times New Roman" w:hAnsi="Times New Roman" w:cs="Times New Roman"/>
          <w:sz w:val="16"/>
          <w:szCs w:val="16"/>
          <w:lang w:val="ro-RO"/>
        </w:rPr>
        <w:t>,</w:t>
      </w:r>
      <w:r w:rsidRPr="0077171B">
        <w:rPr>
          <w:rFonts w:ascii="Times New Roman" w:eastAsia="Calibri" w:hAnsi="Times New Roman" w:cs="Times New Roman"/>
          <w:color w:val="000000"/>
          <w:sz w:val="16"/>
          <w:szCs w:val="16"/>
          <w:lang w:val="ro-RO"/>
        </w:rPr>
        <w:t xml:space="preserve"> distribuitor oficial Chevrolet în Republica Moldova.</w:t>
      </w:r>
      <w:r w:rsidRPr="0077171B">
        <w:rPr>
          <w:rFonts w:ascii="Times New Roman" w:hAnsi="Times New Roman" w:cs="Times New Roman"/>
          <w:sz w:val="16"/>
          <w:szCs w:val="16"/>
          <w:lang w:val="ro-RO"/>
        </w:rPr>
        <w:t xml:space="preserve"> </w:t>
      </w:r>
    </w:p>
  </w:footnote>
  <w:footnote w:id="98">
    <w:p w14:paraId="0BC8FBFF" w14:textId="60FDDE30"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Not</w:t>
      </w:r>
      <w:r>
        <w:rPr>
          <w:rFonts w:ascii="Times New Roman" w:hAnsi="Times New Roman" w:cs="Times New Roman"/>
          <w:sz w:val="16"/>
          <w:szCs w:val="16"/>
          <w:lang w:val="ro-RO"/>
        </w:rPr>
        <w:t>a</w:t>
      </w:r>
      <w:r w:rsidRPr="0077171B">
        <w:rPr>
          <w:rFonts w:ascii="Times New Roman" w:hAnsi="Times New Roman" w:cs="Times New Roman"/>
          <w:sz w:val="16"/>
          <w:szCs w:val="16"/>
          <w:lang w:val="ro-RO"/>
        </w:rPr>
        <w:t xml:space="preserve"> de serviciu din 01.11.2019 adresată directorului CNPDCP de către Andrei Stănilă</w:t>
      </w:r>
      <w:r>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conducător auto</w:t>
      </w:r>
      <w:r>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și Marin Bostan – consultant resurse umane</w:t>
      </w:r>
      <w:r w:rsidRPr="0077171B">
        <w:rPr>
          <w:rFonts w:ascii="Times New Roman" w:eastAsia="Calibri" w:hAnsi="Times New Roman" w:cs="Times New Roman"/>
          <w:color w:val="000000"/>
          <w:sz w:val="16"/>
          <w:szCs w:val="16"/>
          <w:lang w:val="ro-RO"/>
        </w:rPr>
        <w:t>.</w:t>
      </w:r>
    </w:p>
  </w:footnote>
  <w:footnote w:id="99">
    <w:p w14:paraId="387811B2" w14:textId="3E106CD5" w:rsidR="00CD219C" w:rsidRPr="0077171B" w:rsidRDefault="00CD219C" w:rsidP="006D7209">
      <w:pPr>
        <w:pStyle w:val="tt"/>
        <w:jc w:val="both"/>
        <w:rPr>
          <w:sz w:val="16"/>
          <w:szCs w:val="16"/>
          <w:lang w:val="ro-RO"/>
        </w:rPr>
      </w:pPr>
      <w:r w:rsidRPr="0077171B">
        <w:rPr>
          <w:rStyle w:val="FootnoteReference"/>
          <w:b w:val="0"/>
          <w:sz w:val="16"/>
          <w:szCs w:val="16"/>
          <w:lang w:val="ro-RO"/>
        </w:rPr>
        <w:footnoteRef/>
      </w:r>
      <w:r w:rsidRPr="0077171B">
        <w:rPr>
          <w:sz w:val="16"/>
          <w:szCs w:val="16"/>
          <w:lang w:val="ro-RO"/>
        </w:rPr>
        <w:t xml:space="preserve"> </w:t>
      </w:r>
      <w:r w:rsidRPr="0077171B">
        <w:rPr>
          <w:b w:val="0"/>
          <w:sz w:val="16"/>
          <w:szCs w:val="16"/>
          <w:lang w:val="ro-RO"/>
        </w:rPr>
        <w:t xml:space="preserve">Ordinul </w:t>
      </w:r>
      <w:r>
        <w:rPr>
          <w:b w:val="0"/>
          <w:sz w:val="16"/>
          <w:szCs w:val="16"/>
          <w:lang w:val="ro-RO"/>
        </w:rPr>
        <w:t>m</w:t>
      </w:r>
      <w:r w:rsidRPr="0077171B">
        <w:rPr>
          <w:b w:val="0"/>
          <w:sz w:val="16"/>
          <w:szCs w:val="16"/>
          <w:lang w:val="ro-RO"/>
        </w:rPr>
        <w:t xml:space="preserve">inistrului Finanțelor nr. 115 din 15.09.2021 „Cu privire la aprobarea Documentației standard pentru realizarea achizițiilor publice de bunuri și servicii”; Ordinul </w:t>
      </w:r>
      <w:r>
        <w:rPr>
          <w:b w:val="0"/>
          <w:sz w:val="16"/>
          <w:szCs w:val="16"/>
          <w:lang w:val="ro-RO"/>
        </w:rPr>
        <w:t>m</w:t>
      </w:r>
      <w:r w:rsidRPr="0077171B">
        <w:rPr>
          <w:b w:val="0"/>
          <w:sz w:val="16"/>
          <w:szCs w:val="16"/>
          <w:lang w:val="ro-RO"/>
        </w:rPr>
        <w:t xml:space="preserve">inistrului Finanțelor nr.173 din 05.10.2018 </w:t>
      </w:r>
      <w:r>
        <w:rPr>
          <w:b w:val="0"/>
          <w:sz w:val="16"/>
          <w:szCs w:val="16"/>
          <w:lang w:val="ro-RO"/>
        </w:rPr>
        <w:t>„</w:t>
      </w:r>
      <w:r w:rsidRPr="0077171B">
        <w:rPr>
          <w:b w:val="0"/>
          <w:sz w:val="16"/>
          <w:szCs w:val="16"/>
          <w:lang w:val="ro-RO"/>
        </w:rPr>
        <w:t xml:space="preserve">Cu privire la aprobarea Documentației standard pentru realizarea achizițiilor publice de bunuri”; Ordinul </w:t>
      </w:r>
      <w:r>
        <w:rPr>
          <w:b w:val="0"/>
          <w:sz w:val="16"/>
          <w:szCs w:val="16"/>
          <w:lang w:val="ro-RO"/>
        </w:rPr>
        <w:t>m</w:t>
      </w:r>
      <w:r w:rsidRPr="0077171B">
        <w:rPr>
          <w:b w:val="0"/>
          <w:sz w:val="16"/>
          <w:szCs w:val="16"/>
          <w:lang w:val="ro-RO"/>
        </w:rPr>
        <w:t xml:space="preserve">inistrului Finanțelor nr.159 din 26.11.2014 „Cu privire la aprobarea Documentației de atribuire pentru realizarea achizițiilor publice de produse petroliere”. </w:t>
      </w:r>
    </w:p>
  </w:footnote>
  <w:footnote w:id="100">
    <w:p w14:paraId="714BAC02" w14:textId="554F8D77" w:rsidR="00CD219C" w:rsidRPr="00026D4F"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w:t>
      </w:r>
      <w:r w:rsidRPr="00026D4F">
        <w:rPr>
          <w:rFonts w:ascii="Times New Roman" w:hAnsi="Times New Roman" w:cs="Times New Roman"/>
          <w:sz w:val="16"/>
          <w:szCs w:val="16"/>
          <w:lang w:val="ro-RO"/>
        </w:rPr>
        <w:t xml:space="preserve">Ordinul </w:t>
      </w:r>
      <w:r>
        <w:rPr>
          <w:rFonts w:ascii="Times New Roman" w:hAnsi="Times New Roman" w:cs="Times New Roman"/>
          <w:sz w:val="16"/>
          <w:szCs w:val="16"/>
          <w:lang w:val="ro-RO"/>
        </w:rPr>
        <w:t>m</w:t>
      </w:r>
      <w:r w:rsidRPr="00026D4F">
        <w:rPr>
          <w:rFonts w:ascii="Times New Roman" w:hAnsi="Times New Roman" w:cs="Times New Roman"/>
          <w:sz w:val="16"/>
          <w:szCs w:val="16"/>
          <w:lang w:val="ro-RO"/>
        </w:rPr>
        <w:t xml:space="preserve">inistrului Finanțelor nr.115 din 15.09.2021 </w:t>
      </w:r>
      <w:r>
        <w:rPr>
          <w:rFonts w:ascii="Times New Roman" w:hAnsi="Times New Roman" w:cs="Times New Roman"/>
          <w:sz w:val="16"/>
          <w:szCs w:val="16"/>
          <w:lang w:val="ro-RO"/>
        </w:rPr>
        <w:t>„C</w:t>
      </w:r>
      <w:r w:rsidRPr="00026D4F">
        <w:rPr>
          <w:rFonts w:ascii="Times New Roman" w:hAnsi="Times New Roman" w:cs="Times New Roman"/>
          <w:sz w:val="16"/>
          <w:szCs w:val="16"/>
          <w:lang w:val="ro-RO"/>
        </w:rPr>
        <w:t>u privire la aprobarea Documentației standard pentru realizarea achizițiilor publice de bunuri și servicii</w:t>
      </w:r>
      <w:r>
        <w:rPr>
          <w:rFonts w:ascii="Times New Roman" w:hAnsi="Times New Roman" w:cs="Times New Roman"/>
          <w:sz w:val="16"/>
          <w:szCs w:val="16"/>
          <w:lang w:val="ro-RO"/>
        </w:rPr>
        <w:t>”</w:t>
      </w:r>
      <w:r w:rsidRPr="00026D4F">
        <w:rPr>
          <w:rFonts w:ascii="Times New Roman" w:hAnsi="Times New Roman" w:cs="Times New Roman"/>
          <w:sz w:val="16"/>
          <w:szCs w:val="16"/>
          <w:lang w:val="ro-RO"/>
        </w:rPr>
        <w:t>.</w:t>
      </w:r>
    </w:p>
  </w:footnote>
  <w:footnote w:id="101">
    <w:p w14:paraId="7F12BA77" w14:textId="77777777" w:rsidR="00CD219C" w:rsidRPr="0077171B" w:rsidRDefault="00CD219C" w:rsidP="00C370A5">
      <w:pPr>
        <w:pStyle w:val="FootnoteText"/>
        <w:jc w:val="both"/>
        <w:rPr>
          <w:rFonts w:ascii="Times New Roman" w:hAnsi="Times New Roman" w:cs="Times New Roman"/>
          <w:sz w:val="16"/>
          <w:szCs w:val="16"/>
          <w:lang w:val="ro-RO"/>
        </w:rPr>
      </w:pPr>
      <w:r w:rsidRPr="00C370A5">
        <w:rPr>
          <w:rStyle w:val="FootnoteReference"/>
          <w:rFonts w:ascii="Times New Roman" w:hAnsi="Times New Roman" w:cs="Times New Roman"/>
          <w:sz w:val="16"/>
          <w:szCs w:val="16"/>
          <w:lang w:val="ro-RO"/>
        </w:rPr>
        <w:footnoteRef/>
      </w:r>
      <w:r w:rsidRPr="00C370A5">
        <w:rPr>
          <w:rFonts w:ascii="Times New Roman" w:hAnsi="Times New Roman" w:cs="Times New Roman"/>
          <w:sz w:val="16"/>
          <w:szCs w:val="16"/>
          <w:lang w:val="ro-RO"/>
        </w:rPr>
        <w:t xml:space="preserve"> Art.3 din Legea nr.270 din 23.11.2018 privind sistemul unitar de salarizare în sectorul bugetar.</w:t>
      </w:r>
    </w:p>
  </w:footnote>
  <w:footnote w:id="102">
    <w:p w14:paraId="666DF0A8" w14:textId="6CC93364" w:rsidR="00CD219C" w:rsidRPr="001F7A1F" w:rsidRDefault="00CD219C" w:rsidP="001F7A1F">
      <w:pPr>
        <w:pStyle w:val="FootnoteText"/>
        <w:jc w:val="both"/>
        <w:rPr>
          <w:rFonts w:ascii="Times New Roman" w:hAnsi="Times New Roman" w:cs="Times New Roman"/>
          <w:sz w:val="16"/>
          <w:szCs w:val="16"/>
          <w:lang w:val="ro-RO"/>
        </w:rPr>
      </w:pPr>
      <w:r w:rsidRPr="00C370A5">
        <w:rPr>
          <w:rStyle w:val="FootnoteReference"/>
          <w:rFonts w:ascii="Times New Roman" w:hAnsi="Times New Roman" w:cs="Times New Roman"/>
          <w:sz w:val="16"/>
          <w:szCs w:val="16"/>
          <w:lang w:val="ro-RO"/>
        </w:rPr>
        <w:footnoteRef/>
      </w:r>
      <w:r>
        <w:rPr>
          <w:rFonts w:ascii="Times New Roman" w:hAnsi="Times New Roman" w:cs="Times New Roman"/>
          <w:sz w:val="16"/>
          <w:szCs w:val="16"/>
          <w:lang w:val="ro-RO"/>
        </w:rPr>
        <w:t xml:space="preserve"> </w:t>
      </w:r>
      <w:r w:rsidRPr="00C370A5">
        <w:rPr>
          <w:rFonts w:ascii="Times New Roman" w:hAnsi="Times New Roman" w:cs="Times New Roman"/>
          <w:sz w:val="16"/>
          <w:szCs w:val="16"/>
          <w:lang w:val="ro-RO"/>
        </w:rPr>
        <w:t>Legea nr.355 din 23.12.2005 cu privire la sistemul de salarizare în sectorul bugetar pentru perioada 01.01.2018-30.11.2018.</w:t>
      </w:r>
      <w:r>
        <w:rPr>
          <w:rFonts w:ascii="Times New Roman" w:hAnsi="Times New Roman" w:cs="Times New Roman"/>
          <w:sz w:val="16"/>
          <w:szCs w:val="16"/>
          <w:lang w:val="ro-RO"/>
        </w:rPr>
        <w:t xml:space="preserve"> </w:t>
      </w:r>
      <w:r w:rsidRPr="001F7A1F">
        <w:rPr>
          <w:rFonts w:ascii="Times New Roman" w:hAnsi="Times New Roman" w:cs="Times New Roman"/>
          <w:sz w:val="16"/>
          <w:szCs w:val="16"/>
          <w:lang w:val="ro-RO"/>
        </w:rPr>
        <w:t>Legea nr.270 din 23.11.2018 privind sistemul unitar de salarizare în sectorul bugetar.</w:t>
      </w:r>
    </w:p>
  </w:footnote>
  <w:footnote w:id="103">
    <w:p w14:paraId="22B654C5" w14:textId="0DF7F87B" w:rsidR="00CD219C" w:rsidRPr="00C370A5" w:rsidRDefault="00CD219C" w:rsidP="0044398E">
      <w:pPr>
        <w:pStyle w:val="FootnoteText"/>
        <w:jc w:val="both"/>
        <w:rPr>
          <w:rFonts w:ascii="Times New Roman" w:hAnsi="Times New Roman" w:cs="Times New Roman"/>
          <w:sz w:val="16"/>
          <w:szCs w:val="16"/>
          <w:lang w:val="ro-RO"/>
        </w:rPr>
      </w:pPr>
      <w:r w:rsidRPr="00C370A5">
        <w:rPr>
          <w:rStyle w:val="FootnoteReference"/>
          <w:rFonts w:ascii="Times New Roman" w:hAnsi="Times New Roman" w:cs="Times New Roman"/>
          <w:sz w:val="16"/>
          <w:szCs w:val="16"/>
          <w:lang w:val="ro-RO"/>
        </w:rPr>
        <w:footnoteRef/>
      </w:r>
      <w:r w:rsidRPr="00C370A5">
        <w:rPr>
          <w:rFonts w:ascii="Times New Roman" w:hAnsi="Times New Roman" w:cs="Times New Roman"/>
          <w:sz w:val="16"/>
          <w:szCs w:val="16"/>
          <w:lang w:val="ro-RO"/>
        </w:rPr>
        <w:t xml:space="preserve"> Art.21 din Legea nr.270 din 23.11.2018 privind sistemul unitar de salarizare în sectorul bugetar; art.32 din Legea </w:t>
      </w:r>
      <w:r>
        <w:rPr>
          <w:rFonts w:ascii="Times New Roman" w:hAnsi="Times New Roman" w:cs="Times New Roman"/>
          <w:sz w:val="16"/>
          <w:szCs w:val="16"/>
          <w:lang w:val="ro-RO"/>
        </w:rPr>
        <w:t>nr.</w:t>
      </w:r>
      <w:r w:rsidRPr="00C370A5">
        <w:rPr>
          <w:rFonts w:ascii="Times New Roman" w:hAnsi="Times New Roman" w:cs="Times New Roman"/>
          <w:sz w:val="16"/>
          <w:szCs w:val="16"/>
          <w:lang w:val="ro-RO"/>
        </w:rPr>
        <w:t>355 din 23.12.2005 cu privire la sistemul de salarizare în sectorul bugetar.</w:t>
      </w:r>
    </w:p>
  </w:footnote>
  <w:footnote w:id="104">
    <w:p w14:paraId="47DEC715" w14:textId="77777777" w:rsidR="00CD219C" w:rsidRPr="0077171B" w:rsidRDefault="00CD219C" w:rsidP="0044398E">
      <w:pPr>
        <w:pStyle w:val="FootnoteText"/>
        <w:jc w:val="both"/>
        <w:rPr>
          <w:rFonts w:ascii="Times New Roman" w:hAnsi="Times New Roman" w:cs="Times New Roman"/>
          <w:sz w:val="16"/>
          <w:szCs w:val="16"/>
          <w:lang w:val="ro-RO"/>
        </w:rPr>
      </w:pPr>
      <w:r w:rsidRPr="00C370A5">
        <w:rPr>
          <w:rStyle w:val="FootnoteReference"/>
          <w:rFonts w:ascii="Times New Roman" w:hAnsi="Times New Roman" w:cs="Times New Roman"/>
          <w:sz w:val="16"/>
          <w:szCs w:val="16"/>
          <w:lang w:val="ro-RO"/>
        </w:rPr>
        <w:footnoteRef/>
      </w:r>
      <w:r w:rsidRPr="00C370A5">
        <w:rPr>
          <w:rFonts w:ascii="Times New Roman" w:hAnsi="Times New Roman" w:cs="Times New Roman"/>
          <w:sz w:val="16"/>
          <w:szCs w:val="16"/>
          <w:lang w:val="ro-RO"/>
        </w:rPr>
        <w:t xml:space="preserve"> Art.3 din Legea nr.270 din 23.11.2018 privind sistemul unitar de salarizare în sectorul bugetar.</w:t>
      </w:r>
    </w:p>
  </w:footnote>
  <w:footnote w:id="105">
    <w:p w14:paraId="48884F57" w14:textId="67F2F6D4" w:rsidR="00CD219C" w:rsidRPr="00C370A5" w:rsidRDefault="00CD219C" w:rsidP="0044398E">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w:t>
      </w:r>
      <w:r w:rsidRPr="00C370A5">
        <w:rPr>
          <w:rFonts w:ascii="Times New Roman" w:hAnsi="Times New Roman" w:cs="Times New Roman"/>
          <w:sz w:val="16"/>
          <w:szCs w:val="16"/>
          <w:lang w:val="ro-RO"/>
        </w:rPr>
        <w:t>Art.21 din Legea nr.270 din 23.11.2018 privind sistemul unitar de salarizare în sectorul bugetar</w:t>
      </w:r>
      <w:r>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suma de 929,3 mii lei, inclusiv în a</w:t>
      </w:r>
      <w:r w:rsidRPr="00C370A5">
        <w:rPr>
          <w:rFonts w:ascii="Times New Roman" w:hAnsi="Times New Roman" w:cs="Times New Roman"/>
          <w:sz w:val="16"/>
          <w:szCs w:val="16"/>
          <w:lang w:val="ro-RO"/>
        </w:rPr>
        <w:t>nul 2022</w:t>
      </w:r>
      <w:r>
        <w:rPr>
          <w:rFonts w:ascii="Times New Roman" w:hAnsi="Times New Roman" w:cs="Times New Roman"/>
          <w:sz w:val="16"/>
          <w:szCs w:val="16"/>
          <w:lang w:val="ro-RO"/>
        </w:rPr>
        <w:t xml:space="preserve"> – </w:t>
      </w:r>
      <w:r w:rsidRPr="00C370A5">
        <w:rPr>
          <w:rFonts w:ascii="Times New Roman" w:hAnsi="Times New Roman" w:cs="Times New Roman"/>
          <w:sz w:val="16"/>
          <w:szCs w:val="16"/>
          <w:lang w:val="ro-RO"/>
        </w:rPr>
        <w:t>308,2 mii lei, anul 2021</w:t>
      </w:r>
      <w:r>
        <w:rPr>
          <w:rFonts w:ascii="Times New Roman" w:hAnsi="Times New Roman" w:cs="Times New Roman"/>
          <w:sz w:val="16"/>
          <w:szCs w:val="16"/>
          <w:lang w:val="ro-RO"/>
        </w:rPr>
        <w:t xml:space="preserve"> </w:t>
      </w:r>
      <w:r w:rsidRPr="00C370A5">
        <w:rPr>
          <w:rFonts w:ascii="Times New Roman" w:hAnsi="Times New Roman" w:cs="Times New Roman"/>
          <w:sz w:val="16"/>
          <w:szCs w:val="16"/>
          <w:lang w:val="ro-RO"/>
        </w:rPr>
        <w:t>-</w:t>
      </w:r>
      <w:r>
        <w:rPr>
          <w:rFonts w:ascii="Times New Roman" w:hAnsi="Times New Roman" w:cs="Times New Roman"/>
          <w:sz w:val="16"/>
          <w:szCs w:val="16"/>
          <w:lang w:val="ro-RO"/>
        </w:rPr>
        <w:t xml:space="preserve"> </w:t>
      </w:r>
      <w:r w:rsidRPr="00C370A5">
        <w:rPr>
          <w:rFonts w:ascii="Times New Roman" w:hAnsi="Times New Roman" w:cs="Times New Roman"/>
          <w:sz w:val="16"/>
          <w:szCs w:val="16"/>
          <w:lang w:val="ro-RO"/>
        </w:rPr>
        <w:t>212,8 mii lei, 2020</w:t>
      </w:r>
      <w:r>
        <w:rPr>
          <w:rFonts w:ascii="Times New Roman" w:hAnsi="Times New Roman" w:cs="Times New Roman"/>
          <w:sz w:val="16"/>
          <w:szCs w:val="16"/>
          <w:lang w:val="ro-RO"/>
        </w:rPr>
        <w:t xml:space="preserve"> </w:t>
      </w:r>
      <w:r w:rsidRPr="00C370A5">
        <w:rPr>
          <w:rFonts w:ascii="Times New Roman" w:hAnsi="Times New Roman" w:cs="Times New Roman"/>
          <w:sz w:val="16"/>
          <w:szCs w:val="16"/>
          <w:lang w:val="ro-RO"/>
        </w:rPr>
        <w:t>-</w:t>
      </w:r>
      <w:r>
        <w:rPr>
          <w:rFonts w:ascii="Times New Roman" w:hAnsi="Times New Roman" w:cs="Times New Roman"/>
          <w:sz w:val="16"/>
          <w:szCs w:val="16"/>
          <w:lang w:val="ro-RO"/>
        </w:rPr>
        <w:t xml:space="preserve"> </w:t>
      </w:r>
      <w:r w:rsidRPr="00C370A5">
        <w:rPr>
          <w:rFonts w:ascii="Times New Roman" w:hAnsi="Times New Roman" w:cs="Times New Roman"/>
          <w:sz w:val="16"/>
          <w:szCs w:val="16"/>
          <w:lang w:val="ro-RO"/>
        </w:rPr>
        <w:t>165,6 mii lei, 2019</w:t>
      </w:r>
      <w:r>
        <w:rPr>
          <w:rFonts w:ascii="Times New Roman" w:hAnsi="Times New Roman" w:cs="Times New Roman"/>
          <w:sz w:val="16"/>
          <w:szCs w:val="16"/>
          <w:lang w:val="ro-RO"/>
        </w:rPr>
        <w:t xml:space="preserve"> </w:t>
      </w:r>
      <w:r w:rsidRPr="00C370A5">
        <w:rPr>
          <w:rFonts w:ascii="Times New Roman" w:hAnsi="Times New Roman" w:cs="Times New Roman"/>
          <w:sz w:val="16"/>
          <w:szCs w:val="16"/>
          <w:lang w:val="ro-RO"/>
        </w:rPr>
        <w:t>-</w:t>
      </w:r>
      <w:r>
        <w:rPr>
          <w:rFonts w:ascii="Times New Roman" w:hAnsi="Times New Roman" w:cs="Times New Roman"/>
          <w:sz w:val="16"/>
          <w:szCs w:val="16"/>
          <w:lang w:val="ro-RO"/>
        </w:rPr>
        <w:t xml:space="preserve"> </w:t>
      </w:r>
      <w:r w:rsidRPr="00C370A5">
        <w:rPr>
          <w:rFonts w:ascii="Times New Roman" w:hAnsi="Times New Roman" w:cs="Times New Roman"/>
          <w:sz w:val="16"/>
          <w:szCs w:val="16"/>
          <w:lang w:val="ro-RO"/>
        </w:rPr>
        <w:t>0,0 mii lei, decembrie 2018</w:t>
      </w:r>
      <w:r>
        <w:rPr>
          <w:rFonts w:ascii="Times New Roman" w:hAnsi="Times New Roman" w:cs="Times New Roman"/>
          <w:sz w:val="16"/>
          <w:szCs w:val="16"/>
          <w:lang w:val="ro-RO"/>
        </w:rPr>
        <w:t xml:space="preserve"> </w:t>
      </w:r>
      <w:r w:rsidRPr="00C370A5">
        <w:rPr>
          <w:rFonts w:ascii="Times New Roman" w:hAnsi="Times New Roman" w:cs="Times New Roman"/>
          <w:sz w:val="16"/>
          <w:szCs w:val="16"/>
          <w:lang w:val="ro-RO"/>
        </w:rPr>
        <w:t>-</w:t>
      </w:r>
      <w:r>
        <w:rPr>
          <w:rFonts w:ascii="Times New Roman" w:hAnsi="Times New Roman" w:cs="Times New Roman"/>
          <w:sz w:val="16"/>
          <w:szCs w:val="16"/>
          <w:lang w:val="ro-RO"/>
        </w:rPr>
        <w:t xml:space="preserve"> </w:t>
      </w:r>
      <w:r w:rsidRPr="00C370A5">
        <w:rPr>
          <w:rFonts w:ascii="Times New Roman" w:hAnsi="Times New Roman" w:cs="Times New Roman"/>
          <w:sz w:val="16"/>
          <w:szCs w:val="16"/>
          <w:lang w:val="ro-RO"/>
        </w:rPr>
        <w:t xml:space="preserve">242,7 mii lei; art.32 din Legea </w:t>
      </w:r>
      <w:r>
        <w:rPr>
          <w:rFonts w:ascii="Times New Roman" w:hAnsi="Times New Roman" w:cs="Times New Roman"/>
          <w:sz w:val="16"/>
          <w:szCs w:val="16"/>
          <w:lang w:val="ro-RO"/>
        </w:rPr>
        <w:t>nr.</w:t>
      </w:r>
      <w:r w:rsidRPr="00C370A5">
        <w:rPr>
          <w:rFonts w:ascii="Times New Roman" w:hAnsi="Times New Roman" w:cs="Times New Roman"/>
          <w:sz w:val="16"/>
          <w:szCs w:val="16"/>
          <w:lang w:val="ro-RO"/>
        </w:rPr>
        <w:t xml:space="preserve">355 din 23.12.2005 cu privire la sistemul de salarizare în sectorul bugetar, </w:t>
      </w:r>
      <w:r>
        <w:rPr>
          <w:rFonts w:ascii="Times New Roman" w:hAnsi="Times New Roman" w:cs="Times New Roman"/>
          <w:sz w:val="16"/>
          <w:szCs w:val="16"/>
          <w:lang w:val="ro-RO"/>
        </w:rPr>
        <w:t xml:space="preserve">lunile </w:t>
      </w:r>
      <w:r w:rsidRPr="00C370A5">
        <w:rPr>
          <w:rFonts w:ascii="Times New Roman" w:hAnsi="Times New Roman" w:cs="Times New Roman"/>
          <w:sz w:val="16"/>
          <w:szCs w:val="16"/>
          <w:lang w:val="ro-RO"/>
        </w:rPr>
        <w:t>ianuarie</w:t>
      </w:r>
      <w:r>
        <w:rPr>
          <w:rFonts w:ascii="Times New Roman" w:hAnsi="Times New Roman" w:cs="Times New Roman"/>
          <w:sz w:val="16"/>
          <w:szCs w:val="16"/>
          <w:lang w:val="ro-RO"/>
        </w:rPr>
        <w:t xml:space="preserve"> </w:t>
      </w:r>
      <w:r w:rsidRPr="00C370A5">
        <w:rPr>
          <w:rFonts w:ascii="Times New Roman" w:hAnsi="Times New Roman" w:cs="Times New Roman"/>
          <w:sz w:val="16"/>
          <w:szCs w:val="16"/>
          <w:lang w:val="ro-RO"/>
        </w:rPr>
        <w:t>-</w:t>
      </w:r>
      <w:r>
        <w:rPr>
          <w:rFonts w:ascii="Times New Roman" w:hAnsi="Times New Roman" w:cs="Times New Roman"/>
          <w:sz w:val="16"/>
          <w:szCs w:val="16"/>
          <w:lang w:val="ro-RO"/>
        </w:rPr>
        <w:t xml:space="preserve"> </w:t>
      </w:r>
      <w:r w:rsidRPr="00C370A5">
        <w:rPr>
          <w:rFonts w:ascii="Times New Roman" w:hAnsi="Times New Roman" w:cs="Times New Roman"/>
          <w:sz w:val="16"/>
          <w:szCs w:val="16"/>
          <w:lang w:val="ro-RO"/>
        </w:rPr>
        <w:t>noiembrie 2018</w:t>
      </w:r>
      <w:r>
        <w:rPr>
          <w:rFonts w:ascii="Times New Roman" w:hAnsi="Times New Roman" w:cs="Times New Roman"/>
          <w:sz w:val="16"/>
          <w:szCs w:val="16"/>
          <w:lang w:val="ro-RO"/>
        </w:rPr>
        <w:t xml:space="preserve"> </w:t>
      </w:r>
      <w:r w:rsidRPr="00C370A5">
        <w:rPr>
          <w:rFonts w:ascii="Times New Roman" w:hAnsi="Times New Roman" w:cs="Times New Roman"/>
          <w:sz w:val="16"/>
          <w:szCs w:val="16"/>
          <w:lang w:val="ro-RO"/>
        </w:rPr>
        <w:t>-</w:t>
      </w:r>
      <w:r>
        <w:rPr>
          <w:rFonts w:ascii="Times New Roman" w:hAnsi="Times New Roman" w:cs="Times New Roman"/>
          <w:sz w:val="16"/>
          <w:szCs w:val="16"/>
          <w:lang w:val="ro-RO"/>
        </w:rPr>
        <w:t xml:space="preserve"> </w:t>
      </w:r>
      <w:r w:rsidRPr="00C370A5">
        <w:rPr>
          <w:rFonts w:ascii="Times New Roman" w:hAnsi="Times New Roman" w:cs="Times New Roman"/>
          <w:sz w:val="16"/>
          <w:szCs w:val="16"/>
          <w:lang w:val="ro-RO"/>
        </w:rPr>
        <w:t>830,7 mii lei.</w:t>
      </w:r>
    </w:p>
  </w:footnote>
  <w:footnote w:id="106">
    <w:p w14:paraId="305886DC" w14:textId="0E0E7ED4" w:rsidR="00CD219C" w:rsidRPr="0077171B" w:rsidRDefault="00CD219C" w:rsidP="0077171B">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Z</w:t>
      </w:r>
      <w:r w:rsidRPr="00C370A5">
        <w:rPr>
          <w:rFonts w:ascii="Times New Roman" w:hAnsi="Times New Roman" w:cs="Times New Roman"/>
          <w:sz w:val="16"/>
          <w:szCs w:val="16"/>
          <w:lang w:val="ro-RO"/>
        </w:rPr>
        <w:t xml:space="preserve">iua europeană a protecției datelor (28 ianuarie); </w:t>
      </w:r>
      <w:r>
        <w:rPr>
          <w:rFonts w:ascii="Times New Roman" w:hAnsi="Times New Roman" w:cs="Times New Roman"/>
          <w:sz w:val="16"/>
          <w:szCs w:val="16"/>
          <w:lang w:val="ro-RO"/>
        </w:rPr>
        <w:t>Z</w:t>
      </w:r>
      <w:r w:rsidRPr="00C370A5">
        <w:rPr>
          <w:rFonts w:ascii="Times New Roman" w:hAnsi="Times New Roman" w:cs="Times New Roman"/>
          <w:sz w:val="16"/>
          <w:szCs w:val="16"/>
          <w:lang w:val="ro-RO"/>
        </w:rPr>
        <w:t xml:space="preserve">iua funcționarului public (23 iunie); </w:t>
      </w:r>
      <w:r>
        <w:rPr>
          <w:rFonts w:ascii="Times New Roman" w:hAnsi="Times New Roman" w:cs="Times New Roman"/>
          <w:sz w:val="16"/>
          <w:szCs w:val="16"/>
          <w:lang w:val="ro-RO"/>
        </w:rPr>
        <w:t>Z</w:t>
      </w:r>
      <w:r w:rsidRPr="00C370A5">
        <w:rPr>
          <w:rFonts w:ascii="Times New Roman" w:hAnsi="Times New Roman" w:cs="Times New Roman"/>
          <w:sz w:val="16"/>
          <w:szCs w:val="16"/>
          <w:lang w:val="ro-RO"/>
        </w:rPr>
        <w:t xml:space="preserve">iua CNPDCP (10 iulie) și </w:t>
      </w:r>
      <w:r>
        <w:rPr>
          <w:rFonts w:ascii="Times New Roman" w:hAnsi="Times New Roman" w:cs="Times New Roman"/>
          <w:sz w:val="16"/>
          <w:szCs w:val="16"/>
          <w:lang w:val="ro-RO"/>
        </w:rPr>
        <w:t>Z</w:t>
      </w:r>
      <w:r w:rsidRPr="00C370A5">
        <w:rPr>
          <w:rFonts w:ascii="Times New Roman" w:hAnsi="Times New Roman" w:cs="Times New Roman"/>
          <w:sz w:val="16"/>
          <w:szCs w:val="16"/>
          <w:lang w:val="ro-RO"/>
        </w:rPr>
        <w:t>iua juristului</w:t>
      </w:r>
      <w:r>
        <w:rPr>
          <w:rFonts w:ascii="Times New Roman" w:hAnsi="Times New Roman" w:cs="Times New Roman"/>
          <w:sz w:val="16"/>
          <w:szCs w:val="16"/>
          <w:lang w:val="ro-RO"/>
        </w:rPr>
        <w:t xml:space="preserve"> </w:t>
      </w:r>
      <w:r w:rsidRPr="00C370A5">
        <w:rPr>
          <w:rFonts w:ascii="Times New Roman" w:hAnsi="Times New Roman" w:cs="Times New Roman"/>
          <w:sz w:val="16"/>
          <w:szCs w:val="16"/>
          <w:lang w:val="ro-RO"/>
        </w:rPr>
        <w:t>(19 octombrie).</w:t>
      </w:r>
    </w:p>
  </w:footnote>
  <w:footnote w:id="107">
    <w:p w14:paraId="4F3A7FFC" w14:textId="5D245604" w:rsidR="00CD219C" w:rsidRPr="00C370A5" w:rsidRDefault="00CD219C" w:rsidP="0077171B">
      <w:pPr>
        <w:pStyle w:val="FootnoteText"/>
        <w:jc w:val="both"/>
        <w:rPr>
          <w:rFonts w:ascii="Times New Roman" w:hAnsi="Times New Roman" w:cs="Times New Roman"/>
          <w:sz w:val="16"/>
          <w:szCs w:val="16"/>
          <w:lang w:val="ro-RO"/>
        </w:rPr>
      </w:pPr>
      <w:r w:rsidRPr="00C370A5">
        <w:rPr>
          <w:rStyle w:val="FootnoteReference"/>
          <w:rFonts w:ascii="Times New Roman" w:hAnsi="Times New Roman" w:cs="Times New Roman"/>
          <w:sz w:val="16"/>
          <w:szCs w:val="16"/>
          <w:lang w:val="ro-RO"/>
        </w:rPr>
        <w:footnoteRef/>
      </w:r>
      <w:r w:rsidRPr="00C370A5">
        <w:rPr>
          <w:rFonts w:ascii="Times New Roman" w:hAnsi="Times New Roman" w:cs="Times New Roman"/>
          <w:sz w:val="16"/>
          <w:szCs w:val="16"/>
          <w:lang w:val="ro-RO"/>
        </w:rPr>
        <w:t xml:space="preserve"> Ordinul nr.31 din 01.10.2018 </w:t>
      </w:r>
      <w:r>
        <w:rPr>
          <w:rFonts w:ascii="Times New Roman" w:hAnsi="Times New Roman" w:cs="Times New Roman"/>
          <w:sz w:val="16"/>
          <w:szCs w:val="16"/>
          <w:lang w:val="ro-RO"/>
        </w:rPr>
        <w:t>„</w:t>
      </w:r>
      <w:r w:rsidRPr="00C370A5">
        <w:rPr>
          <w:rFonts w:ascii="Times New Roman" w:hAnsi="Times New Roman" w:cs="Times New Roman"/>
          <w:sz w:val="16"/>
          <w:szCs w:val="16"/>
          <w:lang w:val="ro-RO"/>
        </w:rPr>
        <w:t>Cu prilejul zile</w:t>
      </w:r>
      <w:r>
        <w:rPr>
          <w:rFonts w:ascii="Times New Roman" w:hAnsi="Times New Roman" w:cs="Times New Roman"/>
          <w:sz w:val="16"/>
          <w:szCs w:val="16"/>
          <w:lang w:val="ro-RO"/>
        </w:rPr>
        <w:t>i</w:t>
      </w:r>
      <w:r w:rsidRPr="00C370A5">
        <w:rPr>
          <w:rFonts w:ascii="Times New Roman" w:hAnsi="Times New Roman" w:cs="Times New Roman"/>
          <w:sz w:val="16"/>
          <w:szCs w:val="16"/>
          <w:lang w:val="ro-RO"/>
        </w:rPr>
        <w:t xml:space="preserve"> de sărbătoare a Hramului Chișinăului</w:t>
      </w:r>
      <w:r>
        <w:rPr>
          <w:rFonts w:ascii="Times New Roman" w:hAnsi="Times New Roman" w:cs="Times New Roman"/>
          <w:sz w:val="16"/>
          <w:szCs w:val="16"/>
          <w:lang w:val="ro-RO"/>
        </w:rPr>
        <w:t>”.</w:t>
      </w:r>
    </w:p>
  </w:footnote>
  <w:footnote w:id="108">
    <w:p w14:paraId="124CCD20" w14:textId="5604D0D6" w:rsidR="00CD219C" w:rsidRPr="00C370A5" w:rsidRDefault="00CD219C" w:rsidP="0077171B">
      <w:pPr>
        <w:pStyle w:val="FootnoteText"/>
        <w:jc w:val="both"/>
        <w:rPr>
          <w:rFonts w:ascii="Times New Roman" w:hAnsi="Times New Roman" w:cs="Times New Roman"/>
          <w:sz w:val="16"/>
          <w:szCs w:val="16"/>
          <w:lang w:val="ro-RO"/>
        </w:rPr>
      </w:pPr>
      <w:r w:rsidRPr="00C370A5">
        <w:rPr>
          <w:rStyle w:val="FootnoteReference"/>
          <w:rFonts w:ascii="Times New Roman" w:hAnsi="Times New Roman" w:cs="Times New Roman"/>
          <w:sz w:val="16"/>
          <w:szCs w:val="16"/>
          <w:lang w:val="ro-RO"/>
        </w:rPr>
        <w:footnoteRef/>
      </w:r>
      <w:r w:rsidRPr="00C370A5">
        <w:rPr>
          <w:rFonts w:ascii="Times New Roman" w:hAnsi="Times New Roman" w:cs="Times New Roman"/>
          <w:sz w:val="16"/>
          <w:szCs w:val="16"/>
          <w:lang w:val="ro-RO"/>
        </w:rPr>
        <w:t xml:space="preserve"> Ordin</w:t>
      </w:r>
      <w:r>
        <w:rPr>
          <w:rFonts w:ascii="Times New Roman" w:hAnsi="Times New Roman" w:cs="Times New Roman"/>
          <w:sz w:val="16"/>
          <w:szCs w:val="16"/>
          <w:lang w:val="ro-RO"/>
        </w:rPr>
        <w:t>ul</w:t>
      </w:r>
      <w:r w:rsidRPr="00C370A5">
        <w:rPr>
          <w:rFonts w:ascii="Times New Roman" w:hAnsi="Times New Roman" w:cs="Times New Roman"/>
          <w:sz w:val="16"/>
          <w:szCs w:val="16"/>
          <w:lang w:val="ro-RO"/>
        </w:rPr>
        <w:t xml:space="preserve"> nr.26 din 06.08.2018 </w:t>
      </w:r>
      <w:r>
        <w:rPr>
          <w:rFonts w:ascii="Times New Roman" w:hAnsi="Times New Roman" w:cs="Times New Roman"/>
          <w:sz w:val="16"/>
          <w:szCs w:val="16"/>
          <w:lang w:val="ro-RO"/>
        </w:rPr>
        <w:t>„</w:t>
      </w:r>
      <w:r w:rsidRPr="00C370A5">
        <w:rPr>
          <w:rFonts w:ascii="Times New Roman" w:hAnsi="Times New Roman" w:cs="Times New Roman"/>
          <w:sz w:val="16"/>
          <w:szCs w:val="16"/>
          <w:lang w:val="ro-RO"/>
        </w:rPr>
        <w:t>Cu prilejul celebrării zilei CNPDC</w:t>
      </w:r>
      <w:r>
        <w:rPr>
          <w:rFonts w:ascii="Times New Roman" w:hAnsi="Times New Roman" w:cs="Times New Roman"/>
          <w:sz w:val="16"/>
          <w:szCs w:val="16"/>
          <w:lang w:val="ro-RO"/>
        </w:rPr>
        <w:t>”.</w:t>
      </w:r>
    </w:p>
  </w:footnote>
  <w:footnote w:id="109">
    <w:p w14:paraId="276611A7" w14:textId="77777777" w:rsidR="00CD219C" w:rsidRPr="0077171B" w:rsidRDefault="00CD219C" w:rsidP="0077171B">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Art.3 și art.19 alin.(1) din Legea contabilității nr.113 din 27.04.2007.</w:t>
      </w:r>
    </w:p>
  </w:footnote>
  <w:footnote w:id="110">
    <w:p w14:paraId="11C00305" w14:textId="11CC857A" w:rsidR="00CD219C" w:rsidRPr="0077171B" w:rsidRDefault="00CD219C" w:rsidP="0077171B">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Ordinul directorului CNPDCP nr.11 din 28.02.2018 „Cu privire la stimulare”</w:t>
      </w:r>
      <w:r>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w:t>
      </w:r>
      <w:r>
        <w:rPr>
          <w:rFonts w:ascii="Times New Roman" w:hAnsi="Times New Roman" w:cs="Times New Roman"/>
          <w:sz w:val="16"/>
          <w:szCs w:val="16"/>
          <w:lang w:val="ro-RO"/>
        </w:rPr>
        <w:t xml:space="preserve">pentru </w:t>
      </w:r>
      <w:r w:rsidRPr="0077171B">
        <w:rPr>
          <w:rFonts w:ascii="Times New Roman" w:hAnsi="Times New Roman" w:cs="Times New Roman"/>
          <w:sz w:val="16"/>
          <w:szCs w:val="16"/>
          <w:lang w:val="ro-RO"/>
        </w:rPr>
        <w:t xml:space="preserve">13 </w:t>
      </w:r>
      <w:r>
        <w:rPr>
          <w:rFonts w:ascii="Times New Roman" w:hAnsi="Times New Roman" w:cs="Times New Roman"/>
          <w:sz w:val="16"/>
          <w:szCs w:val="16"/>
          <w:lang w:val="ro-RO"/>
        </w:rPr>
        <w:t>salariați s-au</w:t>
      </w:r>
      <w:r w:rsidRPr="0077171B">
        <w:rPr>
          <w:rFonts w:ascii="Times New Roman" w:hAnsi="Times New Roman" w:cs="Times New Roman"/>
          <w:sz w:val="16"/>
          <w:szCs w:val="16"/>
          <w:lang w:val="ro-RO"/>
        </w:rPr>
        <w:t xml:space="preserve"> achitat 19,5 mii lei. </w:t>
      </w:r>
    </w:p>
  </w:footnote>
  <w:footnote w:id="111">
    <w:p w14:paraId="0E409802" w14:textId="77777777" w:rsidR="00CD219C" w:rsidRPr="0077171B" w:rsidRDefault="00CD219C" w:rsidP="0077171B">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Art.3 și art.19 alin.(1) din Legea contabilității nr.113 din 27.04.2007.</w:t>
      </w:r>
    </w:p>
  </w:footnote>
  <w:footnote w:id="112">
    <w:p w14:paraId="5F143940" w14:textId="77777777" w:rsidR="00CD219C" w:rsidRPr="0077171B" w:rsidRDefault="00CD219C" w:rsidP="0044398E">
      <w:pPr>
        <w:pStyle w:val="NormalWeb"/>
        <w:spacing w:after="0"/>
        <w:jc w:val="both"/>
        <w:rPr>
          <w:sz w:val="16"/>
          <w:szCs w:val="16"/>
          <w:lang w:val="ro-RO"/>
        </w:rPr>
      </w:pPr>
      <w:r w:rsidRPr="0077171B">
        <w:rPr>
          <w:rStyle w:val="FootnoteReference"/>
          <w:sz w:val="16"/>
          <w:szCs w:val="16"/>
          <w:lang w:val="ro-RO"/>
        </w:rPr>
        <w:footnoteRef/>
      </w:r>
      <w:r w:rsidRPr="0077171B">
        <w:rPr>
          <w:sz w:val="16"/>
          <w:szCs w:val="16"/>
          <w:lang w:val="ro-RO"/>
        </w:rPr>
        <w:t xml:space="preserve"> </w:t>
      </w:r>
      <w:r w:rsidRPr="0077171B">
        <w:rPr>
          <w:color w:val="000000"/>
          <w:sz w:val="16"/>
          <w:szCs w:val="16"/>
          <w:lang w:val="ro-RO"/>
        </w:rPr>
        <w:t>Art.24 din Legea nr.270 din 23.11.2018 privind sistemul unitar de salarizare în sectorul bugetar.</w:t>
      </w:r>
    </w:p>
  </w:footnote>
  <w:footnote w:id="113">
    <w:p w14:paraId="25E532C1" w14:textId="77777777" w:rsidR="00CD219C" w:rsidRPr="0077171B" w:rsidRDefault="00CD219C" w:rsidP="0044398E">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w:t>
      </w:r>
      <w:r w:rsidRPr="0077171B">
        <w:rPr>
          <w:rFonts w:ascii="Times New Roman" w:hAnsi="Times New Roman" w:cs="Times New Roman"/>
          <w:color w:val="000000"/>
          <w:sz w:val="16"/>
          <w:szCs w:val="16"/>
          <w:lang w:val="ro-RO"/>
        </w:rPr>
        <w:t>Art.10 din Legea nr.270 din 23.11.2018 privind sistemul unitar de salarizare în sectorul bugetar.</w:t>
      </w:r>
    </w:p>
  </w:footnote>
  <w:footnote w:id="114">
    <w:p w14:paraId="64D8DC2B" w14:textId="40182F6E" w:rsidR="00CD219C" w:rsidRPr="0044398E" w:rsidRDefault="00CD219C" w:rsidP="0044398E">
      <w:pPr>
        <w:pStyle w:val="FootnoteText"/>
        <w:jc w:val="both"/>
        <w:rPr>
          <w:rFonts w:ascii="Times New Roman" w:hAnsi="Times New Roman" w:cs="Times New Roman"/>
          <w:sz w:val="16"/>
          <w:szCs w:val="16"/>
          <w:lang w:val="ro-RO"/>
        </w:rPr>
      </w:pPr>
      <w:r w:rsidRPr="0044398E">
        <w:rPr>
          <w:rStyle w:val="FootnoteReference"/>
          <w:rFonts w:ascii="Times New Roman" w:hAnsi="Times New Roman" w:cs="Times New Roman"/>
          <w:sz w:val="16"/>
          <w:szCs w:val="16"/>
          <w:lang w:val="ro-RO"/>
        </w:rPr>
        <w:footnoteRef/>
      </w:r>
      <w:r w:rsidRPr="0044398E">
        <w:rPr>
          <w:rFonts w:ascii="Times New Roman" w:hAnsi="Times New Roman" w:cs="Times New Roman"/>
          <w:sz w:val="16"/>
          <w:szCs w:val="16"/>
          <w:lang w:val="ro-RO"/>
        </w:rPr>
        <w:t xml:space="preserve"> Cumularea funcției de audit intern în perioada: anul 2020</w:t>
      </w:r>
      <w:r>
        <w:rPr>
          <w:rFonts w:ascii="Times New Roman" w:hAnsi="Times New Roman" w:cs="Times New Roman"/>
          <w:sz w:val="16"/>
          <w:szCs w:val="16"/>
          <w:lang w:val="ro-RO"/>
        </w:rPr>
        <w:t xml:space="preserve"> – lunile </w:t>
      </w:r>
      <w:r w:rsidRPr="0044398E">
        <w:rPr>
          <w:rFonts w:ascii="Times New Roman" w:hAnsi="Times New Roman" w:cs="Times New Roman"/>
          <w:sz w:val="16"/>
          <w:szCs w:val="16"/>
          <w:lang w:val="ro-RO"/>
        </w:rPr>
        <w:t>martie, iunie, august, septembrie, anul  2019</w:t>
      </w:r>
      <w:r>
        <w:rPr>
          <w:rFonts w:ascii="Times New Roman" w:hAnsi="Times New Roman" w:cs="Times New Roman"/>
          <w:sz w:val="16"/>
          <w:szCs w:val="16"/>
          <w:lang w:val="ro-RO"/>
        </w:rPr>
        <w:t xml:space="preserve"> – lunile </w:t>
      </w:r>
      <w:r w:rsidRPr="0044398E">
        <w:rPr>
          <w:rFonts w:ascii="Times New Roman" w:hAnsi="Times New Roman" w:cs="Times New Roman"/>
          <w:sz w:val="16"/>
          <w:szCs w:val="16"/>
          <w:lang w:val="ro-RO"/>
        </w:rPr>
        <w:t xml:space="preserve"> iunie, iulie, august (</w:t>
      </w:r>
      <w:r>
        <w:rPr>
          <w:rFonts w:ascii="Times New Roman" w:hAnsi="Times New Roman" w:cs="Times New Roman"/>
          <w:sz w:val="16"/>
          <w:szCs w:val="16"/>
          <w:lang w:val="ro-RO"/>
        </w:rPr>
        <w:t xml:space="preserve">au fost </w:t>
      </w:r>
      <w:r w:rsidRPr="0044398E">
        <w:rPr>
          <w:rFonts w:ascii="Times New Roman" w:hAnsi="Times New Roman" w:cs="Times New Roman"/>
          <w:sz w:val="16"/>
          <w:szCs w:val="16"/>
          <w:lang w:val="ro-RO"/>
        </w:rPr>
        <w:t>achitate 19,3 mii lei).</w:t>
      </w:r>
    </w:p>
  </w:footnote>
  <w:footnote w:id="115">
    <w:p w14:paraId="6E835774" w14:textId="49AE38FC" w:rsidR="00CD219C" w:rsidRPr="0044398E" w:rsidRDefault="00CD219C" w:rsidP="0044398E">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w:t>
      </w:r>
      <w:r w:rsidRPr="0044398E">
        <w:rPr>
          <w:rFonts w:ascii="Times New Roman" w:hAnsi="Times New Roman" w:cs="Times New Roman"/>
          <w:sz w:val="16"/>
          <w:szCs w:val="16"/>
          <w:lang w:val="ro-RO"/>
        </w:rPr>
        <w:t>Art.27 alin.</w:t>
      </w:r>
      <w:r>
        <w:rPr>
          <w:rFonts w:ascii="Times New Roman" w:hAnsi="Times New Roman" w:cs="Times New Roman"/>
          <w:sz w:val="16"/>
          <w:szCs w:val="16"/>
          <w:lang w:val="ro-RO"/>
        </w:rPr>
        <w:t>(</w:t>
      </w:r>
      <w:r w:rsidRPr="0044398E">
        <w:rPr>
          <w:rFonts w:ascii="Times New Roman" w:hAnsi="Times New Roman" w:cs="Times New Roman"/>
          <w:sz w:val="16"/>
          <w:szCs w:val="16"/>
          <w:lang w:val="ro-RO"/>
        </w:rPr>
        <w:t>2</w:t>
      </w:r>
      <w:r>
        <w:rPr>
          <w:rFonts w:ascii="Times New Roman" w:hAnsi="Times New Roman" w:cs="Times New Roman"/>
          <w:sz w:val="16"/>
          <w:szCs w:val="16"/>
          <w:lang w:val="ro-RO"/>
        </w:rPr>
        <w:t>)</w:t>
      </w:r>
      <w:r w:rsidRPr="0044398E">
        <w:rPr>
          <w:rFonts w:ascii="Times New Roman" w:hAnsi="Times New Roman" w:cs="Times New Roman"/>
          <w:sz w:val="16"/>
          <w:szCs w:val="16"/>
          <w:lang w:val="ro-RO"/>
        </w:rPr>
        <w:t xml:space="preserve"> din Legea nr.229 din 23.09.2010 privind controlul financiar public intern.</w:t>
      </w:r>
    </w:p>
  </w:footnote>
  <w:footnote w:id="116">
    <w:p w14:paraId="3FBEE451" w14:textId="77777777" w:rsidR="00CD219C" w:rsidRPr="0044398E" w:rsidRDefault="00CD219C" w:rsidP="0044398E">
      <w:pPr>
        <w:pStyle w:val="FootnoteText"/>
        <w:jc w:val="both"/>
        <w:rPr>
          <w:rFonts w:ascii="Times New Roman" w:hAnsi="Times New Roman" w:cs="Times New Roman"/>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w:t>
      </w:r>
      <w:r w:rsidRPr="0044398E">
        <w:rPr>
          <w:rFonts w:ascii="Times New Roman" w:hAnsi="Times New Roman" w:cs="Times New Roman"/>
          <w:sz w:val="16"/>
          <w:szCs w:val="16"/>
          <w:lang w:val="ro-RO"/>
        </w:rPr>
        <w:t>Art.10 din Legea nr.270 din 23.11.2018 privind sistemul unitar de salarizare în sectorul bugetar.</w:t>
      </w:r>
      <w:r w:rsidRPr="0044398E">
        <w:rPr>
          <w:rFonts w:ascii="Times New Roman" w:hAnsi="Times New Roman" w:cs="Times New Roman"/>
          <w:lang w:val="ro-RO"/>
        </w:rPr>
        <w:t xml:space="preserve"> </w:t>
      </w:r>
    </w:p>
  </w:footnote>
  <w:footnote w:id="117">
    <w:p w14:paraId="1949D5EA" w14:textId="0E1012EC" w:rsidR="00CD219C" w:rsidRPr="0077171B" w:rsidRDefault="00CD219C" w:rsidP="0044398E">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w:t>
      </w:r>
      <w:r w:rsidRPr="0044398E">
        <w:rPr>
          <w:rFonts w:ascii="Times New Roman" w:eastAsia="Times New Roman" w:hAnsi="Times New Roman" w:cs="Times New Roman"/>
          <w:bCs/>
          <w:sz w:val="16"/>
          <w:szCs w:val="16"/>
          <w:lang w:val="ro-RO"/>
        </w:rPr>
        <w:t>H</w:t>
      </w:r>
      <w:r>
        <w:rPr>
          <w:rFonts w:ascii="Times New Roman" w:eastAsia="Times New Roman" w:hAnsi="Times New Roman" w:cs="Times New Roman"/>
          <w:bCs/>
          <w:sz w:val="16"/>
          <w:szCs w:val="16"/>
          <w:lang w:val="ro-RO"/>
        </w:rPr>
        <w:t>G</w:t>
      </w:r>
      <w:r w:rsidRPr="0044398E">
        <w:rPr>
          <w:rFonts w:ascii="Times New Roman" w:eastAsia="Times New Roman" w:hAnsi="Times New Roman" w:cs="Times New Roman"/>
          <w:bCs/>
          <w:sz w:val="16"/>
          <w:szCs w:val="16"/>
          <w:lang w:val="ro-RO"/>
        </w:rPr>
        <w:t xml:space="preserve">  </w:t>
      </w:r>
      <w:r w:rsidRPr="0044398E">
        <w:rPr>
          <w:rFonts w:ascii="Times New Roman" w:hAnsi="Times New Roman" w:cs="Times New Roman"/>
          <w:sz w:val="16"/>
          <w:szCs w:val="16"/>
          <w:lang w:val="ro-RO"/>
        </w:rPr>
        <w:t>nr.10 din 05.01.2012 „P</w:t>
      </w:r>
      <w:r w:rsidRPr="0044398E">
        <w:rPr>
          <w:rFonts w:ascii="Times New Roman" w:eastAsia="Times New Roman" w:hAnsi="Times New Roman" w:cs="Times New Roman"/>
          <w:bCs/>
          <w:sz w:val="16"/>
          <w:szCs w:val="16"/>
          <w:lang w:val="ro-RO"/>
        </w:rPr>
        <w:t xml:space="preserve">entru aprobarea Regulamentului cu privire la delegarea </w:t>
      </w:r>
      <w:r w:rsidRPr="0044398E">
        <w:rPr>
          <w:rFonts w:ascii="Times New Roman" w:eastAsia="Times New Roman" w:hAnsi="Times New Roman" w:cs="Times New Roman"/>
          <w:sz w:val="16"/>
          <w:szCs w:val="16"/>
          <w:lang w:val="ro-RO"/>
        </w:rPr>
        <w:t xml:space="preserve">salariaților entităților din Republica Moldova” (în continuare </w:t>
      </w:r>
      <w:r>
        <w:rPr>
          <w:rFonts w:ascii="Times New Roman" w:eastAsia="Times New Roman" w:hAnsi="Times New Roman" w:cs="Times New Roman"/>
          <w:sz w:val="16"/>
          <w:szCs w:val="16"/>
          <w:lang w:val="ro-RO"/>
        </w:rPr>
        <w:t>–</w:t>
      </w:r>
      <w:r w:rsidRPr="0044398E">
        <w:rPr>
          <w:rFonts w:ascii="Times New Roman" w:eastAsia="Times New Roman" w:hAnsi="Times New Roman" w:cs="Times New Roman"/>
          <w:sz w:val="16"/>
          <w:szCs w:val="16"/>
          <w:lang w:val="ro-RO"/>
        </w:rPr>
        <w:t xml:space="preserve"> Regulamentul </w:t>
      </w:r>
      <w:r w:rsidRPr="0077171B">
        <w:rPr>
          <w:rFonts w:ascii="Times New Roman" w:hAnsi="Times New Roman" w:cs="Times New Roman"/>
          <w:sz w:val="16"/>
          <w:szCs w:val="16"/>
          <w:lang w:val="ro-RO"/>
        </w:rPr>
        <w:t>cu privire la delegarea salariaților entităților</w:t>
      </w:r>
      <w:r w:rsidRPr="0077171B">
        <w:rPr>
          <w:rFonts w:ascii="Times New Roman" w:hAnsi="Times New Roman" w:cs="Times New Roman"/>
          <w:b/>
          <w:sz w:val="16"/>
          <w:szCs w:val="16"/>
          <w:lang w:val="ro-RO"/>
        </w:rPr>
        <w:t xml:space="preserve"> </w:t>
      </w:r>
      <w:r w:rsidRPr="0077171B">
        <w:rPr>
          <w:rFonts w:ascii="Times New Roman" w:hAnsi="Times New Roman" w:cs="Times New Roman"/>
          <w:sz w:val="16"/>
          <w:szCs w:val="16"/>
          <w:lang w:val="ro-RO"/>
        </w:rPr>
        <w:t>din Republica Moldova)</w:t>
      </w:r>
      <w:r w:rsidRPr="0044398E">
        <w:rPr>
          <w:rFonts w:ascii="Times New Roman" w:eastAsia="Times New Roman" w:hAnsi="Times New Roman" w:cs="Times New Roman"/>
          <w:sz w:val="16"/>
          <w:szCs w:val="16"/>
          <w:lang w:val="ro-RO"/>
        </w:rPr>
        <w:t>.</w:t>
      </w:r>
    </w:p>
  </w:footnote>
  <w:footnote w:id="118">
    <w:p w14:paraId="40A0275B" w14:textId="779C8E62" w:rsidR="00CD219C" w:rsidRPr="00775EC2" w:rsidRDefault="00CD219C" w:rsidP="006D7209">
      <w:pPr>
        <w:pStyle w:val="FootnoteText"/>
        <w:jc w:val="both"/>
        <w:rPr>
          <w:rFonts w:ascii="Times New Roman" w:hAnsi="Times New Roman" w:cs="Times New Roman"/>
          <w:sz w:val="16"/>
          <w:szCs w:val="16"/>
          <w:lang w:val="ro-RO"/>
        </w:rPr>
      </w:pPr>
      <w:r w:rsidRPr="00775EC2">
        <w:rPr>
          <w:rStyle w:val="FootnoteReference"/>
          <w:rFonts w:ascii="Times New Roman" w:hAnsi="Times New Roman" w:cs="Times New Roman"/>
          <w:sz w:val="16"/>
          <w:szCs w:val="16"/>
          <w:lang w:val="ro-RO"/>
        </w:rPr>
        <w:footnoteRef/>
      </w:r>
      <w:r w:rsidRPr="00775EC2">
        <w:rPr>
          <w:rFonts w:ascii="Times New Roman" w:hAnsi="Times New Roman" w:cs="Times New Roman"/>
          <w:sz w:val="16"/>
          <w:szCs w:val="16"/>
          <w:lang w:val="ro-RO"/>
        </w:rPr>
        <w:t xml:space="preserve"> P</w:t>
      </w:r>
      <w:r w:rsidRPr="00775EC2">
        <w:rPr>
          <w:rFonts w:ascii="Times New Roman" w:hAnsi="Times New Roman" w:cs="Times New Roman"/>
          <w:sz w:val="16"/>
          <w:szCs w:val="16"/>
        </w:rPr>
        <w:t xml:space="preserve">ct.9 din </w:t>
      </w:r>
      <w:r w:rsidRPr="00775EC2">
        <w:rPr>
          <w:rFonts w:ascii="Times New Roman" w:hAnsi="Times New Roman" w:cs="Times New Roman"/>
          <w:sz w:val="16"/>
          <w:szCs w:val="16"/>
          <w:lang w:val="ro-RO"/>
        </w:rPr>
        <w:t xml:space="preserve">Regulamentul </w:t>
      </w:r>
      <w:r w:rsidRPr="00775EC2">
        <w:rPr>
          <w:rFonts w:ascii="Times New Roman" w:eastAsia="Times New Roman" w:hAnsi="Times New Roman" w:cs="Times New Roman"/>
          <w:sz w:val="16"/>
          <w:szCs w:val="16"/>
          <w:lang w:val="ro-RO"/>
        </w:rPr>
        <w:t>cu privire la delegarea salariaților entităților din Republica Moldova</w:t>
      </w:r>
      <w:r w:rsidRPr="00775EC2">
        <w:rPr>
          <w:rFonts w:ascii="Times New Roman" w:hAnsi="Times New Roman" w:cs="Times New Roman"/>
          <w:sz w:val="16"/>
          <w:szCs w:val="16"/>
          <w:lang w:val="ro-RO"/>
        </w:rPr>
        <w:t>.</w:t>
      </w:r>
    </w:p>
  </w:footnote>
  <w:footnote w:id="119">
    <w:p w14:paraId="5B12B47C" w14:textId="6CEB3335" w:rsidR="00CD219C" w:rsidRPr="00775EC2" w:rsidRDefault="00CD219C" w:rsidP="006D7209">
      <w:pPr>
        <w:pStyle w:val="FootnoteText"/>
        <w:jc w:val="both"/>
        <w:rPr>
          <w:rFonts w:ascii="Times New Roman" w:hAnsi="Times New Roman" w:cs="Times New Roman"/>
          <w:sz w:val="16"/>
          <w:szCs w:val="16"/>
        </w:rPr>
      </w:pPr>
      <w:r w:rsidRPr="00775EC2">
        <w:rPr>
          <w:rStyle w:val="FootnoteReference"/>
          <w:rFonts w:ascii="Times New Roman" w:hAnsi="Times New Roman" w:cs="Times New Roman"/>
          <w:sz w:val="16"/>
          <w:szCs w:val="16"/>
        </w:rPr>
        <w:footnoteRef/>
      </w:r>
      <w:r w:rsidRPr="00775EC2">
        <w:rPr>
          <w:rFonts w:ascii="Times New Roman" w:hAnsi="Times New Roman" w:cs="Times New Roman"/>
          <w:sz w:val="16"/>
          <w:szCs w:val="16"/>
        </w:rPr>
        <w:t xml:space="preserve"> </w:t>
      </w:r>
      <w:r w:rsidRPr="00775EC2">
        <w:rPr>
          <w:rFonts w:ascii="Times New Roman" w:hAnsi="Times New Roman" w:cs="Times New Roman"/>
          <w:sz w:val="16"/>
          <w:szCs w:val="16"/>
          <w:lang w:val="ro-RO"/>
        </w:rPr>
        <w:t>Pct.16 din Regulamentul cu privire la delegarea salariaților entităților din Republica Moldova</w:t>
      </w:r>
      <w:r w:rsidRPr="00775EC2">
        <w:rPr>
          <w:rFonts w:ascii="Times New Roman" w:hAnsi="Times New Roman" w:cs="Times New Roman"/>
          <w:bCs/>
          <w:sz w:val="16"/>
          <w:szCs w:val="16"/>
          <w:lang w:val="ro-RO"/>
        </w:rPr>
        <w:t>.</w:t>
      </w:r>
    </w:p>
  </w:footnote>
  <w:footnote w:id="120">
    <w:p w14:paraId="77A2DE7F" w14:textId="40FDA9C5" w:rsidR="00CD219C" w:rsidRPr="00775EC2" w:rsidRDefault="00CD219C" w:rsidP="006D7209">
      <w:pPr>
        <w:pStyle w:val="FootnoteText"/>
        <w:jc w:val="both"/>
        <w:rPr>
          <w:rFonts w:ascii="Times New Roman" w:hAnsi="Times New Roman" w:cs="Times New Roman"/>
          <w:sz w:val="16"/>
          <w:szCs w:val="16"/>
          <w:lang w:val="ro-RO"/>
        </w:rPr>
      </w:pPr>
      <w:r w:rsidRPr="00775EC2">
        <w:rPr>
          <w:rStyle w:val="FootnoteReference"/>
          <w:rFonts w:ascii="Times New Roman" w:hAnsi="Times New Roman" w:cs="Times New Roman"/>
          <w:sz w:val="16"/>
          <w:szCs w:val="16"/>
          <w:lang w:val="ro-RO"/>
        </w:rPr>
        <w:footnoteRef/>
      </w:r>
      <w:r w:rsidRPr="00775EC2">
        <w:rPr>
          <w:rFonts w:ascii="Times New Roman" w:hAnsi="Times New Roman" w:cs="Times New Roman"/>
          <w:sz w:val="16"/>
          <w:szCs w:val="16"/>
          <w:lang w:val="ro-RO"/>
        </w:rPr>
        <w:t xml:space="preserve"> Pct.16 din Regulamentul cu privire la delegarea salariaților entităților din Republica Moldova</w:t>
      </w:r>
      <w:r>
        <w:rPr>
          <w:rFonts w:ascii="Times New Roman" w:hAnsi="Times New Roman" w:cs="Times New Roman"/>
          <w:sz w:val="16"/>
          <w:szCs w:val="16"/>
          <w:lang w:val="ro-RO"/>
        </w:rPr>
        <w:t>.</w:t>
      </w:r>
    </w:p>
  </w:footnote>
  <w:footnote w:id="121">
    <w:p w14:paraId="3E3EAC17" w14:textId="5E66BD96" w:rsidR="00CD219C" w:rsidRPr="00775EC2" w:rsidRDefault="00CD219C" w:rsidP="006D7209">
      <w:pPr>
        <w:pStyle w:val="FootnoteText"/>
        <w:jc w:val="both"/>
        <w:rPr>
          <w:rFonts w:ascii="Times New Roman" w:hAnsi="Times New Roman" w:cs="Times New Roman"/>
          <w:sz w:val="16"/>
          <w:szCs w:val="16"/>
        </w:rPr>
      </w:pPr>
      <w:r w:rsidRPr="00775EC2">
        <w:rPr>
          <w:rStyle w:val="FootnoteReference"/>
          <w:rFonts w:ascii="Times New Roman" w:hAnsi="Times New Roman" w:cs="Times New Roman"/>
          <w:sz w:val="16"/>
          <w:szCs w:val="16"/>
        </w:rPr>
        <w:footnoteRef/>
      </w:r>
      <w:r w:rsidRPr="00775EC2">
        <w:rPr>
          <w:rFonts w:ascii="Times New Roman" w:hAnsi="Times New Roman" w:cs="Times New Roman"/>
          <w:sz w:val="16"/>
          <w:szCs w:val="16"/>
        </w:rPr>
        <w:t xml:space="preserve"> Pct. 9 din Regulamentul </w:t>
      </w:r>
      <w:r w:rsidRPr="00775EC2">
        <w:rPr>
          <w:rFonts w:ascii="Times New Roman" w:eastAsia="Times New Roman" w:hAnsi="Times New Roman" w:cs="Times New Roman"/>
          <w:sz w:val="16"/>
          <w:szCs w:val="16"/>
        </w:rPr>
        <w:t>cu privire la delegarea salariaților entităților din Republica Moldova</w:t>
      </w:r>
      <w:r w:rsidRPr="00775EC2">
        <w:rPr>
          <w:rFonts w:ascii="Times New Roman" w:hAnsi="Times New Roman" w:cs="Times New Roman"/>
          <w:sz w:val="16"/>
          <w:szCs w:val="16"/>
        </w:rPr>
        <w:t>.</w:t>
      </w:r>
    </w:p>
  </w:footnote>
  <w:footnote w:id="122">
    <w:p w14:paraId="055CD53C" w14:textId="77777777" w:rsidR="00CD219C" w:rsidRPr="00775EC2" w:rsidRDefault="00CD219C" w:rsidP="006D7209">
      <w:pPr>
        <w:pStyle w:val="FootnoteText"/>
        <w:jc w:val="both"/>
        <w:rPr>
          <w:rFonts w:ascii="Times New Roman" w:hAnsi="Times New Roman" w:cs="Times New Roman"/>
          <w:sz w:val="16"/>
          <w:szCs w:val="16"/>
        </w:rPr>
      </w:pPr>
      <w:r w:rsidRPr="00775EC2">
        <w:rPr>
          <w:rStyle w:val="FootnoteReference"/>
          <w:rFonts w:ascii="Times New Roman" w:hAnsi="Times New Roman" w:cs="Times New Roman"/>
          <w:sz w:val="16"/>
          <w:szCs w:val="16"/>
        </w:rPr>
        <w:footnoteRef/>
      </w:r>
      <w:r w:rsidRPr="00775EC2">
        <w:rPr>
          <w:rFonts w:ascii="Times New Roman" w:hAnsi="Times New Roman" w:cs="Times New Roman"/>
          <w:sz w:val="16"/>
          <w:szCs w:val="16"/>
        </w:rPr>
        <w:t xml:space="preserve"> Renault Kadjar nr. HRE 854; Renault Kadjar nr. HRE 861; Chevrolet Captiva nr. CQR 523 și Chevrolet Cruize nr. CPW 938.</w:t>
      </w:r>
    </w:p>
  </w:footnote>
  <w:footnote w:id="123">
    <w:p w14:paraId="556D2155" w14:textId="26840739" w:rsidR="00CD219C" w:rsidRPr="0077171B" w:rsidRDefault="00CD219C" w:rsidP="006D7209">
      <w:pPr>
        <w:pStyle w:val="FootnoteText"/>
        <w:jc w:val="both"/>
        <w:rPr>
          <w:rFonts w:ascii="Times New Roman" w:hAnsi="Times New Roman" w:cs="Times New Roman"/>
          <w:sz w:val="16"/>
          <w:szCs w:val="16"/>
          <w:lang w:val="ro-RO"/>
        </w:rPr>
      </w:pPr>
      <w:r w:rsidRPr="00775EC2">
        <w:rPr>
          <w:rStyle w:val="FootnoteReference"/>
          <w:rFonts w:ascii="Times New Roman" w:hAnsi="Times New Roman" w:cs="Times New Roman"/>
          <w:sz w:val="16"/>
          <w:szCs w:val="16"/>
        </w:rPr>
        <w:footnoteRef/>
      </w:r>
      <w:r w:rsidRPr="00775EC2">
        <w:rPr>
          <w:rFonts w:ascii="Times New Roman" w:hAnsi="Times New Roman" w:cs="Times New Roman"/>
          <w:sz w:val="16"/>
          <w:szCs w:val="16"/>
        </w:rPr>
        <w:t xml:space="preserve"> Automobilul Renault Kadjar nr. HRE 854 a înregistrat un parcurs </w:t>
      </w:r>
      <w:r>
        <w:rPr>
          <w:rFonts w:ascii="Times New Roman" w:hAnsi="Times New Roman" w:cs="Times New Roman"/>
          <w:sz w:val="16"/>
          <w:szCs w:val="16"/>
        </w:rPr>
        <w:t xml:space="preserve">de </w:t>
      </w:r>
      <w:r w:rsidRPr="00775EC2">
        <w:rPr>
          <w:rFonts w:ascii="Times New Roman" w:hAnsi="Times New Roman" w:cs="Times New Roman"/>
          <w:sz w:val="16"/>
          <w:szCs w:val="16"/>
        </w:rPr>
        <w:t xml:space="preserve">25,8 mii km, fiind casate 2,8 tone combustibil în sumă de 53,5 mii lei; Renault Kadjar nr. HRE 861 </w:t>
      </w:r>
      <w:r>
        <w:rPr>
          <w:rFonts w:ascii="Times New Roman" w:hAnsi="Times New Roman" w:cs="Times New Roman"/>
          <w:sz w:val="16"/>
          <w:szCs w:val="16"/>
        </w:rPr>
        <w:t xml:space="preserve">are </w:t>
      </w:r>
      <w:r w:rsidRPr="00775EC2">
        <w:rPr>
          <w:rFonts w:ascii="Times New Roman" w:hAnsi="Times New Roman" w:cs="Times New Roman"/>
          <w:sz w:val="16"/>
          <w:szCs w:val="16"/>
        </w:rPr>
        <w:t xml:space="preserve">un parcurs </w:t>
      </w:r>
      <w:r>
        <w:rPr>
          <w:rFonts w:ascii="Times New Roman" w:hAnsi="Times New Roman" w:cs="Times New Roman"/>
          <w:sz w:val="16"/>
          <w:szCs w:val="16"/>
        </w:rPr>
        <w:t xml:space="preserve">de </w:t>
      </w:r>
      <w:r w:rsidRPr="00775EC2">
        <w:rPr>
          <w:rFonts w:ascii="Times New Roman" w:hAnsi="Times New Roman" w:cs="Times New Roman"/>
          <w:sz w:val="16"/>
          <w:szCs w:val="16"/>
        </w:rPr>
        <w:t xml:space="preserve">60,9 mii km, fiind casate 3,3 tone combustibil în sumă de 60,6 mii lei; Chevrolet Captiva nr. CQR 523 </w:t>
      </w:r>
      <w:r>
        <w:rPr>
          <w:rFonts w:ascii="Times New Roman" w:hAnsi="Times New Roman" w:cs="Times New Roman"/>
          <w:sz w:val="16"/>
          <w:szCs w:val="16"/>
        </w:rPr>
        <w:t xml:space="preserve">are </w:t>
      </w:r>
      <w:r w:rsidRPr="00775EC2">
        <w:rPr>
          <w:rFonts w:ascii="Times New Roman" w:hAnsi="Times New Roman" w:cs="Times New Roman"/>
          <w:sz w:val="16"/>
          <w:szCs w:val="16"/>
        </w:rPr>
        <w:t xml:space="preserve">un </w:t>
      </w:r>
      <w:r w:rsidRPr="0077171B">
        <w:rPr>
          <w:rFonts w:ascii="Times New Roman" w:hAnsi="Times New Roman" w:cs="Times New Roman"/>
          <w:sz w:val="16"/>
          <w:szCs w:val="16"/>
          <w:lang w:val="ro-RO"/>
        </w:rPr>
        <w:t>parcurs de 18,9 mii km, fiind casate 3,0 tone combustibil în sumă de 54,2 mii lei și Chevrolet Cruize nr. CPW 938 are un parcurs de 32,4 mii km, fiind casate 4,1 tone combustibil în sumă de 71,5 mii lei.</w:t>
      </w:r>
    </w:p>
  </w:footnote>
  <w:footnote w:id="124">
    <w:p w14:paraId="56A49F1B" w14:textId="1E50EE14"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Renault Kadjar nr. HRE 854; Renault Kadjar nr. HRE 861; Chevrolet Captiva nr. CQR 523 și Chevrolet Cruize nr. CPW 938. </w:t>
      </w:r>
    </w:p>
  </w:footnote>
  <w:footnote w:id="125">
    <w:p w14:paraId="0478B7DD" w14:textId="3215E67B" w:rsidR="00CD219C" w:rsidRPr="00D262C0" w:rsidRDefault="00CD219C" w:rsidP="006D7209">
      <w:pPr>
        <w:spacing w:after="0" w:line="240" w:lineRule="auto"/>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w:t>
      </w:r>
      <w:r w:rsidRPr="00D262C0">
        <w:rPr>
          <w:rFonts w:ascii="Times New Roman" w:eastAsia="Times New Roman" w:hAnsi="Times New Roman" w:cs="Times New Roman"/>
          <w:bCs/>
          <w:sz w:val="16"/>
          <w:szCs w:val="16"/>
          <w:lang w:val="ro-RO"/>
        </w:rPr>
        <w:t>H</w:t>
      </w:r>
      <w:r>
        <w:rPr>
          <w:rFonts w:ascii="Times New Roman" w:eastAsia="Times New Roman" w:hAnsi="Times New Roman" w:cs="Times New Roman"/>
          <w:bCs/>
          <w:sz w:val="16"/>
          <w:szCs w:val="16"/>
          <w:lang w:val="ro-RO"/>
        </w:rPr>
        <w:t>G</w:t>
      </w:r>
      <w:r w:rsidRPr="00D262C0">
        <w:rPr>
          <w:rFonts w:ascii="Times New Roman" w:eastAsia="Times New Roman" w:hAnsi="Times New Roman" w:cs="Times New Roman"/>
          <w:bCs/>
          <w:sz w:val="16"/>
          <w:szCs w:val="16"/>
          <w:lang w:val="ro-RO"/>
        </w:rPr>
        <w:t xml:space="preserve"> nr. 449 din 29.04.2004 „Despre aprobarea Nomenclatoarelor funcțiilor deținute și lucrărilor executate de către salariații cu care angajatorul poate încheia contracte scrise cu privire la răspunderea materială individuală sau colectivă (de brigadă) deplină, precum şi a contractelor-tip cu privire la răspunderea materială deplină”.</w:t>
      </w:r>
    </w:p>
  </w:footnote>
  <w:footnote w:id="126">
    <w:p w14:paraId="26323FBA" w14:textId="02872D36"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Pr>
          <w:rFonts w:ascii="Times New Roman" w:hAnsi="Times New Roman" w:cs="Times New Roman"/>
          <w:sz w:val="16"/>
          <w:szCs w:val="16"/>
          <w:lang w:val="ro-RO"/>
        </w:rPr>
        <w:t xml:space="preserve"> </w:t>
      </w:r>
      <w:r w:rsidRPr="0077171B">
        <w:rPr>
          <w:rFonts w:ascii="Times New Roman" w:hAnsi="Times New Roman" w:cs="Times New Roman"/>
          <w:sz w:val="16"/>
          <w:szCs w:val="16"/>
          <w:lang w:val="ro-RO"/>
        </w:rPr>
        <w:t>Renault Kadjar nr. HRE 854 a fost accidentat de 3 ori</w:t>
      </w:r>
      <w:r>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fiind cauzate pagube în sumă de 80,3 mii lei; Renault Kadjar nr. HRE 861 a fost accidentat de 3 ori</w:t>
      </w:r>
      <w:r>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fiind cauzate pagube în sumă de 44,6 mii lei; Chevrolet Captiva nr. CQR 523 a fost accidentat de 6 ori</w:t>
      </w:r>
      <w:r>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fiind cauzate pagube în sumă de 15,6 mii lei și Chevrolet Cruize nr. CPW 938 a fost accidentat de 2 ori</w:t>
      </w:r>
      <w:r>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fiind cauzate pagube în sumă de 4,7 mii lei, care au fost achitate din contul mijloacelor bugetare. </w:t>
      </w:r>
    </w:p>
  </w:footnote>
  <w:footnote w:id="127">
    <w:p w14:paraId="70C37D03" w14:textId="63CF4647"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Pr>
          <w:rFonts w:ascii="Times New Roman" w:hAnsi="Times New Roman" w:cs="Times New Roman"/>
          <w:sz w:val="16"/>
          <w:szCs w:val="16"/>
          <w:lang w:val="ro-RO"/>
        </w:rPr>
        <w:t xml:space="preserve"> </w:t>
      </w:r>
      <w:r w:rsidRPr="0077171B">
        <w:rPr>
          <w:rFonts w:ascii="Times New Roman" w:hAnsi="Times New Roman" w:cs="Times New Roman"/>
          <w:sz w:val="16"/>
          <w:szCs w:val="16"/>
          <w:lang w:val="ro-RO"/>
        </w:rPr>
        <w:t xml:space="preserve">Renault Kadjar nr. HRE 861 și Chevrolet Cruize nr. CPW 938. </w:t>
      </w:r>
    </w:p>
  </w:footnote>
  <w:footnote w:id="128">
    <w:p w14:paraId="169FD002" w14:textId="10982F89"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Pr>
          <w:rFonts w:ascii="Times New Roman" w:hAnsi="Times New Roman" w:cs="Times New Roman"/>
          <w:sz w:val="16"/>
          <w:szCs w:val="16"/>
          <w:lang w:val="ro-RO"/>
        </w:rPr>
        <w:t xml:space="preserve"> </w:t>
      </w:r>
      <w:r w:rsidRPr="0077171B">
        <w:rPr>
          <w:rFonts w:ascii="Times New Roman" w:hAnsi="Times New Roman" w:cs="Times New Roman"/>
          <w:sz w:val="16"/>
          <w:szCs w:val="16"/>
          <w:lang w:val="ro-RO"/>
        </w:rPr>
        <w:t xml:space="preserve">Renault Kadjar nr. HRE 854; Renault Kadjar nr. HRE 861 și Chevrolet Captiva nr. CQR 523. </w:t>
      </w:r>
    </w:p>
  </w:footnote>
  <w:footnote w:id="129">
    <w:p w14:paraId="0BFB9035" w14:textId="0D37CF2F"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Pct.5.8; p</w:t>
      </w:r>
      <w:r w:rsidRPr="00D262C0">
        <w:rPr>
          <w:rFonts w:ascii="Times New Roman" w:hAnsi="Times New Roman" w:cs="Times New Roman"/>
          <w:sz w:val="16"/>
          <w:szCs w:val="16"/>
          <w:lang w:val="ro-RO"/>
        </w:rPr>
        <w:t xml:space="preserve">ct.5.9; pct.6 și pct.6.1 din Instrucțiunea privind completarea şi prelucrarea foii de parcurs pentru autoturisme, aprobată prin </w:t>
      </w:r>
      <w:r>
        <w:rPr>
          <w:rFonts w:ascii="Times New Roman" w:hAnsi="Times New Roman" w:cs="Times New Roman"/>
          <w:sz w:val="16"/>
          <w:szCs w:val="16"/>
          <w:lang w:val="ro-RO"/>
        </w:rPr>
        <w:t>O</w:t>
      </w:r>
      <w:r w:rsidRPr="00D262C0">
        <w:rPr>
          <w:rFonts w:ascii="Times New Roman" w:hAnsi="Times New Roman" w:cs="Times New Roman"/>
          <w:sz w:val="16"/>
          <w:szCs w:val="16"/>
          <w:lang w:val="ro-RO"/>
        </w:rPr>
        <w:t>rdinul Departamentului Analize Statistice şi Sociologice al Republicii Moldova nr.108 din 17.12.1998.</w:t>
      </w:r>
    </w:p>
  </w:footnote>
  <w:footnote w:id="130">
    <w:p w14:paraId="4CD7EC90" w14:textId="77777777"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Chevrolet Cruize nr. CPW 938</w:t>
      </w:r>
      <w:r w:rsidRPr="00D262C0">
        <w:rPr>
          <w:rFonts w:ascii="Times New Roman" w:hAnsi="Times New Roman" w:cs="Times New Roman"/>
          <w:sz w:val="16"/>
          <w:szCs w:val="16"/>
          <w:lang w:val="ro-RO"/>
        </w:rPr>
        <w:t xml:space="preserve">, foaia de parcurs, seria YO nr.963376 din 02-30.09.2019; </w:t>
      </w:r>
      <w:r w:rsidRPr="0077171B">
        <w:rPr>
          <w:rFonts w:ascii="Times New Roman" w:hAnsi="Times New Roman" w:cs="Times New Roman"/>
          <w:sz w:val="16"/>
          <w:szCs w:val="16"/>
          <w:lang w:val="ro-RO"/>
        </w:rPr>
        <w:t>Chevrolet Captiva nr. CQR 523</w:t>
      </w:r>
      <w:r w:rsidRPr="00D262C0">
        <w:rPr>
          <w:rFonts w:ascii="Times New Roman" w:hAnsi="Times New Roman" w:cs="Times New Roman"/>
          <w:sz w:val="16"/>
          <w:szCs w:val="16"/>
          <w:lang w:val="ro-RO"/>
        </w:rPr>
        <w:t>, foaia de parcurs, seria YO nr.963363 din 03-30.06.2019;</w:t>
      </w:r>
      <w:r w:rsidRPr="0077171B">
        <w:rPr>
          <w:rFonts w:ascii="Times New Roman" w:hAnsi="Times New Roman" w:cs="Times New Roman"/>
          <w:sz w:val="16"/>
          <w:szCs w:val="16"/>
          <w:lang w:val="ro-RO"/>
        </w:rPr>
        <w:t xml:space="preserve"> Renault Kadjar nr. HRE 861</w:t>
      </w:r>
      <w:r w:rsidRPr="00D262C0">
        <w:rPr>
          <w:rFonts w:ascii="Times New Roman" w:hAnsi="Times New Roman" w:cs="Times New Roman"/>
          <w:sz w:val="16"/>
          <w:szCs w:val="16"/>
          <w:lang w:val="ro-RO"/>
        </w:rPr>
        <w:t>, foaia de parcurs, seria YO nr.963384 din 01-30.11.2019;</w:t>
      </w:r>
      <w:r w:rsidRPr="0077171B">
        <w:rPr>
          <w:rFonts w:ascii="Times New Roman" w:hAnsi="Times New Roman" w:cs="Times New Roman"/>
          <w:sz w:val="16"/>
          <w:szCs w:val="16"/>
          <w:lang w:val="ro-RO"/>
        </w:rPr>
        <w:t xml:space="preserve"> Chevrolet Cruize nr. CPW 938</w:t>
      </w:r>
      <w:r w:rsidRPr="00D262C0">
        <w:rPr>
          <w:rFonts w:ascii="Times New Roman" w:hAnsi="Times New Roman" w:cs="Times New Roman"/>
          <w:sz w:val="16"/>
          <w:szCs w:val="16"/>
          <w:lang w:val="ro-RO"/>
        </w:rPr>
        <w:t xml:space="preserve">, foaia de parcurs, seria KO nr.713900 din 01-31.08.2022; </w:t>
      </w:r>
      <w:r w:rsidRPr="0077171B">
        <w:rPr>
          <w:rFonts w:ascii="Times New Roman" w:hAnsi="Times New Roman" w:cs="Times New Roman"/>
          <w:sz w:val="16"/>
          <w:szCs w:val="16"/>
          <w:lang w:val="ro-RO"/>
        </w:rPr>
        <w:t>Renault Kadjar nr. HRE 861</w:t>
      </w:r>
      <w:r w:rsidRPr="00D262C0">
        <w:rPr>
          <w:rFonts w:ascii="Times New Roman" w:hAnsi="Times New Roman" w:cs="Times New Roman"/>
          <w:sz w:val="16"/>
          <w:szCs w:val="16"/>
          <w:lang w:val="ro-RO"/>
        </w:rPr>
        <w:t>, foaia de parcurs, seria KO nr.713803 din 04-29.05.2020.</w:t>
      </w:r>
    </w:p>
  </w:footnote>
  <w:footnote w:id="131">
    <w:p w14:paraId="129B29B4" w14:textId="651260CC"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w:t>
      </w:r>
      <w:r w:rsidRPr="00D262C0">
        <w:rPr>
          <w:rFonts w:ascii="Times New Roman" w:hAnsi="Times New Roman" w:cs="Times New Roman"/>
          <w:sz w:val="16"/>
          <w:szCs w:val="16"/>
          <w:lang w:val="ro-RO"/>
        </w:rPr>
        <w:t>Anexa nr.1 la H</w:t>
      </w:r>
      <w:r>
        <w:rPr>
          <w:rFonts w:ascii="Times New Roman" w:hAnsi="Times New Roman" w:cs="Times New Roman"/>
          <w:sz w:val="16"/>
          <w:szCs w:val="16"/>
          <w:lang w:val="ro-RO"/>
        </w:rPr>
        <w:t>G</w:t>
      </w:r>
      <w:r w:rsidRPr="00D262C0">
        <w:rPr>
          <w:rFonts w:ascii="Times New Roman" w:hAnsi="Times New Roman" w:cs="Times New Roman"/>
          <w:sz w:val="16"/>
          <w:szCs w:val="16"/>
          <w:lang w:val="ro-RO"/>
        </w:rPr>
        <w:t xml:space="preserve"> nr.1404 din 30.12.2005 „Privind reglementarea utilizării autoturismelor de serviciu de către autoritățile administrației publice”</w:t>
      </w:r>
      <w:r>
        <w:rPr>
          <w:rFonts w:ascii="Times New Roman" w:hAnsi="Times New Roman" w:cs="Times New Roman"/>
          <w:sz w:val="16"/>
          <w:szCs w:val="16"/>
          <w:lang w:val="ro-RO"/>
        </w:rPr>
        <w:t>.</w:t>
      </w:r>
    </w:p>
  </w:footnote>
  <w:footnote w:id="132">
    <w:p w14:paraId="659BAC9D" w14:textId="77777777"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Contractul individual de muncă nr.02 din 04.09.2019 încheiat de CNPDCP.</w:t>
      </w:r>
    </w:p>
  </w:footnote>
  <w:footnote w:id="133">
    <w:p w14:paraId="2039F527" w14:textId="300E0881"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Pr>
          <w:rFonts w:ascii="Times New Roman" w:hAnsi="Times New Roman" w:cs="Times New Roman"/>
          <w:sz w:val="16"/>
          <w:szCs w:val="16"/>
          <w:lang w:val="ro-RO"/>
        </w:rPr>
        <w:t xml:space="preserve"> </w:t>
      </w:r>
      <w:r w:rsidRPr="00525E59">
        <w:rPr>
          <w:rFonts w:ascii="Times New Roman" w:hAnsi="Times New Roman" w:cs="Times New Roman"/>
          <w:sz w:val="16"/>
          <w:szCs w:val="16"/>
          <w:lang w:val="ro-RO"/>
        </w:rPr>
        <w:t>Contract</w:t>
      </w:r>
      <w:r>
        <w:rPr>
          <w:rFonts w:ascii="Times New Roman" w:hAnsi="Times New Roman" w:cs="Times New Roman"/>
          <w:sz w:val="16"/>
          <w:szCs w:val="16"/>
          <w:lang w:val="ro-RO"/>
        </w:rPr>
        <w:t>ul</w:t>
      </w:r>
      <w:r w:rsidRPr="00525E59">
        <w:rPr>
          <w:rFonts w:ascii="Times New Roman" w:hAnsi="Times New Roman" w:cs="Times New Roman"/>
          <w:sz w:val="16"/>
          <w:szCs w:val="16"/>
          <w:lang w:val="ro-RO"/>
        </w:rPr>
        <w:t xml:space="preserve"> de comodat nr.01/16 din 04.01.2016, încheiat de </w:t>
      </w:r>
      <w:r w:rsidRPr="0077171B">
        <w:rPr>
          <w:rFonts w:ascii="Times New Roman" w:hAnsi="Times New Roman" w:cs="Times New Roman"/>
          <w:sz w:val="16"/>
          <w:szCs w:val="16"/>
          <w:lang w:val="ro-RO"/>
        </w:rPr>
        <w:t>Director cu CNPDCP.</w:t>
      </w:r>
    </w:p>
  </w:footnote>
  <w:footnote w:id="134">
    <w:p w14:paraId="6A7EA525" w14:textId="4C74BC4E"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Licitația publică privind achiziția unui mijloc de transport organizată de CNPDCP nr.19/13 din 24.01.2013</w:t>
      </w:r>
      <w:r>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publicată în BAP nr.1 din 04.01.2013.</w:t>
      </w:r>
    </w:p>
  </w:footnote>
  <w:footnote w:id="135">
    <w:p w14:paraId="17925D54" w14:textId="0821592A"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Pr>
          <w:rFonts w:ascii="Times New Roman" w:hAnsi="Times New Roman" w:cs="Times New Roman"/>
          <w:sz w:val="16"/>
          <w:szCs w:val="16"/>
          <w:lang w:val="ro-RO"/>
        </w:rPr>
        <w:t xml:space="preserve"> </w:t>
      </w:r>
      <w:r w:rsidRPr="0077171B">
        <w:rPr>
          <w:rFonts w:ascii="Times New Roman" w:hAnsi="Times New Roman" w:cs="Times New Roman"/>
          <w:sz w:val="16"/>
          <w:szCs w:val="16"/>
          <w:lang w:val="ro-RO"/>
        </w:rPr>
        <w:t xml:space="preserve">Chevrolet Captiva nr. CQR 523 și Chevrolet Cruize nr. CPW 938. </w:t>
      </w:r>
    </w:p>
  </w:footnote>
  <w:footnote w:id="136">
    <w:p w14:paraId="65130DAB" w14:textId="1406D1E0"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w:t>
      </w:r>
      <w:r w:rsidRPr="00525E59">
        <w:rPr>
          <w:rFonts w:ascii="Times New Roman" w:hAnsi="Times New Roman" w:cs="Times New Roman"/>
          <w:sz w:val="16"/>
          <w:szCs w:val="16"/>
          <w:lang w:val="ro-RO"/>
        </w:rPr>
        <w:t>În perioada valabilității contractului de comodat nr.01/16 din 04.01.2016 (ianuarie-martie 2016), CNPDCP/Comodatarul a suportat cheltuieli bugetare în sumă de 6,7 mii lei, inclusiv pentru consumul de combustibil – 4,6 mii lei pentru 2</w:t>
      </w:r>
      <w:r>
        <w:rPr>
          <w:rFonts w:ascii="Times New Roman" w:hAnsi="Times New Roman" w:cs="Times New Roman"/>
          <w:sz w:val="16"/>
          <w:szCs w:val="16"/>
          <w:lang w:val="ro-RO"/>
        </w:rPr>
        <w:t>.</w:t>
      </w:r>
      <w:r w:rsidRPr="00525E59">
        <w:rPr>
          <w:rFonts w:ascii="Times New Roman" w:hAnsi="Times New Roman" w:cs="Times New Roman"/>
          <w:sz w:val="16"/>
          <w:szCs w:val="16"/>
          <w:lang w:val="ro-RO"/>
        </w:rPr>
        <w:t>630 km sau un parcurs mediu lunar de 877 km, pentru testare</w:t>
      </w:r>
      <w:r>
        <w:rPr>
          <w:rFonts w:ascii="Times New Roman" w:hAnsi="Times New Roman" w:cs="Times New Roman"/>
          <w:sz w:val="16"/>
          <w:szCs w:val="16"/>
          <w:lang w:val="ro-RO"/>
        </w:rPr>
        <w:t>a</w:t>
      </w:r>
      <w:r w:rsidRPr="00525E59">
        <w:rPr>
          <w:rFonts w:ascii="Times New Roman" w:hAnsi="Times New Roman" w:cs="Times New Roman"/>
          <w:sz w:val="16"/>
          <w:szCs w:val="16"/>
          <w:lang w:val="ro-RO"/>
        </w:rPr>
        <w:t xml:space="preserve"> auto și taxa pentru folosirea drumurilor pentru an</w:t>
      </w:r>
      <w:r w:rsidRPr="00D42947">
        <w:rPr>
          <w:rFonts w:ascii="Times New Roman" w:hAnsi="Times New Roman" w:cs="Times New Roman"/>
          <w:sz w:val="16"/>
          <w:szCs w:val="16"/>
          <w:lang w:val="ro-RO"/>
        </w:rPr>
        <w:t xml:space="preserve">ul 2016 </w:t>
      </w:r>
      <w:r>
        <w:rPr>
          <w:rFonts w:ascii="Times New Roman" w:hAnsi="Times New Roman" w:cs="Times New Roman"/>
          <w:sz w:val="16"/>
          <w:szCs w:val="16"/>
          <w:lang w:val="ro-RO"/>
        </w:rPr>
        <w:t xml:space="preserve">– </w:t>
      </w:r>
      <w:r w:rsidRPr="00D42947">
        <w:rPr>
          <w:rFonts w:ascii="Times New Roman" w:hAnsi="Times New Roman" w:cs="Times New Roman"/>
          <w:sz w:val="16"/>
          <w:szCs w:val="16"/>
          <w:lang w:val="ro-RO"/>
        </w:rPr>
        <w:t>în sumă de 2,0 mii lei.</w:t>
      </w:r>
    </w:p>
  </w:footnote>
  <w:footnote w:id="137">
    <w:p w14:paraId="27005521" w14:textId="0D18685A"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Pct.3.3.1; pct.3.8.25 din Ordinul ministrului Finanțelor nr.216 din 28.12.2015 </w:t>
      </w:r>
      <w:r>
        <w:rPr>
          <w:rFonts w:ascii="Times New Roman" w:hAnsi="Times New Roman" w:cs="Times New Roman"/>
          <w:sz w:val="16"/>
          <w:szCs w:val="16"/>
          <w:lang w:val="ro-RO"/>
        </w:rPr>
        <w:t>„C</w:t>
      </w:r>
      <w:r w:rsidRPr="0077171B">
        <w:rPr>
          <w:rFonts w:ascii="Times New Roman" w:hAnsi="Times New Roman" w:cs="Times New Roman"/>
          <w:sz w:val="16"/>
          <w:szCs w:val="16"/>
          <w:lang w:val="ro-RO"/>
        </w:rPr>
        <w:t>u privire la aprobarea Planului de conturi contabile în sistemul bugetar şi a Normelor metodologice privind evidența contabilă și raportarea financiară în sistemul bugetar</w:t>
      </w:r>
      <w:r>
        <w:rPr>
          <w:rFonts w:ascii="Times New Roman" w:hAnsi="Times New Roman" w:cs="Times New Roman"/>
          <w:sz w:val="16"/>
          <w:szCs w:val="16"/>
          <w:lang w:val="ro-RO"/>
        </w:rPr>
        <w:t>”</w:t>
      </w:r>
      <w:r w:rsidRPr="0077171B">
        <w:rPr>
          <w:rFonts w:ascii="Times New Roman" w:hAnsi="Times New Roman" w:cs="Times New Roman"/>
          <w:sz w:val="16"/>
          <w:szCs w:val="16"/>
          <w:lang w:val="ro-RO"/>
        </w:rPr>
        <w:t>.</w:t>
      </w:r>
    </w:p>
  </w:footnote>
  <w:footnote w:id="138">
    <w:p w14:paraId="52CE9E11" w14:textId="562FC6A9" w:rsidR="00CD219C" w:rsidRPr="00525E59" w:rsidRDefault="00CD219C" w:rsidP="006D7209">
      <w:pPr>
        <w:pStyle w:val="FootnoteText"/>
        <w:ind w:left="142" w:hanging="142"/>
        <w:jc w:val="both"/>
        <w:rPr>
          <w:rFonts w:ascii="Times New Roman" w:hAnsi="Times New Roman" w:cs="Times New Roman"/>
          <w:sz w:val="16"/>
          <w:szCs w:val="16"/>
          <w:lang w:val="ro-RO"/>
        </w:rPr>
      </w:pPr>
      <w:r w:rsidRPr="00525E59">
        <w:rPr>
          <w:rStyle w:val="FootnoteReference"/>
          <w:rFonts w:ascii="Times New Roman" w:hAnsi="Times New Roman" w:cs="Times New Roman"/>
          <w:sz w:val="16"/>
          <w:szCs w:val="16"/>
          <w:lang w:val="ro-RO"/>
        </w:rPr>
        <w:footnoteRef/>
      </w:r>
      <w:r w:rsidRPr="00525E59">
        <w:rPr>
          <w:rFonts w:ascii="Times New Roman" w:hAnsi="Times New Roman" w:cs="Times New Roman"/>
          <w:sz w:val="16"/>
          <w:szCs w:val="16"/>
          <w:lang w:val="ro-RO"/>
        </w:rPr>
        <w:t xml:space="preserve"> </w:t>
      </w:r>
      <w:r w:rsidRPr="0077171B">
        <w:rPr>
          <w:rFonts w:ascii="Times New Roman" w:hAnsi="Times New Roman" w:cs="Times New Roman"/>
          <w:sz w:val="16"/>
          <w:szCs w:val="16"/>
          <w:lang w:val="ro-RO"/>
        </w:rPr>
        <w:t xml:space="preserve">Ordinul Ministerului Transporturilor și Gospodăriei Drumurilor nr.172 din 09.12.2005 </w:t>
      </w:r>
      <w:r>
        <w:rPr>
          <w:rFonts w:ascii="Times New Roman" w:hAnsi="Times New Roman" w:cs="Times New Roman"/>
          <w:sz w:val="16"/>
          <w:szCs w:val="16"/>
          <w:lang w:val="ro-RO"/>
        </w:rPr>
        <w:t>„C</w:t>
      </w:r>
      <w:r w:rsidRPr="0077171B">
        <w:rPr>
          <w:rFonts w:ascii="Times New Roman" w:hAnsi="Times New Roman" w:cs="Times New Roman"/>
          <w:sz w:val="16"/>
          <w:szCs w:val="16"/>
          <w:lang w:val="ro-RO"/>
        </w:rPr>
        <w:t>u privire la aprobarea Normelor de consum de combustibil și lubrifianți</w:t>
      </w:r>
      <w:r>
        <w:rPr>
          <w:rFonts w:ascii="Times New Roman" w:hAnsi="Times New Roman" w:cs="Times New Roman"/>
          <w:sz w:val="16"/>
          <w:szCs w:val="16"/>
          <w:lang w:val="ro-RO"/>
        </w:rPr>
        <w:t>”</w:t>
      </w:r>
      <w:r w:rsidRPr="0077171B">
        <w:rPr>
          <w:rFonts w:ascii="Times New Roman" w:hAnsi="Times New Roman" w:cs="Times New Roman"/>
          <w:sz w:val="16"/>
          <w:szCs w:val="16"/>
          <w:lang w:val="ro-RO"/>
        </w:rPr>
        <w:t>.</w:t>
      </w:r>
    </w:p>
  </w:footnote>
  <w:footnote w:id="139">
    <w:p w14:paraId="5B92CC2A" w14:textId="6350F910"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Ordinul directorului CNPDCP nr.27 din 08.08.2018 „Cu privire la instituirea Comisiei tehnice pentru revizuirea normelor de consum de combustibil pentru autoturismele </w:t>
      </w:r>
      <w:r w:rsidRPr="0077171B">
        <w:rPr>
          <w:rFonts w:ascii="Times New Roman" w:eastAsia="Times New Roman" w:hAnsi="Times New Roman" w:cs="Times New Roman"/>
          <w:sz w:val="16"/>
          <w:szCs w:val="16"/>
          <w:lang w:val="ro-RO"/>
        </w:rPr>
        <w:t>Renault Kadjar HRE 861 (cutie manuală</w:t>
      </w:r>
      <w:r>
        <w:rPr>
          <w:rFonts w:ascii="Times New Roman" w:eastAsia="Times New Roman" w:hAnsi="Times New Roman" w:cs="Times New Roman"/>
          <w:sz w:val="16"/>
          <w:szCs w:val="16"/>
          <w:lang w:val="ro-RO"/>
        </w:rPr>
        <w:t>)</w:t>
      </w:r>
      <w:r w:rsidRPr="0077171B">
        <w:rPr>
          <w:rFonts w:ascii="Times New Roman" w:eastAsia="Times New Roman" w:hAnsi="Times New Roman" w:cs="Times New Roman"/>
          <w:sz w:val="16"/>
          <w:szCs w:val="16"/>
          <w:lang w:val="ro-RO"/>
        </w:rPr>
        <w:t xml:space="preserve"> și Renault Kadjar HRE 854 (cutie automată)”.</w:t>
      </w:r>
    </w:p>
  </w:footnote>
  <w:footnote w:id="140">
    <w:p w14:paraId="29AF46DE" w14:textId="4DA03AFA"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Contractul de comodat nr.29 din 31.12.2021</w:t>
      </w:r>
      <w:r>
        <w:rPr>
          <w:rFonts w:ascii="Times New Roman" w:hAnsi="Times New Roman" w:cs="Times New Roman"/>
          <w:sz w:val="16"/>
          <w:szCs w:val="16"/>
          <w:lang w:val="ro-RO"/>
        </w:rPr>
        <w:t>,</w:t>
      </w:r>
      <w:r w:rsidRPr="0077171B">
        <w:rPr>
          <w:rFonts w:ascii="Times New Roman" w:hAnsi="Times New Roman" w:cs="Times New Roman"/>
          <w:sz w:val="16"/>
          <w:szCs w:val="16"/>
          <w:lang w:val="ro-RO"/>
        </w:rPr>
        <w:t xml:space="preserve"> încheiat de către CNPDCP și Instituția </w:t>
      </w:r>
      <w:r>
        <w:rPr>
          <w:rFonts w:ascii="Times New Roman" w:hAnsi="Times New Roman" w:cs="Times New Roman"/>
          <w:sz w:val="16"/>
          <w:szCs w:val="16"/>
          <w:lang w:val="ro-RO"/>
        </w:rPr>
        <w:t>P</w:t>
      </w:r>
      <w:r w:rsidRPr="0077171B">
        <w:rPr>
          <w:rFonts w:ascii="Times New Roman" w:hAnsi="Times New Roman" w:cs="Times New Roman"/>
          <w:sz w:val="16"/>
          <w:szCs w:val="16"/>
          <w:lang w:val="ro-RO"/>
        </w:rPr>
        <w:t xml:space="preserve">ublică „Direcția </w:t>
      </w:r>
      <w:r>
        <w:rPr>
          <w:rFonts w:ascii="Times New Roman" w:hAnsi="Times New Roman" w:cs="Times New Roman"/>
          <w:sz w:val="16"/>
          <w:szCs w:val="16"/>
          <w:lang w:val="ro-RO"/>
        </w:rPr>
        <w:t>g</w:t>
      </w:r>
      <w:r w:rsidRPr="0077171B">
        <w:rPr>
          <w:rFonts w:ascii="Times New Roman" w:hAnsi="Times New Roman" w:cs="Times New Roman"/>
          <w:sz w:val="16"/>
          <w:szCs w:val="16"/>
          <w:lang w:val="ro-RO"/>
        </w:rPr>
        <w:t>enerală pentru administrarea clădirilor Guvernului</w:t>
      </w:r>
      <w:r>
        <w:rPr>
          <w:rFonts w:ascii="Times New Roman" w:hAnsi="Times New Roman" w:cs="Times New Roman"/>
          <w:sz w:val="16"/>
          <w:szCs w:val="16"/>
          <w:lang w:val="ro-RO"/>
        </w:rPr>
        <w:t>”</w:t>
      </w:r>
      <w:r w:rsidRPr="0077171B">
        <w:rPr>
          <w:rFonts w:ascii="Times New Roman" w:hAnsi="Times New Roman" w:cs="Times New Roman"/>
          <w:sz w:val="16"/>
          <w:szCs w:val="16"/>
          <w:lang w:val="ro-RO"/>
        </w:rPr>
        <w:t>.</w:t>
      </w:r>
    </w:p>
  </w:footnote>
  <w:footnote w:id="141">
    <w:p w14:paraId="443E83CC" w14:textId="6736C365"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În anul 2019 mijloacele planificate </w:t>
      </w:r>
      <w:r>
        <w:rPr>
          <w:rFonts w:ascii="Times New Roman" w:hAnsi="Times New Roman" w:cs="Times New Roman"/>
          <w:sz w:val="16"/>
          <w:szCs w:val="16"/>
          <w:lang w:val="ro-RO"/>
        </w:rPr>
        <w:t>î</w:t>
      </w:r>
      <w:r w:rsidRPr="0077171B">
        <w:rPr>
          <w:rFonts w:ascii="Times New Roman" w:hAnsi="Times New Roman" w:cs="Times New Roman"/>
          <w:sz w:val="16"/>
          <w:szCs w:val="16"/>
          <w:lang w:val="ro-RO"/>
        </w:rPr>
        <w:t xml:space="preserve">n bugetul CNPDCP </w:t>
      </w:r>
      <w:r w:rsidRPr="0077171B">
        <w:rPr>
          <w:rFonts w:ascii="Times New Roman" w:eastAsia="Times New Roman" w:hAnsi="Times New Roman" w:cs="Times New Roman"/>
          <w:sz w:val="16"/>
          <w:szCs w:val="16"/>
          <w:lang w:val="ro-RO" w:eastAsia="ru-RU"/>
        </w:rPr>
        <w:t>la grupa de conturi 222300 „Servicii de locațiune”</w:t>
      </w:r>
      <w:r>
        <w:rPr>
          <w:rFonts w:ascii="Times New Roman" w:eastAsia="Times New Roman" w:hAnsi="Times New Roman" w:cs="Times New Roman"/>
          <w:sz w:val="16"/>
          <w:szCs w:val="16"/>
          <w:lang w:val="ro-RO" w:eastAsia="ru-RU"/>
        </w:rPr>
        <w:t>,</w:t>
      </w:r>
      <w:r w:rsidRPr="0077171B">
        <w:rPr>
          <w:rFonts w:ascii="Times New Roman" w:eastAsia="Times New Roman" w:hAnsi="Times New Roman" w:cs="Times New Roman"/>
          <w:sz w:val="16"/>
          <w:szCs w:val="16"/>
          <w:lang w:val="ro-RO" w:eastAsia="ru-RU"/>
        </w:rPr>
        <w:t xml:space="preserve"> în sumă de 330 mii lei au fost redistribuite la grupa de conturi 314110 „Mașini și utilaje” </w:t>
      </w:r>
      <w:r>
        <w:rPr>
          <w:rFonts w:ascii="Times New Roman" w:eastAsia="Times New Roman" w:hAnsi="Times New Roman" w:cs="Times New Roman"/>
          <w:sz w:val="16"/>
          <w:szCs w:val="16"/>
          <w:lang w:val="ro-RO" w:eastAsia="ru-RU"/>
        </w:rPr>
        <w:t>î</w:t>
      </w:r>
      <w:r w:rsidRPr="0077171B">
        <w:rPr>
          <w:rFonts w:ascii="Times New Roman" w:eastAsia="Times New Roman" w:hAnsi="Times New Roman" w:cs="Times New Roman"/>
          <w:sz w:val="16"/>
          <w:szCs w:val="16"/>
          <w:lang w:val="ro-RO" w:eastAsia="ru-RU"/>
        </w:rPr>
        <w:t>n sumă de 225,0 mii lei și</w:t>
      </w:r>
      <w:r>
        <w:rPr>
          <w:rFonts w:ascii="Times New Roman" w:eastAsia="Times New Roman" w:hAnsi="Times New Roman" w:cs="Times New Roman"/>
          <w:sz w:val="16"/>
          <w:szCs w:val="16"/>
          <w:lang w:val="ro-RO" w:eastAsia="ru-RU"/>
        </w:rPr>
        <w:t>,</w:t>
      </w:r>
      <w:r w:rsidRPr="0077171B">
        <w:rPr>
          <w:rFonts w:ascii="Times New Roman" w:eastAsia="Times New Roman" w:hAnsi="Times New Roman" w:cs="Times New Roman"/>
          <w:sz w:val="16"/>
          <w:szCs w:val="16"/>
          <w:lang w:val="ro-RO" w:eastAsia="ru-RU"/>
        </w:rPr>
        <w:t xml:space="preserve"> respectiv</w:t>
      </w:r>
      <w:r>
        <w:rPr>
          <w:rFonts w:ascii="Times New Roman" w:eastAsia="Times New Roman" w:hAnsi="Times New Roman" w:cs="Times New Roman"/>
          <w:sz w:val="16"/>
          <w:szCs w:val="16"/>
          <w:lang w:val="ro-RO" w:eastAsia="ru-RU"/>
        </w:rPr>
        <w:t>,</w:t>
      </w:r>
      <w:r w:rsidRPr="0077171B">
        <w:rPr>
          <w:rFonts w:ascii="Times New Roman" w:eastAsia="Times New Roman" w:hAnsi="Times New Roman" w:cs="Times New Roman"/>
          <w:sz w:val="16"/>
          <w:szCs w:val="16"/>
          <w:lang w:val="ro-RO" w:eastAsia="ru-RU"/>
        </w:rPr>
        <w:t xml:space="preserve"> 105 mii lei la grupa de conturi 316110 „Unelte și scule, inventar de producere și gospodăresc”</w:t>
      </w:r>
      <w:r>
        <w:rPr>
          <w:rFonts w:ascii="Times New Roman" w:eastAsia="Times New Roman" w:hAnsi="Times New Roman" w:cs="Times New Roman"/>
          <w:sz w:val="16"/>
          <w:szCs w:val="16"/>
          <w:lang w:val="ro-RO" w:eastAsia="ru-RU"/>
        </w:rPr>
        <w:t>.</w:t>
      </w:r>
      <w:r w:rsidRPr="0077171B">
        <w:rPr>
          <w:rFonts w:ascii="Times New Roman" w:eastAsia="Times New Roman" w:hAnsi="Times New Roman" w:cs="Times New Roman"/>
          <w:sz w:val="16"/>
          <w:szCs w:val="16"/>
          <w:lang w:val="ro-RO" w:eastAsia="ru-RU"/>
        </w:rPr>
        <w:t xml:space="preserve"> </w:t>
      </w:r>
    </w:p>
  </w:footnote>
  <w:footnote w:id="142">
    <w:p w14:paraId="2D52F816" w14:textId="1856A07A" w:rsidR="00CD219C" w:rsidRPr="00717A78" w:rsidRDefault="00CD219C" w:rsidP="006D7209">
      <w:pPr>
        <w:spacing w:after="0" w:line="240" w:lineRule="auto"/>
        <w:jc w:val="both"/>
        <w:rPr>
          <w:rFonts w:ascii="Times New Roman" w:eastAsia="Times New Roman" w:hAnsi="Times New Roman" w:cs="Times New Roman"/>
          <w:bCs/>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w:t>
      </w:r>
      <w:r w:rsidRPr="00717A78">
        <w:rPr>
          <w:rFonts w:ascii="Times New Roman" w:hAnsi="Times New Roman" w:cs="Times New Roman"/>
          <w:sz w:val="16"/>
          <w:szCs w:val="16"/>
          <w:lang w:val="ro-RO"/>
        </w:rPr>
        <w:t>H</w:t>
      </w:r>
      <w:r>
        <w:rPr>
          <w:rFonts w:ascii="Times New Roman" w:hAnsi="Times New Roman" w:cs="Times New Roman"/>
          <w:sz w:val="16"/>
          <w:szCs w:val="16"/>
          <w:lang w:val="ro-RO"/>
        </w:rPr>
        <w:t>G</w:t>
      </w:r>
      <w:r w:rsidRPr="00717A78">
        <w:rPr>
          <w:rFonts w:ascii="Times New Roman" w:hAnsi="Times New Roman" w:cs="Times New Roman"/>
          <w:sz w:val="16"/>
          <w:szCs w:val="16"/>
          <w:lang w:val="ro-RO"/>
        </w:rPr>
        <w:t xml:space="preserve"> nr.883 din 25.11.2011 </w:t>
      </w:r>
      <w:r>
        <w:rPr>
          <w:rFonts w:ascii="Times New Roman" w:hAnsi="Times New Roman" w:cs="Times New Roman"/>
          <w:sz w:val="16"/>
          <w:szCs w:val="16"/>
          <w:lang w:val="ro-RO"/>
        </w:rPr>
        <w:t>„C</w:t>
      </w:r>
      <w:r w:rsidRPr="00717A78">
        <w:rPr>
          <w:rFonts w:ascii="Times New Roman" w:hAnsi="Times New Roman" w:cs="Times New Roman"/>
          <w:sz w:val="16"/>
          <w:szCs w:val="16"/>
          <w:lang w:val="ro-RO"/>
        </w:rPr>
        <w:t>u privire la aprobarea Conceptului tehnic al SIA ,,</w:t>
      </w:r>
      <w:r w:rsidRPr="00717A78">
        <w:rPr>
          <w:rFonts w:ascii="Times New Roman" w:eastAsia="Times New Roman" w:hAnsi="Times New Roman" w:cs="Times New Roman"/>
          <w:bCs/>
          <w:sz w:val="16"/>
          <w:szCs w:val="16"/>
          <w:lang w:val="ro-RO"/>
        </w:rPr>
        <w:t>Regulamentul Registrului de eviden</w:t>
      </w:r>
      <w:r>
        <w:rPr>
          <w:rFonts w:ascii="Times New Roman" w:eastAsia="Times New Roman" w:hAnsi="Times New Roman" w:cs="Times New Roman"/>
          <w:bCs/>
          <w:sz w:val="16"/>
          <w:szCs w:val="16"/>
          <w:lang w:val="ro-RO"/>
        </w:rPr>
        <w:t>ț</w:t>
      </w:r>
      <w:r w:rsidRPr="00717A78">
        <w:rPr>
          <w:rFonts w:ascii="Times New Roman" w:eastAsia="Times New Roman" w:hAnsi="Times New Roman" w:cs="Times New Roman"/>
          <w:bCs/>
          <w:sz w:val="16"/>
          <w:szCs w:val="16"/>
          <w:lang w:val="ro-RO"/>
        </w:rPr>
        <w:t>ă a operatorilor de date cu caracter personal”.</w:t>
      </w:r>
    </w:p>
  </w:footnote>
  <w:footnote w:id="143">
    <w:p w14:paraId="630428B3" w14:textId="77777777" w:rsidR="00CD219C" w:rsidRPr="000627C2"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w:t>
      </w:r>
      <w:r w:rsidRPr="0077171B">
        <w:rPr>
          <w:rFonts w:ascii="Times New Roman" w:eastAsia="Times New Roman" w:hAnsi="Times New Roman" w:cs="Times New Roman"/>
          <w:bCs/>
          <w:sz w:val="16"/>
          <w:szCs w:val="16"/>
          <w:lang w:val="ro-RO"/>
        </w:rPr>
        <w:t>A</w:t>
      </w:r>
      <w:r w:rsidRPr="00717A78">
        <w:rPr>
          <w:rFonts w:ascii="Times New Roman" w:eastAsia="Times New Roman" w:hAnsi="Times New Roman" w:cs="Times New Roman"/>
          <w:bCs/>
          <w:sz w:val="16"/>
          <w:szCs w:val="16"/>
          <w:lang w:val="ro-RO"/>
        </w:rPr>
        <w:t xml:space="preserve">rt.21 din Directiva 95/46/CE a </w:t>
      </w:r>
      <w:r w:rsidRPr="00717A78">
        <w:rPr>
          <w:rFonts w:ascii="Times New Roman" w:eastAsia="Times New Roman" w:hAnsi="Times New Roman" w:cs="Times New Roman"/>
          <w:sz w:val="16"/>
          <w:szCs w:val="16"/>
          <w:lang w:val="ro-RO"/>
        </w:rPr>
        <w:t>Parlamentului European și a Consiliului</w:t>
      </w:r>
      <w:r w:rsidRPr="00717A78">
        <w:rPr>
          <w:rFonts w:ascii="Times New Roman" w:eastAsia="Times New Roman" w:hAnsi="Times New Roman" w:cs="Times New Roman"/>
          <w:bCs/>
          <w:sz w:val="16"/>
          <w:szCs w:val="16"/>
          <w:lang w:val="ro-RO"/>
        </w:rPr>
        <w:t xml:space="preserve"> din 24 octombrie 1995 privind protecția persoanelor fizice în ceea ce privește prelucrarea datelor cu caracter personal și libera circulație a acestora.</w:t>
      </w:r>
    </w:p>
  </w:footnote>
  <w:footnote w:id="144">
    <w:p w14:paraId="319A4A86" w14:textId="43FBB2C5" w:rsidR="00CD219C" w:rsidRPr="00717A78" w:rsidRDefault="00CD219C" w:rsidP="006D7209">
      <w:pPr>
        <w:spacing w:after="0" w:line="240" w:lineRule="auto"/>
        <w:jc w:val="both"/>
        <w:rPr>
          <w:rFonts w:ascii="Times New Roman" w:eastAsia="Times New Roman" w:hAnsi="Times New Roman" w:cs="Times New Roman"/>
          <w:bCs/>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w:t>
      </w:r>
      <w:r w:rsidRPr="00717A78">
        <w:rPr>
          <w:rFonts w:ascii="Times New Roman" w:hAnsi="Times New Roman" w:cs="Times New Roman"/>
          <w:sz w:val="16"/>
          <w:szCs w:val="16"/>
          <w:lang w:val="ro-RO"/>
        </w:rPr>
        <w:t>H</w:t>
      </w:r>
      <w:r>
        <w:rPr>
          <w:rFonts w:ascii="Times New Roman" w:hAnsi="Times New Roman" w:cs="Times New Roman"/>
          <w:sz w:val="16"/>
          <w:szCs w:val="16"/>
          <w:lang w:val="ro-RO"/>
        </w:rPr>
        <w:t>G</w:t>
      </w:r>
      <w:r w:rsidRPr="00717A78">
        <w:rPr>
          <w:rFonts w:ascii="Times New Roman" w:hAnsi="Times New Roman" w:cs="Times New Roman"/>
          <w:sz w:val="16"/>
          <w:szCs w:val="16"/>
          <w:lang w:val="ro-RO"/>
        </w:rPr>
        <w:t xml:space="preserve"> nr. 296 din 15.05.2012 „P</w:t>
      </w:r>
      <w:r w:rsidRPr="00717A78">
        <w:rPr>
          <w:rFonts w:ascii="Times New Roman" w:eastAsia="Times New Roman" w:hAnsi="Times New Roman" w:cs="Times New Roman"/>
          <w:bCs/>
          <w:sz w:val="16"/>
          <w:szCs w:val="16"/>
          <w:lang w:val="ro-RO"/>
        </w:rPr>
        <w:t>rivind aprobarea Regulamentului Registrului de eviden</w:t>
      </w:r>
      <w:r>
        <w:rPr>
          <w:rFonts w:ascii="Times New Roman" w:eastAsia="Times New Roman" w:hAnsi="Times New Roman" w:cs="Times New Roman"/>
          <w:bCs/>
          <w:sz w:val="16"/>
          <w:szCs w:val="16"/>
          <w:lang w:val="ro-RO"/>
        </w:rPr>
        <w:t>ț</w:t>
      </w:r>
      <w:r w:rsidRPr="00717A78">
        <w:rPr>
          <w:rFonts w:ascii="Times New Roman" w:eastAsia="Times New Roman" w:hAnsi="Times New Roman" w:cs="Times New Roman"/>
          <w:bCs/>
          <w:sz w:val="16"/>
          <w:szCs w:val="16"/>
          <w:lang w:val="ro-RO"/>
        </w:rPr>
        <w:t>ă a operatorilor de date cu caracter personal</w:t>
      </w:r>
      <w:r>
        <w:rPr>
          <w:rFonts w:ascii="Times New Roman" w:eastAsia="Times New Roman" w:hAnsi="Times New Roman" w:cs="Times New Roman"/>
          <w:bCs/>
          <w:sz w:val="16"/>
          <w:szCs w:val="16"/>
          <w:lang w:val="ro-RO"/>
        </w:rPr>
        <w:t>”</w:t>
      </w:r>
    </w:p>
  </w:footnote>
  <w:footnote w:id="145">
    <w:p w14:paraId="0729B4F3" w14:textId="563AD4A3"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w:t>
      </w:r>
      <w:r w:rsidRPr="00717A78">
        <w:rPr>
          <w:rFonts w:ascii="Times New Roman" w:hAnsi="Times New Roman" w:cs="Times New Roman"/>
          <w:sz w:val="16"/>
          <w:szCs w:val="16"/>
          <w:lang w:val="ro-RO"/>
        </w:rPr>
        <w:t>H</w:t>
      </w:r>
      <w:r>
        <w:rPr>
          <w:rFonts w:ascii="Times New Roman" w:hAnsi="Times New Roman" w:cs="Times New Roman"/>
          <w:sz w:val="16"/>
          <w:szCs w:val="16"/>
          <w:lang w:val="ro-RO"/>
        </w:rPr>
        <w:t>G</w:t>
      </w:r>
      <w:r w:rsidRPr="00717A78">
        <w:rPr>
          <w:rFonts w:ascii="Times New Roman" w:hAnsi="Times New Roman" w:cs="Times New Roman"/>
          <w:sz w:val="16"/>
          <w:szCs w:val="16"/>
          <w:lang w:val="ro-RO"/>
        </w:rPr>
        <w:t xml:space="preserve"> nr.624 din 23</w:t>
      </w:r>
      <w:r>
        <w:rPr>
          <w:rFonts w:ascii="Times New Roman" w:hAnsi="Times New Roman" w:cs="Times New Roman"/>
          <w:sz w:val="16"/>
          <w:szCs w:val="16"/>
          <w:lang w:val="ro-RO"/>
        </w:rPr>
        <w:t>.07.</w:t>
      </w:r>
      <w:r w:rsidRPr="00717A78">
        <w:rPr>
          <w:rFonts w:ascii="Times New Roman" w:hAnsi="Times New Roman" w:cs="Times New Roman"/>
          <w:sz w:val="16"/>
          <w:szCs w:val="16"/>
          <w:lang w:val="ro-RO"/>
        </w:rPr>
        <w:t>2014.</w:t>
      </w:r>
    </w:p>
  </w:footnote>
  <w:footnote w:id="146">
    <w:p w14:paraId="660F7F94" w14:textId="29FC4D74" w:rsidR="00CD219C" w:rsidRPr="00717A78" w:rsidRDefault="00CD219C" w:rsidP="004D02BE">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Pct. 1.2. </w:t>
      </w:r>
      <w:r w:rsidRPr="00717A78">
        <w:rPr>
          <w:rFonts w:ascii="Times New Roman" w:hAnsi="Times New Roman" w:cs="Times New Roman"/>
          <w:sz w:val="16"/>
          <w:szCs w:val="16"/>
          <w:lang w:val="ro-RO"/>
        </w:rPr>
        <w:t xml:space="preserve">din Ordinul nr.216 din 28.12.2015 </w:t>
      </w:r>
      <w:r>
        <w:rPr>
          <w:rFonts w:ascii="Times New Roman" w:hAnsi="Times New Roman" w:cs="Times New Roman"/>
          <w:sz w:val="16"/>
          <w:szCs w:val="16"/>
          <w:lang w:val="ro-RO"/>
        </w:rPr>
        <w:t>„C</w:t>
      </w:r>
      <w:r w:rsidRPr="00717A78">
        <w:rPr>
          <w:rFonts w:ascii="Times New Roman" w:hAnsi="Times New Roman" w:cs="Times New Roman"/>
          <w:sz w:val="16"/>
          <w:szCs w:val="16"/>
          <w:lang w:val="ro-RO"/>
        </w:rPr>
        <w:t>u privire la aprobarea Planului de conturi în sistemul bugetar și a Normelor metodologice privind evidența contabilă și raportare</w:t>
      </w:r>
      <w:r>
        <w:rPr>
          <w:rFonts w:ascii="Times New Roman" w:hAnsi="Times New Roman" w:cs="Times New Roman"/>
          <w:sz w:val="16"/>
          <w:szCs w:val="16"/>
          <w:lang w:val="ro-RO"/>
        </w:rPr>
        <w:t>a</w:t>
      </w:r>
      <w:r w:rsidRPr="00717A78">
        <w:rPr>
          <w:rFonts w:ascii="Times New Roman" w:hAnsi="Times New Roman" w:cs="Times New Roman"/>
          <w:sz w:val="16"/>
          <w:szCs w:val="16"/>
          <w:lang w:val="ro-RO"/>
        </w:rPr>
        <w:t xml:space="preserve"> financiară în sistemul bugetar</w:t>
      </w:r>
      <w:r>
        <w:rPr>
          <w:rFonts w:ascii="Times New Roman" w:hAnsi="Times New Roman" w:cs="Times New Roman"/>
          <w:sz w:val="16"/>
          <w:szCs w:val="16"/>
          <w:lang w:val="ro-RO"/>
        </w:rPr>
        <w:t>”</w:t>
      </w:r>
      <w:r w:rsidRPr="00717A78">
        <w:rPr>
          <w:rFonts w:ascii="Times New Roman" w:hAnsi="Times New Roman" w:cs="Times New Roman"/>
          <w:sz w:val="16"/>
          <w:szCs w:val="16"/>
          <w:lang w:val="ro-RO"/>
        </w:rPr>
        <w:t xml:space="preserve"> </w:t>
      </w:r>
      <w:r w:rsidRPr="0077171B">
        <w:rPr>
          <w:rFonts w:ascii="Times New Roman" w:hAnsi="Times New Roman" w:cs="Times New Roman"/>
          <w:sz w:val="16"/>
          <w:szCs w:val="16"/>
          <w:lang w:val="ro-RO"/>
        </w:rPr>
        <w:t>(în continuare - Ordinul ministrului finanțelor nr.216 din 28.12.2015)</w:t>
      </w:r>
      <w:r w:rsidRPr="00717A78">
        <w:rPr>
          <w:rFonts w:ascii="Times New Roman" w:hAnsi="Times New Roman" w:cs="Times New Roman"/>
          <w:sz w:val="16"/>
          <w:szCs w:val="16"/>
          <w:lang w:val="ro-RO"/>
        </w:rPr>
        <w:t>.</w:t>
      </w:r>
    </w:p>
  </w:footnote>
  <w:footnote w:id="147">
    <w:p w14:paraId="7B9E3E88" w14:textId="4F34259E" w:rsidR="00CD219C" w:rsidRPr="00717A78"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Pct.3.3.30 din Ordinul ministrului </w:t>
      </w:r>
      <w:r>
        <w:rPr>
          <w:rFonts w:ascii="Times New Roman" w:hAnsi="Times New Roman" w:cs="Times New Roman"/>
          <w:sz w:val="16"/>
          <w:szCs w:val="16"/>
          <w:lang w:val="ro-RO"/>
        </w:rPr>
        <w:t>F</w:t>
      </w:r>
      <w:r w:rsidRPr="0077171B">
        <w:rPr>
          <w:rFonts w:ascii="Times New Roman" w:hAnsi="Times New Roman" w:cs="Times New Roman"/>
          <w:sz w:val="16"/>
          <w:szCs w:val="16"/>
          <w:lang w:val="ro-RO"/>
        </w:rPr>
        <w:t>inanțelor nr.216 din 28.12.2015</w:t>
      </w:r>
      <w:r w:rsidRPr="00717A78">
        <w:rPr>
          <w:rFonts w:ascii="Times New Roman" w:hAnsi="Times New Roman" w:cs="Times New Roman"/>
          <w:sz w:val="16"/>
          <w:szCs w:val="16"/>
          <w:lang w:val="ro-RO"/>
        </w:rPr>
        <w:t>.</w:t>
      </w:r>
    </w:p>
  </w:footnote>
  <w:footnote w:id="148">
    <w:p w14:paraId="00D1EB95" w14:textId="1E940D5F" w:rsidR="00CD219C" w:rsidRPr="00D37F91"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Pct.3.3.175 din Ordinul ministrului </w:t>
      </w:r>
      <w:r>
        <w:rPr>
          <w:rFonts w:ascii="Times New Roman" w:hAnsi="Times New Roman" w:cs="Times New Roman"/>
          <w:sz w:val="16"/>
          <w:szCs w:val="16"/>
          <w:lang w:val="ro-RO"/>
        </w:rPr>
        <w:t>F</w:t>
      </w:r>
      <w:r w:rsidRPr="0077171B">
        <w:rPr>
          <w:rFonts w:ascii="Times New Roman" w:hAnsi="Times New Roman" w:cs="Times New Roman"/>
          <w:sz w:val="16"/>
          <w:szCs w:val="16"/>
          <w:lang w:val="ro-RO"/>
        </w:rPr>
        <w:t>inanțelor nr.216 din 28.12.2015</w:t>
      </w:r>
      <w:r w:rsidRPr="00D37F91">
        <w:rPr>
          <w:rFonts w:ascii="Times New Roman" w:hAnsi="Times New Roman" w:cs="Times New Roman"/>
          <w:sz w:val="16"/>
          <w:szCs w:val="16"/>
          <w:lang w:val="ro-RO"/>
        </w:rPr>
        <w:t>.</w:t>
      </w:r>
    </w:p>
  </w:footnote>
  <w:footnote w:id="149">
    <w:p w14:paraId="1047767E" w14:textId="30D1A95D" w:rsidR="00CD219C" w:rsidRPr="00D37F91"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Pct.1.4.4.7 din Ordinul ministrului </w:t>
      </w:r>
      <w:r>
        <w:rPr>
          <w:rFonts w:ascii="Times New Roman" w:hAnsi="Times New Roman" w:cs="Times New Roman"/>
          <w:sz w:val="16"/>
          <w:szCs w:val="16"/>
          <w:lang w:val="ro-RO"/>
        </w:rPr>
        <w:t>F</w:t>
      </w:r>
      <w:r w:rsidRPr="0077171B">
        <w:rPr>
          <w:rFonts w:ascii="Times New Roman" w:hAnsi="Times New Roman" w:cs="Times New Roman"/>
          <w:sz w:val="16"/>
          <w:szCs w:val="16"/>
          <w:lang w:val="ro-RO"/>
        </w:rPr>
        <w:t>inanțelor nr.216 din 28.12.2015</w:t>
      </w:r>
      <w:r w:rsidRPr="00D37F91">
        <w:rPr>
          <w:rFonts w:ascii="Times New Roman" w:hAnsi="Times New Roman" w:cs="Times New Roman"/>
          <w:sz w:val="16"/>
          <w:szCs w:val="16"/>
          <w:lang w:val="ro-RO"/>
        </w:rPr>
        <w:t>.</w:t>
      </w:r>
    </w:p>
  </w:footnote>
  <w:footnote w:id="150">
    <w:p w14:paraId="20997E91" w14:textId="77777777"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D37F91">
        <w:rPr>
          <w:rFonts w:ascii="Times New Roman" w:hAnsi="Times New Roman" w:cs="Times New Roman"/>
          <w:sz w:val="16"/>
          <w:szCs w:val="16"/>
          <w:lang w:val="ro-RO"/>
        </w:rPr>
        <w:t xml:space="preserve">1122,0 mii lei/6=187*4=748,0 mii lei.  </w:t>
      </w:r>
    </w:p>
  </w:footnote>
  <w:footnote w:id="151">
    <w:p w14:paraId="3B9947E5" w14:textId="765B22EF" w:rsidR="00CD219C" w:rsidRPr="00D37F91"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P</w:t>
      </w:r>
      <w:r w:rsidRPr="00D37F91">
        <w:rPr>
          <w:rFonts w:ascii="Times New Roman" w:hAnsi="Times New Roman" w:cs="Times New Roman"/>
          <w:sz w:val="16"/>
          <w:szCs w:val="16"/>
          <w:lang w:val="ro-RO"/>
        </w:rPr>
        <w:t xml:space="preserve">ct.171 din Regulamentul UE nr.679 din 27 aprilie 2016 privind protecția persoanelor fizice în ceea ce privește prelucrarea datelor cu caracter personal și privind libera circulație a acestor date și de abrogare a </w:t>
      </w:r>
      <w:r w:rsidRPr="00D37F91">
        <w:rPr>
          <w:rFonts w:ascii="Times New Roman" w:eastAsia="Times New Roman" w:hAnsi="Times New Roman" w:cs="Times New Roman"/>
          <w:bCs/>
          <w:sz w:val="16"/>
          <w:szCs w:val="16"/>
          <w:lang w:val="ro-RO"/>
        </w:rPr>
        <w:t>Directivei 95/46/CE (Regulament general privind protecția datelor)</w:t>
      </w:r>
      <w:r>
        <w:rPr>
          <w:rFonts w:ascii="Times New Roman" w:eastAsia="Times New Roman" w:hAnsi="Times New Roman" w:cs="Times New Roman"/>
          <w:bCs/>
          <w:sz w:val="16"/>
          <w:szCs w:val="16"/>
          <w:lang w:val="ro-RO"/>
        </w:rPr>
        <w:t>.</w:t>
      </w:r>
    </w:p>
  </w:footnote>
  <w:footnote w:id="152">
    <w:p w14:paraId="0267FBC4" w14:textId="215815F9"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Pct.5.3.3</w:t>
      </w:r>
      <w:r w:rsidRPr="00D37F91">
        <w:rPr>
          <w:rFonts w:ascii="Times New Roman" w:hAnsi="Times New Roman" w:cs="Times New Roman"/>
          <w:sz w:val="16"/>
          <w:szCs w:val="16"/>
          <w:lang w:val="ro-RO"/>
        </w:rPr>
        <w:t xml:space="preserve"> din </w:t>
      </w:r>
      <w:r w:rsidRPr="0077171B">
        <w:rPr>
          <w:rFonts w:ascii="Times New Roman" w:hAnsi="Times New Roman" w:cs="Times New Roman"/>
          <w:sz w:val="16"/>
          <w:szCs w:val="16"/>
          <w:lang w:val="ro-RO"/>
        </w:rPr>
        <w:t xml:space="preserve">Ordinul ministrului </w:t>
      </w:r>
      <w:r>
        <w:rPr>
          <w:rFonts w:ascii="Times New Roman" w:hAnsi="Times New Roman" w:cs="Times New Roman"/>
          <w:sz w:val="16"/>
          <w:szCs w:val="16"/>
          <w:lang w:val="ro-RO"/>
        </w:rPr>
        <w:t>F</w:t>
      </w:r>
      <w:r w:rsidRPr="0077171B">
        <w:rPr>
          <w:rFonts w:ascii="Times New Roman" w:hAnsi="Times New Roman" w:cs="Times New Roman"/>
          <w:sz w:val="16"/>
          <w:szCs w:val="16"/>
          <w:lang w:val="ro-RO"/>
        </w:rPr>
        <w:t>inanțelor nr.216 din 28.12.2015</w:t>
      </w:r>
      <w:r w:rsidRPr="00D37F91">
        <w:rPr>
          <w:rFonts w:ascii="Times New Roman" w:hAnsi="Times New Roman" w:cs="Times New Roman"/>
          <w:sz w:val="16"/>
          <w:szCs w:val="16"/>
          <w:lang w:val="ro-RO"/>
        </w:rPr>
        <w:t>.</w:t>
      </w:r>
    </w:p>
  </w:footnote>
  <w:footnote w:id="153">
    <w:p w14:paraId="6A3248A5" w14:textId="4B4FC1B4"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Pct.3.3.1 </w:t>
      </w:r>
      <w:r w:rsidRPr="00D37F91">
        <w:rPr>
          <w:rFonts w:ascii="Times New Roman" w:hAnsi="Times New Roman" w:cs="Times New Roman"/>
          <w:sz w:val="16"/>
          <w:szCs w:val="16"/>
          <w:lang w:val="ro-RO"/>
        </w:rPr>
        <w:t xml:space="preserve">din </w:t>
      </w:r>
      <w:r w:rsidRPr="0077171B">
        <w:rPr>
          <w:rFonts w:ascii="Times New Roman" w:hAnsi="Times New Roman" w:cs="Times New Roman"/>
          <w:sz w:val="16"/>
          <w:szCs w:val="16"/>
          <w:lang w:val="ro-RO"/>
        </w:rPr>
        <w:t xml:space="preserve">Ordinul ministrului </w:t>
      </w:r>
      <w:r>
        <w:rPr>
          <w:rFonts w:ascii="Times New Roman" w:hAnsi="Times New Roman" w:cs="Times New Roman"/>
          <w:sz w:val="16"/>
          <w:szCs w:val="16"/>
          <w:lang w:val="ro-RO"/>
        </w:rPr>
        <w:t>F</w:t>
      </w:r>
      <w:r w:rsidRPr="0077171B">
        <w:rPr>
          <w:rFonts w:ascii="Times New Roman" w:hAnsi="Times New Roman" w:cs="Times New Roman"/>
          <w:sz w:val="16"/>
          <w:szCs w:val="16"/>
          <w:lang w:val="ro-RO"/>
        </w:rPr>
        <w:t>inanțelor nr.216 din 28.12.2015</w:t>
      </w:r>
      <w:r w:rsidRPr="00D37F91">
        <w:rPr>
          <w:rFonts w:ascii="Times New Roman" w:hAnsi="Times New Roman" w:cs="Times New Roman"/>
          <w:sz w:val="16"/>
          <w:szCs w:val="16"/>
          <w:lang w:val="ro-RO"/>
        </w:rPr>
        <w:t>.</w:t>
      </w:r>
    </w:p>
  </w:footnote>
  <w:footnote w:id="154">
    <w:p w14:paraId="2619D5DC" w14:textId="6711558A" w:rsidR="00CD219C" w:rsidRPr="00D37F91" w:rsidRDefault="00CD219C" w:rsidP="006D7209">
      <w:pPr>
        <w:pStyle w:val="FootnoteText"/>
        <w:jc w:val="both"/>
        <w:rPr>
          <w:rFonts w:ascii="Times New Roman" w:hAnsi="Times New Roman" w:cs="Times New Roman"/>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Pct.3.3.3 </w:t>
      </w:r>
      <w:r w:rsidRPr="00D37F91">
        <w:rPr>
          <w:rFonts w:ascii="Times New Roman" w:hAnsi="Times New Roman" w:cs="Times New Roman"/>
          <w:sz w:val="16"/>
          <w:szCs w:val="16"/>
          <w:lang w:val="ro-RO"/>
        </w:rPr>
        <w:t xml:space="preserve">din </w:t>
      </w:r>
      <w:r w:rsidRPr="0077171B">
        <w:rPr>
          <w:rFonts w:ascii="Times New Roman" w:hAnsi="Times New Roman" w:cs="Times New Roman"/>
          <w:sz w:val="16"/>
          <w:szCs w:val="16"/>
          <w:lang w:val="ro-RO"/>
        </w:rPr>
        <w:t xml:space="preserve">Ordinul ministrului </w:t>
      </w:r>
      <w:r>
        <w:rPr>
          <w:rFonts w:ascii="Times New Roman" w:hAnsi="Times New Roman" w:cs="Times New Roman"/>
          <w:sz w:val="16"/>
          <w:szCs w:val="16"/>
          <w:lang w:val="ro-RO"/>
        </w:rPr>
        <w:t>F</w:t>
      </w:r>
      <w:r w:rsidRPr="0077171B">
        <w:rPr>
          <w:rFonts w:ascii="Times New Roman" w:hAnsi="Times New Roman" w:cs="Times New Roman"/>
          <w:sz w:val="16"/>
          <w:szCs w:val="16"/>
          <w:lang w:val="ro-RO"/>
        </w:rPr>
        <w:t>inanțelor nr.216 din 28.12.2015</w:t>
      </w:r>
      <w:r w:rsidRPr="00D37F91">
        <w:rPr>
          <w:rFonts w:ascii="Times New Roman" w:hAnsi="Times New Roman" w:cs="Times New Roman"/>
          <w:sz w:val="16"/>
          <w:szCs w:val="16"/>
          <w:lang w:val="ro-RO"/>
        </w:rPr>
        <w:t>.</w:t>
      </w:r>
    </w:p>
  </w:footnote>
  <w:footnote w:id="155">
    <w:p w14:paraId="482E2353" w14:textId="16592C84" w:rsidR="00CD219C" w:rsidRPr="00D37F91"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w:t>
      </w:r>
      <w:r w:rsidRPr="00D37F91">
        <w:rPr>
          <w:rFonts w:ascii="Times New Roman" w:hAnsi="Times New Roman" w:cs="Times New Roman"/>
          <w:sz w:val="16"/>
          <w:szCs w:val="16"/>
          <w:lang w:val="ro-RO"/>
        </w:rPr>
        <w:t xml:space="preserve">Pct.1.4.5.1 din </w:t>
      </w:r>
      <w:r w:rsidRPr="0077171B">
        <w:rPr>
          <w:rFonts w:ascii="Times New Roman" w:hAnsi="Times New Roman" w:cs="Times New Roman"/>
          <w:sz w:val="16"/>
          <w:szCs w:val="16"/>
          <w:lang w:val="ro-RO"/>
        </w:rPr>
        <w:t xml:space="preserve">Ordinul ministrului </w:t>
      </w:r>
      <w:r>
        <w:rPr>
          <w:rFonts w:ascii="Times New Roman" w:hAnsi="Times New Roman" w:cs="Times New Roman"/>
          <w:sz w:val="16"/>
          <w:szCs w:val="16"/>
          <w:lang w:val="ro-RO"/>
        </w:rPr>
        <w:t>F</w:t>
      </w:r>
      <w:r w:rsidRPr="0077171B">
        <w:rPr>
          <w:rFonts w:ascii="Times New Roman" w:hAnsi="Times New Roman" w:cs="Times New Roman"/>
          <w:sz w:val="16"/>
          <w:szCs w:val="16"/>
          <w:lang w:val="ro-RO"/>
        </w:rPr>
        <w:t>inanțelor nr.216 din 28.12.2015.</w:t>
      </w:r>
    </w:p>
  </w:footnote>
  <w:footnote w:id="156">
    <w:p w14:paraId="2D0E0F27" w14:textId="77777777" w:rsidR="00CD219C" w:rsidRPr="00F96CA0" w:rsidRDefault="00CD219C" w:rsidP="006D7209">
      <w:pPr>
        <w:pStyle w:val="FootnoteText"/>
        <w:jc w:val="both"/>
        <w:rPr>
          <w:rFonts w:ascii="Times New Roman" w:hAnsi="Times New Roman" w:cs="Times New Roman"/>
          <w:sz w:val="16"/>
          <w:szCs w:val="16"/>
          <w:lang w:val="ro-RO"/>
        </w:rPr>
      </w:pPr>
      <w:r w:rsidRPr="00F96CA0">
        <w:rPr>
          <w:rStyle w:val="FootnoteReference"/>
          <w:rFonts w:ascii="Times New Roman" w:hAnsi="Times New Roman" w:cs="Times New Roman"/>
          <w:sz w:val="16"/>
          <w:szCs w:val="16"/>
          <w:lang w:val="ro-RO"/>
        </w:rPr>
        <w:footnoteRef/>
      </w:r>
      <w:r w:rsidRPr="00F96CA0">
        <w:rPr>
          <w:rFonts w:ascii="Times New Roman" w:hAnsi="Times New Roman" w:cs="Times New Roman"/>
          <w:sz w:val="16"/>
          <w:szCs w:val="16"/>
          <w:lang w:val="ro-RO"/>
        </w:rPr>
        <w:t xml:space="preserve"> Grant în sumă de 11,5 mii euro oferit de Ministerul Afacerilor Externe al Republicii Ungare pentru realizarea Proiectului ,,Asistența tehnică pentru CNPDCP”.</w:t>
      </w:r>
    </w:p>
  </w:footnote>
  <w:footnote w:id="157">
    <w:p w14:paraId="0F682982" w14:textId="760D8656" w:rsidR="00CD219C" w:rsidRPr="00F96CA0" w:rsidRDefault="00CD219C" w:rsidP="008F056F">
      <w:pPr>
        <w:pStyle w:val="FootnoteText"/>
        <w:jc w:val="both"/>
        <w:rPr>
          <w:rFonts w:ascii="Times New Roman" w:hAnsi="Times New Roman" w:cs="Times New Roman"/>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Pct. 3.3.47 </w:t>
      </w:r>
      <w:r w:rsidRPr="00F96CA0">
        <w:rPr>
          <w:rFonts w:ascii="Times New Roman" w:hAnsi="Times New Roman" w:cs="Times New Roman"/>
          <w:sz w:val="16"/>
          <w:szCs w:val="16"/>
          <w:lang w:val="ro-RO"/>
        </w:rPr>
        <w:t xml:space="preserve">din </w:t>
      </w:r>
      <w:r w:rsidRPr="0077171B">
        <w:rPr>
          <w:rFonts w:ascii="Times New Roman" w:hAnsi="Times New Roman" w:cs="Times New Roman"/>
          <w:sz w:val="16"/>
          <w:szCs w:val="16"/>
          <w:lang w:val="ro-RO"/>
        </w:rPr>
        <w:t xml:space="preserve">Ordinul ministrului </w:t>
      </w:r>
      <w:r>
        <w:rPr>
          <w:rFonts w:ascii="Times New Roman" w:hAnsi="Times New Roman" w:cs="Times New Roman"/>
          <w:sz w:val="16"/>
          <w:szCs w:val="16"/>
          <w:lang w:val="ro-RO"/>
        </w:rPr>
        <w:t>F</w:t>
      </w:r>
      <w:r w:rsidRPr="0077171B">
        <w:rPr>
          <w:rFonts w:ascii="Times New Roman" w:hAnsi="Times New Roman" w:cs="Times New Roman"/>
          <w:sz w:val="16"/>
          <w:szCs w:val="16"/>
          <w:lang w:val="ro-RO"/>
        </w:rPr>
        <w:t>inanțelor nr.216 din 28.12.2015</w:t>
      </w:r>
      <w:r w:rsidRPr="00F96CA0">
        <w:rPr>
          <w:rFonts w:ascii="Times New Roman" w:hAnsi="Times New Roman" w:cs="Times New Roman"/>
          <w:sz w:val="16"/>
          <w:szCs w:val="16"/>
          <w:lang w:val="ro-RO"/>
        </w:rPr>
        <w:t>.</w:t>
      </w:r>
    </w:p>
  </w:footnote>
  <w:footnote w:id="158">
    <w:p w14:paraId="2A0D07A4" w14:textId="77777777"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G</w:t>
      </w:r>
      <w:r w:rsidRPr="00F96CA0">
        <w:rPr>
          <w:rFonts w:ascii="Times New Roman" w:hAnsi="Times New Roman" w:cs="Times New Roman"/>
          <w:sz w:val="16"/>
          <w:szCs w:val="16"/>
          <w:lang w:val="ro-RO"/>
        </w:rPr>
        <w:t>rupa de conturi 316 „Unelte și scule, inventar de producere și gospodăresc” este subestimată cu suma de 41,0 mii lei.</w:t>
      </w:r>
    </w:p>
  </w:footnote>
  <w:footnote w:id="159">
    <w:p w14:paraId="50EAE6E2" w14:textId="7FE78EE5" w:rsidR="00CD219C" w:rsidRPr="00F96CA0" w:rsidRDefault="00CD219C" w:rsidP="006D7209">
      <w:pPr>
        <w:pStyle w:val="FootnoteText"/>
        <w:jc w:val="both"/>
        <w:rPr>
          <w:rFonts w:ascii="Times New Roman" w:hAnsi="Times New Roman" w:cs="Times New Roman"/>
          <w:sz w:val="16"/>
          <w:szCs w:val="16"/>
          <w:lang w:val="ro-RO"/>
        </w:rPr>
      </w:pPr>
      <w:r w:rsidRPr="00F96CA0">
        <w:rPr>
          <w:rStyle w:val="FootnoteReference"/>
          <w:rFonts w:ascii="Times New Roman" w:hAnsi="Times New Roman" w:cs="Times New Roman"/>
          <w:sz w:val="16"/>
          <w:szCs w:val="16"/>
          <w:lang w:val="ro-RO"/>
        </w:rPr>
        <w:footnoteRef/>
      </w:r>
      <w:r w:rsidRPr="00F96CA0">
        <w:rPr>
          <w:rFonts w:ascii="Times New Roman" w:hAnsi="Times New Roman" w:cs="Times New Roman"/>
          <w:sz w:val="16"/>
          <w:szCs w:val="16"/>
          <w:lang w:val="ro-RO"/>
        </w:rPr>
        <w:t xml:space="preserve"> Pct.3.2.57 din </w:t>
      </w:r>
      <w:r w:rsidRPr="0077171B">
        <w:rPr>
          <w:rFonts w:ascii="Times New Roman" w:hAnsi="Times New Roman" w:cs="Times New Roman"/>
          <w:sz w:val="16"/>
          <w:szCs w:val="16"/>
          <w:lang w:val="ro-RO"/>
        </w:rPr>
        <w:t xml:space="preserve">Ordinul ministrului </w:t>
      </w:r>
      <w:r>
        <w:rPr>
          <w:rFonts w:ascii="Times New Roman" w:hAnsi="Times New Roman" w:cs="Times New Roman"/>
          <w:sz w:val="16"/>
          <w:szCs w:val="16"/>
          <w:lang w:val="ro-RO"/>
        </w:rPr>
        <w:t>F</w:t>
      </w:r>
      <w:r w:rsidRPr="0077171B">
        <w:rPr>
          <w:rFonts w:ascii="Times New Roman" w:hAnsi="Times New Roman" w:cs="Times New Roman"/>
          <w:sz w:val="16"/>
          <w:szCs w:val="16"/>
          <w:lang w:val="ro-RO"/>
        </w:rPr>
        <w:t>inanțelor nr.216 din 28.12.2015</w:t>
      </w:r>
      <w:r w:rsidRPr="00F96CA0">
        <w:rPr>
          <w:rFonts w:ascii="Times New Roman" w:hAnsi="Times New Roman" w:cs="Times New Roman"/>
          <w:sz w:val="16"/>
          <w:szCs w:val="16"/>
          <w:lang w:val="ro-RO"/>
        </w:rPr>
        <w:t>.</w:t>
      </w:r>
    </w:p>
  </w:footnote>
  <w:footnote w:id="160">
    <w:p w14:paraId="5EA850CE" w14:textId="7161D88E"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06240E">
        <w:rPr>
          <w:rFonts w:ascii="Times New Roman" w:hAnsi="Times New Roman" w:cs="Times New Roman"/>
          <w:sz w:val="16"/>
          <w:szCs w:val="16"/>
          <w:lang w:val="ro-RO"/>
        </w:rPr>
        <w:t xml:space="preserve">Pct. </w:t>
      </w:r>
      <w:r w:rsidRPr="0006240E">
        <w:rPr>
          <w:rFonts w:ascii="Times New Roman" w:hAnsi="Times New Roman" w:cs="Times New Roman"/>
          <w:bCs/>
          <w:sz w:val="16"/>
          <w:szCs w:val="16"/>
          <w:lang w:val="ro-RO"/>
        </w:rPr>
        <w:t xml:space="preserve">3.3.82 și pct.3.3.87 din </w:t>
      </w:r>
      <w:r w:rsidRPr="0077171B">
        <w:rPr>
          <w:rFonts w:ascii="Times New Roman" w:hAnsi="Times New Roman" w:cs="Times New Roman"/>
          <w:sz w:val="16"/>
          <w:szCs w:val="16"/>
          <w:lang w:val="ro-RO"/>
        </w:rPr>
        <w:t xml:space="preserve">Ordinul ministrului </w:t>
      </w:r>
      <w:r>
        <w:rPr>
          <w:rFonts w:ascii="Times New Roman" w:hAnsi="Times New Roman" w:cs="Times New Roman"/>
          <w:sz w:val="16"/>
          <w:szCs w:val="16"/>
          <w:lang w:val="ro-RO"/>
        </w:rPr>
        <w:t>F</w:t>
      </w:r>
      <w:r w:rsidRPr="0077171B">
        <w:rPr>
          <w:rFonts w:ascii="Times New Roman" w:hAnsi="Times New Roman" w:cs="Times New Roman"/>
          <w:sz w:val="16"/>
          <w:szCs w:val="16"/>
          <w:lang w:val="ro-RO"/>
        </w:rPr>
        <w:t>inanțelor nr.216 din 28.12.2015.</w:t>
      </w:r>
    </w:p>
  </w:footnote>
  <w:footnote w:id="161">
    <w:p w14:paraId="7A30CD78" w14:textId="7DA8022F" w:rsidR="00CD219C" w:rsidRPr="0006240E" w:rsidRDefault="00CD219C" w:rsidP="006D7209">
      <w:pPr>
        <w:pStyle w:val="FootnoteText"/>
        <w:jc w:val="both"/>
        <w:rPr>
          <w:rFonts w:ascii="Times New Roman" w:hAnsi="Times New Roman" w:cs="Times New Roman"/>
          <w:sz w:val="16"/>
          <w:szCs w:val="16"/>
          <w:lang w:val="ro-RO"/>
        </w:rPr>
      </w:pPr>
      <w:r w:rsidRPr="0006240E">
        <w:rPr>
          <w:rStyle w:val="FootnoteReference"/>
          <w:rFonts w:ascii="Times New Roman" w:hAnsi="Times New Roman" w:cs="Times New Roman"/>
          <w:sz w:val="16"/>
          <w:szCs w:val="16"/>
          <w:lang w:val="ro-RO"/>
        </w:rPr>
        <w:footnoteRef/>
      </w:r>
      <w:r w:rsidRPr="0006240E">
        <w:rPr>
          <w:rFonts w:ascii="Times New Roman" w:hAnsi="Times New Roman" w:cs="Times New Roman"/>
          <w:sz w:val="16"/>
          <w:szCs w:val="16"/>
          <w:lang w:val="ro-RO"/>
        </w:rPr>
        <w:t xml:space="preserve"> Art.3</w:t>
      </w:r>
      <w:r>
        <w:rPr>
          <w:rFonts w:ascii="Times New Roman" w:hAnsi="Times New Roman" w:cs="Times New Roman"/>
          <w:sz w:val="16"/>
          <w:szCs w:val="16"/>
          <w:lang w:val="ro-RO"/>
        </w:rPr>
        <w:t>,</w:t>
      </w:r>
      <w:r w:rsidRPr="0006240E">
        <w:rPr>
          <w:rFonts w:ascii="Times New Roman" w:hAnsi="Times New Roman" w:cs="Times New Roman"/>
          <w:sz w:val="16"/>
          <w:szCs w:val="16"/>
          <w:lang w:val="ro-RO"/>
        </w:rPr>
        <w:t xml:space="preserve"> art.17 alin.(3) din Legea contabilității nr.113 din 11.04.2007; </w:t>
      </w:r>
      <w:r>
        <w:rPr>
          <w:rFonts w:ascii="Times New Roman" w:hAnsi="Times New Roman" w:cs="Times New Roman"/>
          <w:sz w:val="16"/>
          <w:szCs w:val="16"/>
          <w:lang w:val="ro-RO"/>
        </w:rPr>
        <w:t>p</w:t>
      </w:r>
      <w:r w:rsidRPr="0006240E">
        <w:rPr>
          <w:rFonts w:ascii="Times New Roman" w:hAnsi="Times New Roman" w:cs="Times New Roman"/>
          <w:sz w:val="16"/>
          <w:szCs w:val="16"/>
          <w:lang w:val="ro-RO"/>
        </w:rPr>
        <w:t xml:space="preserve">ct.1.3.1 din </w:t>
      </w:r>
      <w:r w:rsidRPr="0077171B">
        <w:rPr>
          <w:rFonts w:ascii="Times New Roman" w:hAnsi="Times New Roman" w:cs="Times New Roman"/>
          <w:sz w:val="16"/>
          <w:szCs w:val="16"/>
          <w:lang w:val="ro-RO"/>
        </w:rPr>
        <w:t xml:space="preserve">Ordinul ministrului </w:t>
      </w:r>
      <w:r>
        <w:rPr>
          <w:rFonts w:ascii="Times New Roman" w:hAnsi="Times New Roman" w:cs="Times New Roman"/>
          <w:sz w:val="16"/>
          <w:szCs w:val="16"/>
          <w:lang w:val="ro-RO"/>
        </w:rPr>
        <w:t>F</w:t>
      </w:r>
      <w:r w:rsidRPr="0077171B">
        <w:rPr>
          <w:rFonts w:ascii="Times New Roman" w:hAnsi="Times New Roman" w:cs="Times New Roman"/>
          <w:sz w:val="16"/>
          <w:szCs w:val="16"/>
          <w:lang w:val="ro-RO"/>
        </w:rPr>
        <w:t>inanțelor nr.216 din 28.12.2015.</w:t>
      </w:r>
    </w:p>
  </w:footnote>
  <w:footnote w:id="162">
    <w:p w14:paraId="3D475E3E" w14:textId="1AD82CF4" w:rsidR="00CD219C" w:rsidRPr="0077171B" w:rsidRDefault="00CD219C" w:rsidP="006D7209">
      <w:pPr>
        <w:spacing w:after="0" w:line="240" w:lineRule="auto"/>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Stocuri de materiale circulante în s</w:t>
      </w:r>
      <w:r w:rsidRPr="0006240E">
        <w:rPr>
          <w:rFonts w:ascii="Times New Roman" w:hAnsi="Times New Roman" w:cs="Times New Roman"/>
          <w:sz w:val="16"/>
          <w:szCs w:val="16"/>
          <w:lang w:val="ro-RO"/>
        </w:rPr>
        <w:t>umă de 313,1 mii lei, inclusiv</w:t>
      </w:r>
      <w:r w:rsidRPr="0006240E">
        <w:rPr>
          <w:rFonts w:ascii="Times New Roman" w:eastAsia="Times New Roman" w:hAnsi="Times New Roman" w:cs="Times New Roman"/>
          <w:color w:val="000000"/>
          <w:sz w:val="16"/>
          <w:szCs w:val="16"/>
          <w:lang w:val="ro-RO"/>
        </w:rPr>
        <w:t xml:space="preserve"> piese de schimb în sumă de 79,1 mii lei;</w:t>
      </w:r>
      <w:r w:rsidRPr="0006240E">
        <w:rPr>
          <w:rFonts w:ascii="Times New Roman" w:hAnsi="Times New Roman" w:cs="Times New Roman"/>
          <w:bCs/>
          <w:sz w:val="16"/>
          <w:szCs w:val="16"/>
          <w:lang w:val="ro-RO"/>
        </w:rPr>
        <w:t xml:space="preserve"> materiale de uz gospodăresc și rechizite de birou</w:t>
      </w:r>
      <w:r>
        <w:rPr>
          <w:rFonts w:ascii="Times New Roman" w:hAnsi="Times New Roman" w:cs="Times New Roman"/>
          <w:bCs/>
          <w:sz w:val="16"/>
          <w:szCs w:val="16"/>
          <w:lang w:val="ro-RO"/>
        </w:rPr>
        <w:t xml:space="preserve"> –</w:t>
      </w:r>
      <w:r w:rsidRPr="0006240E">
        <w:rPr>
          <w:rFonts w:ascii="Times New Roman" w:hAnsi="Times New Roman" w:cs="Times New Roman"/>
          <w:bCs/>
          <w:sz w:val="16"/>
          <w:szCs w:val="16"/>
          <w:lang w:val="ro-RO"/>
        </w:rPr>
        <w:t xml:space="preserve"> de </w:t>
      </w:r>
      <w:r w:rsidRPr="0006240E">
        <w:rPr>
          <w:rFonts w:ascii="Times New Roman" w:eastAsia="Times New Roman" w:hAnsi="Times New Roman" w:cs="Times New Roman"/>
          <w:color w:val="000000"/>
          <w:sz w:val="16"/>
          <w:szCs w:val="16"/>
          <w:lang w:val="ro-RO"/>
        </w:rPr>
        <w:t>157,9 mii lei;</w:t>
      </w:r>
      <w:r w:rsidRPr="0006240E">
        <w:rPr>
          <w:rFonts w:ascii="Times New Roman" w:hAnsi="Times New Roman" w:cs="Times New Roman"/>
          <w:bCs/>
          <w:sz w:val="16"/>
          <w:szCs w:val="16"/>
          <w:lang w:val="ro-RO"/>
        </w:rPr>
        <w:t xml:space="preserve"> materiale de construcție – de </w:t>
      </w:r>
      <w:r w:rsidRPr="0006240E">
        <w:rPr>
          <w:rFonts w:ascii="Times New Roman" w:eastAsia="Times New Roman" w:hAnsi="Times New Roman" w:cs="Times New Roman"/>
          <w:color w:val="000000"/>
          <w:sz w:val="16"/>
          <w:szCs w:val="16"/>
          <w:lang w:val="ro-RO"/>
        </w:rPr>
        <w:t>9,7 mii lei;</w:t>
      </w:r>
      <w:r w:rsidRPr="0006240E">
        <w:rPr>
          <w:rFonts w:ascii="Times New Roman" w:hAnsi="Times New Roman" w:cs="Times New Roman"/>
          <w:bCs/>
          <w:sz w:val="16"/>
          <w:szCs w:val="16"/>
          <w:lang w:val="ro-RO"/>
        </w:rPr>
        <w:t xml:space="preserve"> accesorii de pat, îmbrăcăminte, încălțăminte</w:t>
      </w:r>
      <w:r>
        <w:rPr>
          <w:rFonts w:ascii="Times New Roman" w:hAnsi="Times New Roman" w:cs="Times New Roman"/>
          <w:bCs/>
          <w:sz w:val="16"/>
          <w:szCs w:val="16"/>
          <w:lang w:val="ro-RO"/>
        </w:rPr>
        <w:t xml:space="preserve"> –</w:t>
      </w:r>
      <w:r w:rsidRPr="0006240E">
        <w:rPr>
          <w:rFonts w:ascii="Times New Roman" w:hAnsi="Times New Roman" w:cs="Times New Roman"/>
          <w:bCs/>
          <w:sz w:val="16"/>
          <w:szCs w:val="16"/>
          <w:lang w:val="ro-RO"/>
        </w:rPr>
        <w:t xml:space="preserve"> </w:t>
      </w:r>
      <w:r>
        <w:rPr>
          <w:rFonts w:ascii="Times New Roman" w:hAnsi="Times New Roman" w:cs="Times New Roman"/>
          <w:bCs/>
          <w:sz w:val="16"/>
          <w:szCs w:val="16"/>
          <w:lang w:val="ro-RO"/>
        </w:rPr>
        <w:t xml:space="preserve">de </w:t>
      </w:r>
      <w:r w:rsidRPr="0006240E">
        <w:rPr>
          <w:rFonts w:ascii="Times New Roman" w:eastAsia="Times New Roman" w:hAnsi="Times New Roman" w:cs="Times New Roman"/>
          <w:color w:val="000000"/>
          <w:sz w:val="16"/>
          <w:szCs w:val="16"/>
          <w:lang w:val="ro-RO"/>
        </w:rPr>
        <w:t>10,5 mii lei; a</w:t>
      </w:r>
      <w:r w:rsidRPr="0006240E">
        <w:rPr>
          <w:rFonts w:ascii="Times New Roman" w:hAnsi="Times New Roman" w:cs="Times New Roman"/>
          <w:bCs/>
          <w:sz w:val="16"/>
          <w:szCs w:val="16"/>
          <w:lang w:val="ro-RO"/>
        </w:rPr>
        <w:t xml:space="preserve">lte materiale – </w:t>
      </w:r>
      <w:r>
        <w:rPr>
          <w:rFonts w:ascii="Times New Roman" w:hAnsi="Times New Roman" w:cs="Times New Roman"/>
          <w:bCs/>
          <w:sz w:val="16"/>
          <w:szCs w:val="16"/>
          <w:lang w:val="ro-RO"/>
        </w:rPr>
        <w:t xml:space="preserve">de </w:t>
      </w:r>
      <w:r w:rsidRPr="0006240E">
        <w:rPr>
          <w:rFonts w:ascii="Times New Roman" w:eastAsia="Times New Roman" w:hAnsi="Times New Roman" w:cs="Times New Roman"/>
          <w:color w:val="000000"/>
          <w:sz w:val="16"/>
          <w:szCs w:val="16"/>
          <w:lang w:val="ro-RO"/>
        </w:rPr>
        <w:t>55,9 mii lei.</w:t>
      </w:r>
    </w:p>
  </w:footnote>
  <w:footnote w:id="163">
    <w:p w14:paraId="75F74EDB" w14:textId="4FCF07D5" w:rsidR="00CD219C" w:rsidRPr="0006240E"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w:t>
      </w:r>
      <w:r w:rsidRPr="0006240E">
        <w:rPr>
          <w:rFonts w:ascii="Times New Roman" w:hAnsi="Times New Roman" w:cs="Times New Roman"/>
          <w:sz w:val="16"/>
          <w:szCs w:val="16"/>
          <w:lang w:val="ro-RO"/>
        </w:rPr>
        <w:t xml:space="preserve">Ordinul </w:t>
      </w:r>
      <w:r>
        <w:rPr>
          <w:rFonts w:ascii="Times New Roman" w:hAnsi="Times New Roman" w:cs="Times New Roman"/>
          <w:sz w:val="16"/>
          <w:szCs w:val="16"/>
          <w:lang w:val="ro-RO"/>
        </w:rPr>
        <w:t>m</w:t>
      </w:r>
      <w:r w:rsidRPr="0006240E">
        <w:rPr>
          <w:rFonts w:ascii="Times New Roman" w:hAnsi="Times New Roman" w:cs="Times New Roman"/>
          <w:sz w:val="16"/>
          <w:szCs w:val="16"/>
          <w:lang w:val="ro-RO"/>
        </w:rPr>
        <w:t xml:space="preserve">inisterului Transporturilor și Infrastructurii Drumurilor nr.124 din 29.07.2005 </w:t>
      </w:r>
      <w:r>
        <w:rPr>
          <w:rFonts w:ascii="Times New Roman" w:hAnsi="Times New Roman" w:cs="Times New Roman"/>
          <w:sz w:val="16"/>
          <w:szCs w:val="16"/>
          <w:lang w:val="ro-RO"/>
        </w:rPr>
        <w:t>„C</w:t>
      </w:r>
      <w:r w:rsidRPr="0006240E">
        <w:rPr>
          <w:rFonts w:ascii="Times New Roman" w:hAnsi="Times New Roman" w:cs="Times New Roman"/>
          <w:sz w:val="16"/>
          <w:szCs w:val="16"/>
          <w:lang w:val="ro-RO"/>
        </w:rPr>
        <w:t>u privire la aprobarea Normelor de parcurs și exploatare a anvelopelor pentru mijloacele de transport auto</w:t>
      </w:r>
      <w:r>
        <w:rPr>
          <w:rFonts w:ascii="Times New Roman" w:hAnsi="Times New Roman" w:cs="Times New Roman"/>
          <w:sz w:val="16"/>
          <w:szCs w:val="16"/>
          <w:lang w:val="ro-RO"/>
        </w:rPr>
        <w:t>”</w:t>
      </w:r>
      <w:r w:rsidRPr="0006240E">
        <w:rPr>
          <w:rFonts w:ascii="Times New Roman" w:hAnsi="Times New Roman" w:cs="Times New Roman"/>
          <w:sz w:val="16"/>
          <w:szCs w:val="16"/>
          <w:lang w:val="ro-RO"/>
        </w:rPr>
        <w:t>.</w:t>
      </w:r>
    </w:p>
  </w:footnote>
  <w:footnote w:id="164">
    <w:p w14:paraId="2B991BB3" w14:textId="546C5610" w:rsidR="00CD219C" w:rsidRPr="0077171B" w:rsidRDefault="00CD219C" w:rsidP="003E4A75">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06240E">
        <w:rPr>
          <w:rFonts w:ascii="Times New Roman" w:hAnsi="Times New Roman" w:cs="Times New Roman"/>
          <w:bCs/>
          <w:sz w:val="16"/>
          <w:szCs w:val="16"/>
          <w:lang w:val="ro-RO"/>
        </w:rPr>
        <w:t xml:space="preserve"> </w:t>
      </w:r>
      <w:r w:rsidRPr="0077171B">
        <w:rPr>
          <w:rFonts w:ascii="Times New Roman" w:hAnsi="Times New Roman" w:cs="Times New Roman"/>
          <w:sz w:val="16"/>
          <w:szCs w:val="16"/>
          <w:lang w:val="ro-RO"/>
        </w:rPr>
        <w:t xml:space="preserve">Ordinul ministrului </w:t>
      </w:r>
      <w:r>
        <w:rPr>
          <w:rFonts w:ascii="Times New Roman" w:hAnsi="Times New Roman" w:cs="Times New Roman"/>
          <w:sz w:val="16"/>
          <w:szCs w:val="16"/>
          <w:lang w:val="ro-RO"/>
        </w:rPr>
        <w:t>F</w:t>
      </w:r>
      <w:r w:rsidRPr="0077171B">
        <w:rPr>
          <w:rFonts w:ascii="Times New Roman" w:hAnsi="Times New Roman" w:cs="Times New Roman"/>
          <w:sz w:val="16"/>
          <w:szCs w:val="16"/>
          <w:lang w:val="ro-RO"/>
        </w:rPr>
        <w:t>inanțelor nr.216 din 28.12.2015.</w:t>
      </w:r>
    </w:p>
  </w:footnote>
  <w:footnote w:id="165">
    <w:p w14:paraId="2BC86A7C" w14:textId="77777777" w:rsidR="00CD219C" w:rsidRPr="0077171B" w:rsidRDefault="00CD219C" w:rsidP="005318BF">
      <w:pPr>
        <w:pStyle w:val="10"/>
        <w:rPr>
          <w:rFonts w:ascii="Times New Roman" w:hAnsi="Times New Roman" w:cs="Times New Roman"/>
          <w:lang w:val="ro-RO"/>
        </w:rPr>
      </w:pPr>
      <w:r w:rsidRPr="0077171B">
        <w:rPr>
          <w:rStyle w:val="FootnoteReference"/>
          <w:rFonts w:ascii="Times New Roman" w:hAnsi="Times New Roman" w:cs="Times New Roman"/>
          <w:lang w:val="ro-RO"/>
        </w:rPr>
        <w:footnoteRef/>
      </w:r>
      <w:r w:rsidRPr="0077171B">
        <w:rPr>
          <w:rFonts w:ascii="Times New Roman" w:hAnsi="Times New Roman" w:cs="Times New Roman"/>
          <w:lang w:val="ro-RO"/>
        </w:rPr>
        <w:t xml:space="preserve"> Art.15 din Legea nr.229 din 23.09.2010 privind controlul financiar public intern; Ordinele ministrului Finanțelor nr.189 din 05.11.2015 „Cu privire la aprobarea Standardelor naționale de control intern în sectorul public” și nr.4 din 09.01.2019 „Cu privire la aprobarea Regulamentului privind autoevaluarea, raportarea sistemului de control intern managerial și emiterea Declarației de răspundere managerială”.</w:t>
      </w:r>
    </w:p>
  </w:footnote>
  <w:footnote w:id="166">
    <w:p w14:paraId="42A9E353" w14:textId="5B2E7BED" w:rsidR="00CD219C" w:rsidRPr="0077171B" w:rsidRDefault="00CD219C" w:rsidP="0077171B">
      <w:pPr>
        <w:pStyle w:val="FootnoteText"/>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Ordinul ministrului Finanțelor nr. 189 din 05.11.2015 </w:t>
      </w:r>
      <w:r>
        <w:rPr>
          <w:rFonts w:ascii="Times New Roman" w:hAnsi="Times New Roman" w:cs="Times New Roman"/>
          <w:sz w:val="16"/>
          <w:szCs w:val="16"/>
          <w:lang w:val="ro-RO"/>
        </w:rPr>
        <w:t>„C</w:t>
      </w:r>
      <w:r w:rsidRPr="0077171B">
        <w:rPr>
          <w:rFonts w:ascii="Times New Roman" w:hAnsi="Times New Roman" w:cs="Times New Roman"/>
          <w:sz w:val="16"/>
          <w:szCs w:val="16"/>
          <w:lang w:val="ro-RO"/>
        </w:rPr>
        <w:t>u privire la aprobarea Standardelor naționale de control intern în sectorul public</w:t>
      </w:r>
      <w:r>
        <w:rPr>
          <w:rFonts w:ascii="Times New Roman" w:hAnsi="Times New Roman" w:cs="Times New Roman"/>
          <w:sz w:val="16"/>
          <w:szCs w:val="16"/>
          <w:lang w:val="ro-RO"/>
        </w:rPr>
        <w:t>”</w:t>
      </w:r>
      <w:r w:rsidRPr="0077171B">
        <w:rPr>
          <w:rFonts w:ascii="Times New Roman" w:hAnsi="Times New Roman" w:cs="Times New Roman"/>
          <w:sz w:val="16"/>
          <w:szCs w:val="16"/>
          <w:lang w:val="ro-RO"/>
        </w:rPr>
        <w:t>.</w:t>
      </w:r>
    </w:p>
  </w:footnote>
  <w:footnote w:id="167">
    <w:p w14:paraId="0A82BD8C" w14:textId="77777777" w:rsidR="00CD219C" w:rsidRPr="0077171B" w:rsidRDefault="00CD219C" w:rsidP="0077171B">
      <w:pPr>
        <w:pStyle w:val="FootnoteText"/>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Declarațiile de bună guvernare pentru anii 2018 - 2022.</w:t>
      </w:r>
    </w:p>
  </w:footnote>
  <w:footnote w:id="168">
    <w:p w14:paraId="54AE67E5" w14:textId="21552451" w:rsidR="00CD219C" w:rsidRPr="0077171B" w:rsidRDefault="00CD219C" w:rsidP="006D7209">
      <w:pPr>
        <w:pStyle w:val="FootnoteText"/>
        <w:jc w:val="both"/>
        <w:rPr>
          <w:rFonts w:ascii="Times New Roman" w:hAnsi="Times New Roman" w:cs="Times New Roman"/>
          <w:sz w:val="16"/>
          <w:szCs w:val="16"/>
          <w:lang w:val="ro-RO"/>
        </w:rPr>
      </w:pPr>
      <w:r w:rsidRPr="0077171B">
        <w:rPr>
          <w:rStyle w:val="FootnoteReference"/>
          <w:rFonts w:ascii="Times New Roman" w:hAnsi="Times New Roman" w:cs="Times New Roman"/>
          <w:sz w:val="16"/>
          <w:szCs w:val="16"/>
          <w:lang w:val="ro-RO"/>
        </w:rPr>
        <w:footnoteRef/>
      </w:r>
      <w:r w:rsidRPr="0077171B">
        <w:rPr>
          <w:rFonts w:ascii="Times New Roman" w:hAnsi="Times New Roman" w:cs="Times New Roman"/>
          <w:sz w:val="16"/>
          <w:szCs w:val="16"/>
          <w:lang w:val="ro-RO"/>
        </w:rPr>
        <w:t xml:space="preserve"> Art.19</w:t>
      </w:r>
      <w:r>
        <w:rPr>
          <w:rFonts w:ascii="Times New Roman" w:hAnsi="Times New Roman" w:cs="Times New Roman"/>
          <w:sz w:val="16"/>
          <w:szCs w:val="16"/>
          <w:lang w:val="ro-RO"/>
        </w:rPr>
        <w:t xml:space="preserve"> </w:t>
      </w:r>
      <w:r w:rsidRPr="0077171B">
        <w:rPr>
          <w:rFonts w:ascii="Times New Roman" w:hAnsi="Times New Roman" w:cs="Times New Roman"/>
          <w:sz w:val="16"/>
          <w:szCs w:val="16"/>
          <w:lang w:val="ro-RO"/>
        </w:rPr>
        <w:t>alin.(6) din Legea privind controlul financiar public intern nr.229 din 23.09.2010.</w:t>
      </w:r>
    </w:p>
  </w:footnote>
  <w:footnote w:id="169">
    <w:p w14:paraId="41D49355" w14:textId="0909F334" w:rsidR="00CD219C" w:rsidRPr="0077171B" w:rsidRDefault="00CD219C" w:rsidP="00586699">
      <w:pPr>
        <w:spacing w:after="0" w:line="240" w:lineRule="auto"/>
        <w:jc w:val="both"/>
        <w:outlineLvl w:val="0"/>
        <w:rPr>
          <w:rFonts w:ascii="Times New Roman" w:hAnsi="Times New Roman" w:cs="Times New Roman"/>
          <w:sz w:val="18"/>
          <w:szCs w:val="18"/>
          <w:lang w:val="ro-RO"/>
        </w:rPr>
      </w:pPr>
      <w:r w:rsidRPr="00977515">
        <w:rPr>
          <w:rStyle w:val="FootnoteReference"/>
          <w:rFonts w:ascii="Times New Roman" w:hAnsi="Times New Roman" w:cs="Times New Roman"/>
          <w:sz w:val="16"/>
          <w:szCs w:val="16"/>
          <w:lang w:val="ro-RO"/>
        </w:rPr>
        <w:footnoteRef/>
      </w:r>
      <w:r w:rsidRPr="00977515">
        <w:rPr>
          <w:rFonts w:ascii="Times New Roman" w:hAnsi="Times New Roman" w:cs="Times New Roman"/>
          <w:sz w:val="16"/>
          <w:szCs w:val="16"/>
          <w:lang w:val="ro-RO"/>
        </w:rPr>
        <w:t xml:space="preserve"> Recomandare</w:t>
      </w:r>
      <w:r>
        <w:rPr>
          <w:rFonts w:ascii="Times New Roman" w:hAnsi="Times New Roman" w:cs="Times New Roman"/>
          <w:sz w:val="16"/>
          <w:szCs w:val="16"/>
          <w:lang w:val="ro-RO"/>
        </w:rPr>
        <w:t>a</w:t>
      </w:r>
      <w:r w:rsidRPr="00977515">
        <w:rPr>
          <w:rFonts w:ascii="Times New Roman" w:hAnsi="Times New Roman" w:cs="Times New Roman"/>
          <w:sz w:val="16"/>
          <w:szCs w:val="16"/>
          <w:lang w:val="ro-RO"/>
        </w:rPr>
        <w:t xml:space="preserve"> de audit nr.1 din </w:t>
      </w:r>
      <w:r w:rsidRPr="00977515">
        <w:rPr>
          <w:rFonts w:ascii="Times New Roman" w:eastAsia="Times New Roman" w:hAnsi="Times New Roman" w:cs="Times New Roman"/>
          <w:bCs/>
          <w:color w:val="000000"/>
          <w:sz w:val="16"/>
          <w:szCs w:val="16"/>
          <w:lang w:val="ro-RO"/>
        </w:rPr>
        <w:t>Raportul misiunii de follow-up al auditului TI „Cum se asigură protecția datelor cu caracter personal în domeniul asistenței medicale primare, prelucrate în cadrul sistemelor informaționale automatizate?”</w:t>
      </w:r>
      <w:r>
        <w:rPr>
          <w:rFonts w:ascii="Times New Roman" w:eastAsia="Times New Roman" w:hAnsi="Times New Roman" w:cs="Times New Roman"/>
          <w:bCs/>
          <w:color w:val="000000"/>
          <w:sz w:val="16"/>
          <w:szCs w:val="16"/>
          <w:lang w:val="ro-RO"/>
        </w:rPr>
        <w:t>,</w:t>
      </w:r>
      <w:r w:rsidRPr="00977515">
        <w:rPr>
          <w:rFonts w:ascii="Times New Roman" w:eastAsia="Times New Roman" w:hAnsi="Times New Roman" w:cs="Times New Roman"/>
          <w:bCs/>
          <w:color w:val="000000"/>
          <w:sz w:val="16"/>
          <w:szCs w:val="16"/>
          <w:lang w:val="ro-RO"/>
        </w:rPr>
        <w:t xml:space="preserve"> aprobat prin H</w:t>
      </w:r>
      <w:r>
        <w:rPr>
          <w:rFonts w:ascii="Times New Roman" w:eastAsia="Times New Roman" w:hAnsi="Times New Roman" w:cs="Times New Roman"/>
          <w:bCs/>
          <w:color w:val="000000"/>
          <w:sz w:val="16"/>
          <w:szCs w:val="16"/>
          <w:lang w:val="ro-RO"/>
        </w:rPr>
        <w:t>CC</w:t>
      </w:r>
      <w:r w:rsidRPr="00977515">
        <w:rPr>
          <w:rFonts w:ascii="Times New Roman" w:eastAsia="Times New Roman" w:hAnsi="Times New Roman" w:cs="Times New Roman"/>
          <w:bCs/>
          <w:color w:val="000000"/>
          <w:sz w:val="16"/>
          <w:szCs w:val="16"/>
          <w:lang w:val="ro-RO"/>
        </w:rPr>
        <w:t xml:space="preserve"> </w:t>
      </w:r>
      <w:r w:rsidRPr="00977515">
        <w:rPr>
          <w:rFonts w:ascii="Times New Roman" w:eastAsia="Times New Roman" w:hAnsi="Times New Roman" w:cs="Times New Roman"/>
          <w:bCs/>
          <w:color w:val="000000"/>
          <w:kern w:val="36"/>
          <w:sz w:val="16"/>
          <w:szCs w:val="16"/>
          <w:lang w:val="ro-RO"/>
        </w:rPr>
        <w:t>nr.15 din 27</w:t>
      </w:r>
      <w:r>
        <w:rPr>
          <w:rFonts w:ascii="Times New Roman" w:eastAsia="Times New Roman" w:hAnsi="Times New Roman" w:cs="Times New Roman"/>
          <w:bCs/>
          <w:color w:val="000000"/>
          <w:kern w:val="36"/>
          <w:sz w:val="16"/>
          <w:szCs w:val="16"/>
          <w:lang w:val="ro-RO"/>
        </w:rPr>
        <w:t>.03.</w:t>
      </w:r>
      <w:r w:rsidRPr="00977515">
        <w:rPr>
          <w:rFonts w:ascii="Times New Roman" w:eastAsia="Times New Roman" w:hAnsi="Times New Roman" w:cs="Times New Roman"/>
          <w:bCs/>
          <w:color w:val="000000"/>
          <w:kern w:val="36"/>
          <w:sz w:val="16"/>
          <w:szCs w:val="16"/>
          <w:lang w:val="ro-RO"/>
        </w:rPr>
        <w:t>2019.</w:t>
      </w:r>
    </w:p>
    <w:p w14:paraId="1325073D" w14:textId="77777777" w:rsidR="00CD219C" w:rsidRPr="00977515" w:rsidRDefault="00CD219C" w:rsidP="0067775B">
      <w:pPr>
        <w:spacing w:after="0" w:line="240" w:lineRule="auto"/>
        <w:jc w:val="both"/>
        <w:outlineLvl w:val="0"/>
        <w:rPr>
          <w:rFonts w:ascii="Times New Roman" w:eastAsia="Times New Roman" w:hAnsi="Times New Roman" w:cs="Times New Roman"/>
          <w:bCs/>
          <w:color w:val="000000"/>
          <w:kern w:val="36"/>
          <w:sz w:val="24"/>
          <w:szCs w:val="24"/>
          <w:lang w:val="ro-RO"/>
        </w:rPr>
      </w:pPr>
      <w:r w:rsidRPr="00977515">
        <w:rPr>
          <w:rFonts w:ascii="Times New Roman" w:eastAsia="Times New Roman" w:hAnsi="Times New Roman" w:cs="Times New Roman"/>
          <w:bCs/>
          <w:color w:val="000000"/>
          <w:sz w:val="18"/>
          <w:szCs w:val="18"/>
          <w:lang w:val="ro-RO"/>
        </w:rPr>
        <w:t xml:space="preserve"> </w:t>
      </w:r>
    </w:p>
    <w:p w14:paraId="0E935D18" w14:textId="77777777" w:rsidR="00CD219C" w:rsidRPr="00BD5288" w:rsidRDefault="00CD219C" w:rsidP="0067775B">
      <w:pPr>
        <w:pStyle w:val="FootnoteText"/>
        <w:rPr>
          <w:lang w:val="ro-RO"/>
        </w:rPr>
      </w:pPr>
    </w:p>
  </w:footnote>
  <w:footnote w:id="170">
    <w:p w14:paraId="047B2063" w14:textId="77777777" w:rsidR="00CD219C" w:rsidRPr="00862B06" w:rsidRDefault="00CD219C" w:rsidP="0077171B">
      <w:pPr>
        <w:pStyle w:val="FootnoteText"/>
        <w:jc w:val="both"/>
        <w:rPr>
          <w:rFonts w:ascii="Times New Roman" w:hAnsi="Times New Roman" w:cs="Times New Roman"/>
          <w:sz w:val="16"/>
          <w:szCs w:val="16"/>
        </w:rPr>
      </w:pPr>
      <w:r w:rsidRPr="00862B06">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sidRPr="00862B06">
        <w:rPr>
          <w:rFonts w:ascii="Times New Roman" w:hAnsi="Times New Roman" w:cs="Times New Roman"/>
          <w:sz w:val="16"/>
          <w:szCs w:val="16"/>
        </w:rPr>
        <w:t>Hotărârea Curții de Conturi nr.65 din 22.12.2022 „Privind aprobarea Programului activității de audit a</w:t>
      </w:r>
      <w:r>
        <w:rPr>
          <w:rFonts w:ascii="Times New Roman" w:hAnsi="Times New Roman" w:cs="Times New Roman"/>
          <w:sz w:val="16"/>
          <w:szCs w:val="16"/>
        </w:rPr>
        <w:t>l</w:t>
      </w:r>
      <w:r w:rsidRPr="00862B06">
        <w:rPr>
          <w:rFonts w:ascii="Times New Roman" w:hAnsi="Times New Roman" w:cs="Times New Roman"/>
          <w:sz w:val="16"/>
          <w:szCs w:val="16"/>
        </w:rPr>
        <w:t xml:space="preserve"> Curții de Conturi pe anul 2023”.</w:t>
      </w:r>
    </w:p>
  </w:footnote>
  <w:footnote w:id="171">
    <w:p w14:paraId="46672275" w14:textId="77777777" w:rsidR="00CD219C" w:rsidRPr="00626ED2" w:rsidRDefault="00CD219C" w:rsidP="00963662">
      <w:pPr>
        <w:pStyle w:val="FootnoteText"/>
        <w:rPr>
          <w:rFonts w:ascii="Times New Roman" w:hAnsi="Times New Roman" w:cs="Times New Roman"/>
          <w:sz w:val="16"/>
          <w:szCs w:val="16"/>
          <w:vertAlign w:val="superscript"/>
        </w:rPr>
      </w:pPr>
      <w:r w:rsidRPr="00626ED2">
        <w:rPr>
          <w:rStyle w:val="FootnoteReference"/>
          <w:rFonts w:ascii="Times New Roman" w:hAnsi="Times New Roman" w:cs="Times New Roman"/>
          <w:sz w:val="16"/>
          <w:szCs w:val="16"/>
        </w:rPr>
        <w:footnoteRef/>
      </w:r>
      <w:r w:rsidRPr="00626ED2">
        <w:rPr>
          <w:rFonts w:ascii="Times New Roman" w:hAnsi="Times New Roman" w:cs="Times New Roman"/>
          <w:sz w:val="16"/>
          <w:szCs w:val="16"/>
          <w:vertAlign w:val="superscript"/>
        </w:rPr>
        <w:t xml:space="preserve"> </w:t>
      </w:r>
      <w:r w:rsidRPr="00626ED2">
        <w:rPr>
          <w:rFonts w:ascii="Times New Roman" w:hAnsi="Times New Roman" w:cs="Times New Roman"/>
          <w:sz w:val="16"/>
          <w:szCs w:val="16"/>
        </w:rPr>
        <w:t>Hotărârea Curții de Conturi nr.2 din 24.01.2020 „Cu privire la Cadrul Declarațiilor Profesionale ale INTOSAI”.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DAE"/>
    <w:multiLevelType w:val="hybridMultilevel"/>
    <w:tmpl w:val="ADA6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A96"/>
    <w:multiLevelType w:val="hybridMultilevel"/>
    <w:tmpl w:val="6330A81C"/>
    <w:lvl w:ilvl="0" w:tplc="D660DF5C">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9644F"/>
    <w:multiLevelType w:val="hybridMultilevel"/>
    <w:tmpl w:val="C9D0DE64"/>
    <w:lvl w:ilvl="0" w:tplc="2E387B00">
      <w:start w:val="1"/>
      <w:numFmt w:val="decimal"/>
      <w:lvlText w:val="%1."/>
      <w:lvlJc w:val="left"/>
      <w:pPr>
        <w:ind w:left="360" w:hanging="360"/>
      </w:pPr>
      <w:rPr>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A00908"/>
    <w:multiLevelType w:val="hybridMultilevel"/>
    <w:tmpl w:val="8396B58A"/>
    <w:lvl w:ilvl="0" w:tplc="3A92614E">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95EB4"/>
    <w:multiLevelType w:val="hybridMultilevel"/>
    <w:tmpl w:val="D4A41C46"/>
    <w:lvl w:ilvl="0" w:tplc="335CD07C">
      <w:start w:val="1"/>
      <w:numFmt w:val="decimal"/>
      <w:lvlText w:val="%1."/>
      <w:lvlJc w:val="left"/>
      <w:pPr>
        <w:ind w:left="5940" w:hanging="360"/>
      </w:pPr>
      <w:rPr>
        <w:rFonts w:hint="default"/>
        <w:b/>
        <w:i/>
        <w:color w:val="auto"/>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E5627"/>
    <w:multiLevelType w:val="hybridMultilevel"/>
    <w:tmpl w:val="404C21F8"/>
    <w:lvl w:ilvl="0" w:tplc="D660DF5C">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9174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344341"/>
    <w:multiLevelType w:val="multilevel"/>
    <w:tmpl w:val="E0DAB172"/>
    <w:lvl w:ilvl="0">
      <w:start w:val="4"/>
      <w:numFmt w:val="decimal"/>
      <w:lvlText w:val="%1."/>
      <w:lvlJc w:val="left"/>
      <w:pPr>
        <w:ind w:left="564" w:hanging="564"/>
      </w:pPr>
      <w:rPr>
        <w:rFonts w:hint="default"/>
        <w:b/>
      </w:rPr>
    </w:lvl>
    <w:lvl w:ilvl="1">
      <w:start w:val="3"/>
      <w:numFmt w:val="decimal"/>
      <w:lvlText w:val="%1.%2."/>
      <w:lvlJc w:val="left"/>
      <w:pPr>
        <w:ind w:left="635" w:hanging="56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8" w15:restartNumberingAfterBreak="0">
    <w:nsid w:val="22AE18F9"/>
    <w:multiLevelType w:val="multilevel"/>
    <w:tmpl w:val="7B96AC50"/>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4.2.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FF2E2E"/>
    <w:multiLevelType w:val="multilevel"/>
    <w:tmpl w:val="5CAA5EB0"/>
    <w:lvl w:ilvl="0">
      <w:start w:val="1"/>
      <w:numFmt w:val="upperRoman"/>
      <w:lvlText w:val="%1."/>
      <w:lvlJc w:val="right"/>
      <w:pPr>
        <w:ind w:left="644" w:hanging="360"/>
      </w:pPr>
      <w:rPr>
        <w:rFonts w:hint="default"/>
        <w:b/>
        <w:i w:val="0"/>
        <w:color w:val="auto"/>
        <w:sz w:val="24"/>
        <w:szCs w:val="24"/>
      </w:rPr>
    </w:lvl>
    <w:lvl w:ilvl="1">
      <w:start w:val="1"/>
      <w:numFmt w:val="decimal"/>
      <w:isLgl/>
      <w:lvlText w:val="%1.%2."/>
      <w:lvlJc w:val="left"/>
      <w:pPr>
        <w:ind w:left="1620" w:hanging="396"/>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1944"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304" w:hanging="108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024" w:hanging="1800"/>
      </w:pPr>
      <w:rPr>
        <w:rFonts w:hint="default"/>
      </w:rPr>
    </w:lvl>
  </w:abstractNum>
  <w:abstractNum w:abstractNumId="10" w15:restartNumberingAfterBreak="0">
    <w:nsid w:val="247E3E59"/>
    <w:multiLevelType w:val="hybridMultilevel"/>
    <w:tmpl w:val="2306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C5A1A"/>
    <w:multiLevelType w:val="hybridMultilevel"/>
    <w:tmpl w:val="E5C8CFDC"/>
    <w:lvl w:ilvl="0" w:tplc="02FA823E">
      <w:start w:val="4"/>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2" w15:restartNumberingAfterBreak="0">
    <w:nsid w:val="2CEF7757"/>
    <w:multiLevelType w:val="hybridMultilevel"/>
    <w:tmpl w:val="1916DA6E"/>
    <w:lvl w:ilvl="0" w:tplc="D660DF5C">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322E3"/>
    <w:multiLevelType w:val="hybridMultilevel"/>
    <w:tmpl w:val="480ECA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208A8"/>
    <w:multiLevelType w:val="hybridMultilevel"/>
    <w:tmpl w:val="778A68A0"/>
    <w:lvl w:ilvl="0" w:tplc="3A92614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67ADD"/>
    <w:multiLevelType w:val="hybridMultilevel"/>
    <w:tmpl w:val="E2DE0E2E"/>
    <w:lvl w:ilvl="0" w:tplc="8CD08038">
      <w:start w:val="1"/>
      <w:numFmt w:val="lowerRoman"/>
      <w:lvlText w:val="(%1)"/>
      <w:lvlJc w:val="left"/>
      <w:pPr>
        <w:ind w:left="720" w:hanging="360"/>
      </w:pPr>
      <w:rPr>
        <w:rFonts w:hint="default"/>
        <w:b/>
        <w:i/>
        <w:color w:val="2E74B5" w:themeColor="accent1"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753DA"/>
    <w:multiLevelType w:val="hybridMultilevel"/>
    <w:tmpl w:val="201C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54D7F"/>
    <w:multiLevelType w:val="hybridMultilevel"/>
    <w:tmpl w:val="375C31BE"/>
    <w:lvl w:ilvl="0" w:tplc="D0E0977A">
      <w:start w:val="1"/>
      <w:numFmt w:val="bullet"/>
      <w:lvlText w:val=""/>
      <w:lvlJc w:val="left"/>
      <w:pPr>
        <w:ind w:left="502"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6419A"/>
    <w:multiLevelType w:val="hybridMultilevel"/>
    <w:tmpl w:val="A42C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E32EF"/>
    <w:multiLevelType w:val="multilevel"/>
    <w:tmpl w:val="4BB23A6A"/>
    <w:lvl w:ilvl="0">
      <w:start w:val="2"/>
      <w:numFmt w:val="decimal"/>
      <w:lvlText w:val="%1."/>
      <w:lvlJc w:val="left"/>
      <w:pPr>
        <w:ind w:left="564" w:hanging="564"/>
      </w:pPr>
      <w:rPr>
        <w:rFonts w:hint="default"/>
      </w:rPr>
    </w:lvl>
    <w:lvl w:ilvl="1">
      <w:start w:val="3"/>
      <w:numFmt w:val="decimal"/>
      <w:lvlText w:val="%1.%2."/>
      <w:lvlJc w:val="left"/>
      <w:pPr>
        <w:ind w:left="564" w:hanging="56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857F96"/>
    <w:multiLevelType w:val="hybridMultilevel"/>
    <w:tmpl w:val="F6AA7D5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0146E"/>
    <w:multiLevelType w:val="hybridMultilevel"/>
    <w:tmpl w:val="93F22524"/>
    <w:lvl w:ilvl="0" w:tplc="98D21FEA">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F8263C"/>
    <w:multiLevelType w:val="hybridMultilevel"/>
    <w:tmpl w:val="E2A0C2C6"/>
    <w:lvl w:ilvl="0" w:tplc="3A92614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E7E9E"/>
    <w:multiLevelType w:val="hybridMultilevel"/>
    <w:tmpl w:val="D4A41C46"/>
    <w:lvl w:ilvl="0" w:tplc="335CD07C">
      <w:start w:val="1"/>
      <w:numFmt w:val="decimal"/>
      <w:lvlText w:val="%1."/>
      <w:lvlJc w:val="left"/>
      <w:pPr>
        <w:ind w:left="5940" w:hanging="360"/>
      </w:pPr>
      <w:rPr>
        <w:rFonts w:hint="default"/>
        <w:b/>
        <w:i/>
        <w:color w:val="auto"/>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E785E"/>
    <w:multiLevelType w:val="hybridMultilevel"/>
    <w:tmpl w:val="BF54B3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7367B"/>
    <w:multiLevelType w:val="hybridMultilevel"/>
    <w:tmpl w:val="9B70B046"/>
    <w:lvl w:ilvl="0" w:tplc="D660DF5C">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103AA"/>
    <w:multiLevelType w:val="hybridMultilevel"/>
    <w:tmpl w:val="7132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E15747"/>
    <w:multiLevelType w:val="hybridMultilevel"/>
    <w:tmpl w:val="7570AB36"/>
    <w:lvl w:ilvl="0" w:tplc="B86E0318">
      <w:start w:val="1"/>
      <w:numFmt w:val="decimal"/>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756E6"/>
    <w:multiLevelType w:val="hybridMultilevel"/>
    <w:tmpl w:val="D9F40A80"/>
    <w:lvl w:ilvl="0" w:tplc="D660DF5C">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A1AA7"/>
    <w:multiLevelType w:val="multilevel"/>
    <w:tmpl w:val="0BAADD94"/>
    <w:lvl w:ilvl="0">
      <w:start w:val="4"/>
      <w:numFmt w:val="decimal"/>
      <w:lvlText w:val="%1."/>
      <w:lvlJc w:val="left"/>
      <w:pPr>
        <w:ind w:left="564" w:hanging="564"/>
      </w:pPr>
      <w:rPr>
        <w:rFonts w:hint="default"/>
      </w:rPr>
    </w:lvl>
    <w:lvl w:ilvl="1">
      <w:start w:val="2"/>
      <w:numFmt w:val="decimal"/>
      <w:lvlText w:val="%1.%2."/>
      <w:lvlJc w:val="left"/>
      <w:pPr>
        <w:ind w:left="564" w:hanging="564"/>
      </w:pPr>
      <w:rPr>
        <w:rFonts w:hint="default"/>
      </w:rPr>
    </w:lvl>
    <w:lvl w:ilvl="2">
      <w:start w:val="3"/>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1460E6"/>
    <w:multiLevelType w:val="multilevel"/>
    <w:tmpl w:val="F7D8AC38"/>
    <w:lvl w:ilvl="0">
      <w:start w:val="4"/>
      <w:numFmt w:val="decimal"/>
      <w:lvlText w:val="%1."/>
      <w:lvlJc w:val="left"/>
      <w:pPr>
        <w:ind w:left="444" w:hanging="444"/>
      </w:pPr>
      <w:rPr>
        <w:rFonts w:hint="default"/>
      </w:rPr>
    </w:lvl>
    <w:lvl w:ilvl="1">
      <w:start w:val="1"/>
      <w:numFmt w:val="decimal"/>
      <w:lvlText w:val="%1.%2."/>
      <w:lvlJc w:val="left"/>
      <w:pPr>
        <w:ind w:left="1260" w:hanging="720"/>
      </w:pPr>
      <w:rPr>
        <w:rFonts w:hint="default"/>
        <w:b/>
        <w:color w:val="auto"/>
      </w:rPr>
    </w:lvl>
    <w:lvl w:ilvl="2">
      <w:start w:val="1"/>
      <w:numFmt w:val="decimal"/>
      <w:lvlText w:val="%1.%2.%3."/>
      <w:lvlJc w:val="left"/>
      <w:pPr>
        <w:ind w:left="862"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0F6162B"/>
    <w:multiLevelType w:val="hybridMultilevel"/>
    <w:tmpl w:val="8E721964"/>
    <w:lvl w:ilvl="0" w:tplc="7974F082">
      <w:start w:val="1"/>
      <w:numFmt w:val="lowerRoman"/>
      <w:lvlText w:val="(%1)"/>
      <w:lvlJc w:val="left"/>
      <w:pPr>
        <w:ind w:left="928" w:hanging="360"/>
      </w:pPr>
      <w:rPr>
        <w:rFonts w:hint="default"/>
        <w:b/>
        <w:i/>
        <w:color w:val="auto"/>
        <w:sz w:val="24"/>
      </w:rPr>
    </w:lvl>
    <w:lvl w:ilvl="1" w:tplc="850EC820">
      <w:start w:val="1"/>
      <w:numFmt w:val="decimal"/>
      <w:lvlText w:val="%2)"/>
      <w:lvlJc w:val="left"/>
      <w:pPr>
        <w:ind w:left="1724" w:hanging="360"/>
      </w:pPr>
      <w:rPr>
        <w:rFonts w:cstheme="majorHAnsi"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64BE28E6"/>
    <w:multiLevelType w:val="hybridMultilevel"/>
    <w:tmpl w:val="422CDEC0"/>
    <w:lvl w:ilvl="0" w:tplc="D660DF5C">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100EF"/>
    <w:multiLevelType w:val="multilevel"/>
    <w:tmpl w:val="0AB05E82"/>
    <w:lvl w:ilvl="0">
      <w:start w:val="4"/>
      <w:numFmt w:val="decimal"/>
      <w:lvlText w:val="%1."/>
      <w:lvlJc w:val="left"/>
      <w:pPr>
        <w:ind w:left="564" w:hanging="564"/>
      </w:pPr>
      <w:rPr>
        <w:rFonts w:hint="default"/>
      </w:rPr>
    </w:lvl>
    <w:lvl w:ilvl="1">
      <w:start w:val="2"/>
      <w:numFmt w:val="decimal"/>
      <w:lvlText w:val="%1.%2."/>
      <w:lvlJc w:val="left"/>
      <w:pPr>
        <w:ind w:left="564" w:hanging="56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B04116"/>
    <w:multiLevelType w:val="hybridMultilevel"/>
    <w:tmpl w:val="E4AC2604"/>
    <w:lvl w:ilvl="0" w:tplc="CDE8D826">
      <w:start w:val="4"/>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DC08E6"/>
    <w:multiLevelType w:val="hybridMultilevel"/>
    <w:tmpl w:val="D4A41C46"/>
    <w:lvl w:ilvl="0" w:tplc="335CD07C">
      <w:start w:val="1"/>
      <w:numFmt w:val="decimal"/>
      <w:lvlText w:val="%1."/>
      <w:lvlJc w:val="left"/>
      <w:pPr>
        <w:ind w:left="5940" w:hanging="360"/>
      </w:pPr>
      <w:rPr>
        <w:rFonts w:hint="default"/>
        <w:b/>
        <w:i/>
        <w:color w:val="auto"/>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382923"/>
    <w:multiLevelType w:val="multilevel"/>
    <w:tmpl w:val="1DE42ACE"/>
    <w:lvl w:ilvl="0">
      <w:start w:val="4"/>
      <w:numFmt w:val="decimal"/>
      <w:lvlText w:val="%1."/>
      <w:lvlJc w:val="left"/>
      <w:pPr>
        <w:ind w:left="564" w:hanging="564"/>
      </w:pPr>
      <w:rPr>
        <w:rFonts w:hint="default"/>
        <w:b/>
      </w:rPr>
    </w:lvl>
    <w:lvl w:ilvl="1">
      <w:start w:val="3"/>
      <w:numFmt w:val="decimal"/>
      <w:lvlText w:val="%1.%2."/>
      <w:lvlJc w:val="left"/>
      <w:pPr>
        <w:ind w:left="635" w:hanging="564"/>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37" w15:restartNumberingAfterBreak="0">
    <w:nsid w:val="76381779"/>
    <w:multiLevelType w:val="hybridMultilevel"/>
    <w:tmpl w:val="D4A41C46"/>
    <w:lvl w:ilvl="0" w:tplc="335CD07C">
      <w:start w:val="1"/>
      <w:numFmt w:val="decimal"/>
      <w:lvlText w:val="%1."/>
      <w:lvlJc w:val="left"/>
      <w:pPr>
        <w:ind w:left="5940" w:hanging="360"/>
      </w:pPr>
      <w:rPr>
        <w:rFonts w:hint="default"/>
        <w:b/>
        <w:i/>
        <w:color w:val="auto"/>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7C56E3"/>
    <w:multiLevelType w:val="multilevel"/>
    <w:tmpl w:val="CE2E4766"/>
    <w:lvl w:ilvl="0">
      <w:start w:val="1"/>
      <w:numFmt w:val="decimal"/>
      <w:lvlText w:val="%1."/>
      <w:lvlJc w:val="right"/>
      <w:pPr>
        <w:tabs>
          <w:tab w:val="num" w:pos="284"/>
        </w:tabs>
        <w:ind w:left="284" w:hanging="284"/>
      </w:pPr>
      <w:rPr>
        <w:rFonts w:ascii="Times New Roman" w:eastAsia="Times New Roman" w:hAnsi="Times New Roman" w:cs="Arial"/>
      </w:rPr>
    </w:lvl>
    <w:lvl w:ilvl="1">
      <w:start w:val="1"/>
      <w:numFmt w:val="decimal"/>
      <w:lvlText w:val="%1.%2"/>
      <w:lvlJc w:val="right"/>
      <w:pPr>
        <w:tabs>
          <w:tab w:val="num" w:pos="284"/>
        </w:tabs>
        <w:ind w:left="284" w:hanging="284"/>
      </w:pPr>
      <w:rPr>
        <w:rFonts w:hint="default"/>
      </w:rPr>
    </w:lvl>
    <w:lvl w:ilvl="2">
      <w:start w:val="1"/>
      <w:numFmt w:val="decimal"/>
      <w:lvlText w:val="%1.%2.%3"/>
      <w:lvlJc w:val="right"/>
      <w:pPr>
        <w:tabs>
          <w:tab w:val="num" w:pos="568"/>
        </w:tabs>
        <w:ind w:left="568" w:hanging="284"/>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9" w15:restartNumberingAfterBreak="0">
    <w:nsid w:val="7B81442E"/>
    <w:multiLevelType w:val="hybridMultilevel"/>
    <w:tmpl w:val="80C2FBA4"/>
    <w:lvl w:ilvl="0" w:tplc="D660DF5C">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D85584"/>
    <w:multiLevelType w:val="hybridMultilevel"/>
    <w:tmpl w:val="DB781ABA"/>
    <w:lvl w:ilvl="0" w:tplc="D660DF5C">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6"/>
  </w:num>
  <w:num w:numId="4">
    <w:abstractNumId w:val="30"/>
  </w:num>
  <w:num w:numId="5">
    <w:abstractNumId w:val="2"/>
  </w:num>
  <w:num w:numId="6">
    <w:abstractNumId w:val="22"/>
  </w:num>
  <w:num w:numId="7">
    <w:abstractNumId w:val="23"/>
  </w:num>
  <w:num w:numId="8">
    <w:abstractNumId w:val="34"/>
  </w:num>
  <w:num w:numId="9">
    <w:abstractNumId w:val="16"/>
  </w:num>
  <w:num w:numId="10">
    <w:abstractNumId w:val="0"/>
  </w:num>
  <w:num w:numId="11">
    <w:abstractNumId w:val="9"/>
  </w:num>
  <w:num w:numId="12">
    <w:abstractNumId w:val="26"/>
  </w:num>
  <w:num w:numId="13">
    <w:abstractNumId w:val="38"/>
  </w:num>
  <w:num w:numId="14">
    <w:abstractNumId w:val="29"/>
  </w:num>
  <w:num w:numId="15">
    <w:abstractNumId w:val="39"/>
  </w:num>
  <w:num w:numId="16">
    <w:abstractNumId w:val="36"/>
  </w:num>
  <w:num w:numId="17">
    <w:abstractNumId w:val="40"/>
  </w:num>
  <w:num w:numId="18">
    <w:abstractNumId w:val="5"/>
  </w:num>
  <w:num w:numId="19">
    <w:abstractNumId w:val="32"/>
  </w:num>
  <w:num w:numId="20">
    <w:abstractNumId w:val="1"/>
  </w:num>
  <w:num w:numId="21">
    <w:abstractNumId w:val="28"/>
  </w:num>
  <w:num w:numId="22">
    <w:abstractNumId w:val="12"/>
  </w:num>
  <w:num w:numId="23">
    <w:abstractNumId w:val="4"/>
  </w:num>
  <w:num w:numId="24">
    <w:abstractNumId w:val="37"/>
  </w:num>
  <w:num w:numId="25">
    <w:abstractNumId w:val="11"/>
  </w:num>
  <w:num w:numId="26">
    <w:abstractNumId w:val="19"/>
  </w:num>
  <w:num w:numId="27">
    <w:abstractNumId w:val="17"/>
  </w:num>
  <w:num w:numId="28">
    <w:abstractNumId w:val="3"/>
  </w:num>
  <w:num w:numId="29">
    <w:abstractNumId w:val="33"/>
  </w:num>
  <w:num w:numId="30">
    <w:abstractNumId w:val="35"/>
  </w:num>
  <w:num w:numId="31">
    <w:abstractNumId w:val="27"/>
  </w:num>
  <w:num w:numId="32">
    <w:abstractNumId w:val="25"/>
  </w:num>
  <w:num w:numId="33">
    <w:abstractNumId w:val="7"/>
  </w:num>
  <w:num w:numId="34">
    <w:abstractNumId w:val="14"/>
  </w:num>
  <w:num w:numId="35">
    <w:abstractNumId w:val="24"/>
  </w:num>
  <w:num w:numId="36">
    <w:abstractNumId w:val="13"/>
  </w:num>
  <w:num w:numId="37">
    <w:abstractNumId w:val="21"/>
  </w:num>
  <w:num w:numId="38">
    <w:abstractNumId w:val="18"/>
  </w:num>
  <w:num w:numId="39">
    <w:abstractNumId w:val="20"/>
  </w:num>
  <w:num w:numId="40">
    <w:abstractNumId w:val="15"/>
  </w:num>
  <w:num w:numId="4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F8"/>
    <w:rsid w:val="00000056"/>
    <w:rsid w:val="00000355"/>
    <w:rsid w:val="00000993"/>
    <w:rsid w:val="00000EB3"/>
    <w:rsid w:val="00000FB5"/>
    <w:rsid w:val="000012E5"/>
    <w:rsid w:val="000013BA"/>
    <w:rsid w:val="00001C4C"/>
    <w:rsid w:val="00001F90"/>
    <w:rsid w:val="00002174"/>
    <w:rsid w:val="000026B5"/>
    <w:rsid w:val="00002771"/>
    <w:rsid w:val="000030BA"/>
    <w:rsid w:val="00003956"/>
    <w:rsid w:val="00003C34"/>
    <w:rsid w:val="00003F8A"/>
    <w:rsid w:val="000043E7"/>
    <w:rsid w:val="000044DB"/>
    <w:rsid w:val="00004B18"/>
    <w:rsid w:val="000050A8"/>
    <w:rsid w:val="0000543A"/>
    <w:rsid w:val="0000547D"/>
    <w:rsid w:val="000057E2"/>
    <w:rsid w:val="00005974"/>
    <w:rsid w:val="00005A92"/>
    <w:rsid w:val="000066E3"/>
    <w:rsid w:val="00006AB2"/>
    <w:rsid w:val="00006BC0"/>
    <w:rsid w:val="0000726A"/>
    <w:rsid w:val="000075A8"/>
    <w:rsid w:val="000079B3"/>
    <w:rsid w:val="0001028A"/>
    <w:rsid w:val="00010F3B"/>
    <w:rsid w:val="00011A10"/>
    <w:rsid w:val="00011D42"/>
    <w:rsid w:val="00012498"/>
    <w:rsid w:val="000126E2"/>
    <w:rsid w:val="00012C76"/>
    <w:rsid w:val="00012F02"/>
    <w:rsid w:val="00012FDA"/>
    <w:rsid w:val="0001347C"/>
    <w:rsid w:val="00013DA5"/>
    <w:rsid w:val="00013DD7"/>
    <w:rsid w:val="00014287"/>
    <w:rsid w:val="00014807"/>
    <w:rsid w:val="00014B05"/>
    <w:rsid w:val="00014EC7"/>
    <w:rsid w:val="00015043"/>
    <w:rsid w:val="00015104"/>
    <w:rsid w:val="000154AE"/>
    <w:rsid w:val="00015B2B"/>
    <w:rsid w:val="00015BF3"/>
    <w:rsid w:val="0001604B"/>
    <w:rsid w:val="00016073"/>
    <w:rsid w:val="00016282"/>
    <w:rsid w:val="0001659F"/>
    <w:rsid w:val="000165F6"/>
    <w:rsid w:val="0001673F"/>
    <w:rsid w:val="00016C84"/>
    <w:rsid w:val="00017049"/>
    <w:rsid w:val="00017586"/>
    <w:rsid w:val="00017AFF"/>
    <w:rsid w:val="00017B03"/>
    <w:rsid w:val="00017EF9"/>
    <w:rsid w:val="00020AAD"/>
    <w:rsid w:val="00020FE5"/>
    <w:rsid w:val="00021528"/>
    <w:rsid w:val="00021707"/>
    <w:rsid w:val="00022DBC"/>
    <w:rsid w:val="00022F74"/>
    <w:rsid w:val="0002301E"/>
    <w:rsid w:val="000231E4"/>
    <w:rsid w:val="0002389B"/>
    <w:rsid w:val="00023960"/>
    <w:rsid w:val="00023EFD"/>
    <w:rsid w:val="00024071"/>
    <w:rsid w:val="0002531A"/>
    <w:rsid w:val="00025365"/>
    <w:rsid w:val="00025A09"/>
    <w:rsid w:val="000264A4"/>
    <w:rsid w:val="00026570"/>
    <w:rsid w:val="00026640"/>
    <w:rsid w:val="00026B19"/>
    <w:rsid w:val="00026D4F"/>
    <w:rsid w:val="00027736"/>
    <w:rsid w:val="00027AF5"/>
    <w:rsid w:val="00027BE0"/>
    <w:rsid w:val="00027C40"/>
    <w:rsid w:val="00027C5B"/>
    <w:rsid w:val="00027CDC"/>
    <w:rsid w:val="00030B2C"/>
    <w:rsid w:val="00030DE0"/>
    <w:rsid w:val="00030E79"/>
    <w:rsid w:val="00030E81"/>
    <w:rsid w:val="000319AD"/>
    <w:rsid w:val="00032220"/>
    <w:rsid w:val="0003285B"/>
    <w:rsid w:val="00032F96"/>
    <w:rsid w:val="000340F4"/>
    <w:rsid w:val="00034931"/>
    <w:rsid w:val="00034ED4"/>
    <w:rsid w:val="00034FE4"/>
    <w:rsid w:val="0003522E"/>
    <w:rsid w:val="00035602"/>
    <w:rsid w:val="00035C92"/>
    <w:rsid w:val="00035D06"/>
    <w:rsid w:val="00035E24"/>
    <w:rsid w:val="00036147"/>
    <w:rsid w:val="00036754"/>
    <w:rsid w:val="000367C1"/>
    <w:rsid w:val="00037077"/>
    <w:rsid w:val="000371D7"/>
    <w:rsid w:val="000376B7"/>
    <w:rsid w:val="00037E05"/>
    <w:rsid w:val="00037E78"/>
    <w:rsid w:val="000402F1"/>
    <w:rsid w:val="0004057A"/>
    <w:rsid w:val="00040625"/>
    <w:rsid w:val="000407D5"/>
    <w:rsid w:val="00040AD8"/>
    <w:rsid w:val="00040F89"/>
    <w:rsid w:val="000412CA"/>
    <w:rsid w:val="000413F4"/>
    <w:rsid w:val="00041C64"/>
    <w:rsid w:val="00041E17"/>
    <w:rsid w:val="00041E1C"/>
    <w:rsid w:val="000425E9"/>
    <w:rsid w:val="000426CE"/>
    <w:rsid w:val="0004288F"/>
    <w:rsid w:val="00042B1A"/>
    <w:rsid w:val="00043136"/>
    <w:rsid w:val="000437C9"/>
    <w:rsid w:val="00043C65"/>
    <w:rsid w:val="00043E17"/>
    <w:rsid w:val="00044409"/>
    <w:rsid w:val="000444D3"/>
    <w:rsid w:val="000448DF"/>
    <w:rsid w:val="000451A2"/>
    <w:rsid w:val="00045D34"/>
    <w:rsid w:val="00045F68"/>
    <w:rsid w:val="00045FCB"/>
    <w:rsid w:val="00046345"/>
    <w:rsid w:val="0004680E"/>
    <w:rsid w:val="000469B2"/>
    <w:rsid w:val="00047BC9"/>
    <w:rsid w:val="0005014E"/>
    <w:rsid w:val="0005069C"/>
    <w:rsid w:val="000513BC"/>
    <w:rsid w:val="00051D03"/>
    <w:rsid w:val="000524BE"/>
    <w:rsid w:val="00052B93"/>
    <w:rsid w:val="0005333D"/>
    <w:rsid w:val="000537D1"/>
    <w:rsid w:val="000539BA"/>
    <w:rsid w:val="00055418"/>
    <w:rsid w:val="00055A63"/>
    <w:rsid w:val="00055ABE"/>
    <w:rsid w:val="00056100"/>
    <w:rsid w:val="00056469"/>
    <w:rsid w:val="00056FB5"/>
    <w:rsid w:val="000573DD"/>
    <w:rsid w:val="000573FC"/>
    <w:rsid w:val="0005755C"/>
    <w:rsid w:val="00057E03"/>
    <w:rsid w:val="00060B63"/>
    <w:rsid w:val="000619D7"/>
    <w:rsid w:val="00061B5A"/>
    <w:rsid w:val="00061CFF"/>
    <w:rsid w:val="000620A6"/>
    <w:rsid w:val="0006218D"/>
    <w:rsid w:val="00062343"/>
    <w:rsid w:val="0006240E"/>
    <w:rsid w:val="00062446"/>
    <w:rsid w:val="000627C2"/>
    <w:rsid w:val="00062C02"/>
    <w:rsid w:val="00063058"/>
    <w:rsid w:val="00063339"/>
    <w:rsid w:val="00063993"/>
    <w:rsid w:val="00064280"/>
    <w:rsid w:val="00064522"/>
    <w:rsid w:val="000649A0"/>
    <w:rsid w:val="00064F06"/>
    <w:rsid w:val="00064F7B"/>
    <w:rsid w:val="000652F2"/>
    <w:rsid w:val="00065503"/>
    <w:rsid w:val="0006554B"/>
    <w:rsid w:val="0006565B"/>
    <w:rsid w:val="00066422"/>
    <w:rsid w:val="00066B13"/>
    <w:rsid w:val="000670BA"/>
    <w:rsid w:val="00067668"/>
    <w:rsid w:val="0006781D"/>
    <w:rsid w:val="000702AE"/>
    <w:rsid w:val="000707D8"/>
    <w:rsid w:val="00070D5E"/>
    <w:rsid w:val="000715EB"/>
    <w:rsid w:val="00071964"/>
    <w:rsid w:val="00071F9D"/>
    <w:rsid w:val="00072076"/>
    <w:rsid w:val="000721CA"/>
    <w:rsid w:val="00072FC6"/>
    <w:rsid w:val="00073070"/>
    <w:rsid w:val="000730BB"/>
    <w:rsid w:val="000733B1"/>
    <w:rsid w:val="00073826"/>
    <w:rsid w:val="00073D03"/>
    <w:rsid w:val="000740DE"/>
    <w:rsid w:val="000741BC"/>
    <w:rsid w:val="00074537"/>
    <w:rsid w:val="00074C23"/>
    <w:rsid w:val="00074E03"/>
    <w:rsid w:val="00074EDE"/>
    <w:rsid w:val="00074FA7"/>
    <w:rsid w:val="00075AA1"/>
    <w:rsid w:val="000762EE"/>
    <w:rsid w:val="00076FAC"/>
    <w:rsid w:val="000773CB"/>
    <w:rsid w:val="00077427"/>
    <w:rsid w:val="00080894"/>
    <w:rsid w:val="00080DDC"/>
    <w:rsid w:val="00080FAA"/>
    <w:rsid w:val="00081069"/>
    <w:rsid w:val="000813A7"/>
    <w:rsid w:val="0008143F"/>
    <w:rsid w:val="00081A9C"/>
    <w:rsid w:val="0008204E"/>
    <w:rsid w:val="000822BE"/>
    <w:rsid w:val="000823E0"/>
    <w:rsid w:val="00082537"/>
    <w:rsid w:val="00083716"/>
    <w:rsid w:val="0008384C"/>
    <w:rsid w:val="00083D6C"/>
    <w:rsid w:val="00083DC9"/>
    <w:rsid w:val="00084068"/>
    <w:rsid w:val="00084449"/>
    <w:rsid w:val="00084839"/>
    <w:rsid w:val="000848E8"/>
    <w:rsid w:val="00084ABB"/>
    <w:rsid w:val="000852EB"/>
    <w:rsid w:val="0008569C"/>
    <w:rsid w:val="0008592D"/>
    <w:rsid w:val="00085ABB"/>
    <w:rsid w:val="00086062"/>
    <w:rsid w:val="00086310"/>
    <w:rsid w:val="0008633A"/>
    <w:rsid w:val="00086FBA"/>
    <w:rsid w:val="00087509"/>
    <w:rsid w:val="00087D17"/>
    <w:rsid w:val="000900FA"/>
    <w:rsid w:val="00091FCA"/>
    <w:rsid w:val="00092BD8"/>
    <w:rsid w:val="00092BE8"/>
    <w:rsid w:val="00092DCF"/>
    <w:rsid w:val="00093811"/>
    <w:rsid w:val="00093D52"/>
    <w:rsid w:val="00093F6B"/>
    <w:rsid w:val="000941A6"/>
    <w:rsid w:val="00094862"/>
    <w:rsid w:val="00094C75"/>
    <w:rsid w:val="00094D8D"/>
    <w:rsid w:val="00095152"/>
    <w:rsid w:val="0009526C"/>
    <w:rsid w:val="000954FD"/>
    <w:rsid w:val="00095FCD"/>
    <w:rsid w:val="000962A9"/>
    <w:rsid w:val="00096C79"/>
    <w:rsid w:val="00096CCC"/>
    <w:rsid w:val="000972C4"/>
    <w:rsid w:val="000975E2"/>
    <w:rsid w:val="0009763E"/>
    <w:rsid w:val="000979CE"/>
    <w:rsid w:val="00097A4B"/>
    <w:rsid w:val="00097A4E"/>
    <w:rsid w:val="00097D3D"/>
    <w:rsid w:val="00097E90"/>
    <w:rsid w:val="00097E9C"/>
    <w:rsid w:val="000A0006"/>
    <w:rsid w:val="000A019A"/>
    <w:rsid w:val="000A0475"/>
    <w:rsid w:val="000A05F4"/>
    <w:rsid w:val="000A0915"/>
    <w:rsid w:val="000A0F06"/>
    <w:rsid w:val="000A0F36"/>
    <w:rsid w:val="000A1B4B"/>
    <w:rsid w:val="000A1BEF"/>
    <w:rsid w:val="000A1C41"/>
    <w:rsid w:val="000A1CA4"/>
    <w:rsid w:val="000A1DD6"/>
    <w:rsid w:val="000A255D"/>
    <w:rsid w:val="000A2D1F"/>
    <w:rsid w:val="000A3544"/>
    <w:rsid w:val="000A368F"/>
    <w:rsid w:val="000A387C"/>
    <w:rsid w:val="000A3FE3"/>
    <w:rsid w:val="000A4387"/>
    <w:rsid w:val="000A44C5"/>
    <w:rsid w:val="000A480B"/>
    <w:rsid w:val="000A4BC1"/>
    <w:rsid w:val="000A540F"/>
    <w:rsid w:val="000A5614"/>
    <w:rsid w:val="000A59FA"/>
    <w:rsid w:val="000A6761"/>
    <w:rsid w:val="000A6B83"/>
    <w:rsid w:val="000A6BC2"/>
    <w:rsid w:val="000A6EE3"/>
    <w:rsid w:val="000A705A"/>
    <w:rsid w:val="000A7525"/>
    <w:rsid w:val="000A760C"/>
    <w:rsid w:val="000A776B"/>
    <w:rsid w:val="000A7B76"/>
    <w:rsid w:val="000B0BE7"/>
    <w:rsid w:val="000B0CD1"/>
    <w:rsid w:val="000B11B7"/>
    <w:rsid w:val="000B165E"/>
    <w:rsid w:val="000B1925"/>
    <w:rsid w:val="000B1FCD"/>
    <w:rsid w:val="000B208D"/>
    <w:rsid w:val="000B2C0E"/>
    <w:rsid w:val="000B2E04"/>
    <w:rsid w:val="000B31E0"/>
    <w:rsid w:val="000B3EE6"/>
    <w:rsid w:val="000B3F80"/>
    <w:rsid w:val="000B3FB1"/>
    <w:rsid w:val="000B4C5C"/>
    <w:rsid w:val="000B4DE1"/>
    <w:rsid w:val="000B4FE1"/>
    <w:rsid w:val="000B52B8"/>
    <w:rsid w:val="000B5C4C"/>
    <w:rsid w:val="000B5D8E"/>
    <w:rsid w:val="000B6408"/>
    <w:rsid w:val="000B6CC1"/>
    <w:rsid w:val="000B727E"/>
    <w:rsid w:val="000B79E7"/>
    <w:rsid w:val="000C01C1"/>
    <w:rsid w:val="000C0823"/>
    <w:rsid w:val="000C0C79"/>
    <w:rsid w:val="000C1709"/>
    <w:rsid w:val="000C214D"/>
    <w:rsid w:val="000C260A"/>
    <w:rsid w:val="000C2711"/>
    <w:rsid w:val="000C299F"/>
    <w:rsid w:val="000C3207"/>
    <w:rsid w:val="000C3625"/>
    <w:rsid w:val="000C378C"/>
    <w:rsid w:val="000C3A36"/>
    <w:rsid w:val="000C3C5D"/>
    <w:rsid w:val="000C3FB5"/>
    <w:rsid w:val="000C47A0"/>
    <w:rsid w:val="000C4A71"/>
    <w:rsid w:val="000C4C96"/>
    <w:rsid w:val="000C4E8F"/>
    <w:rsid w:val="000C4EDC"/>
    <w:rsid w:val="000C4F65"/>
    <w:rsid w:val="000C4FB9"/>
    <w:rsid w:val="000C5D0F"/>
    <w:rsid w:val="000C5D47"/>
    <w:rsid w:val="000C60C2"/>
    <w:rsid w:val="000C6640"/>
    <w:rsid w:val="000C6956"/>
    <w:rsid w:val="000C700A"/>
    <w:rsid w:val="000C70A5"/>
    <w:rsid w:val="000C719A"/>
    <w:rsid w:val="000C745B"/>
    <w:rsid w:val="000C7D38"/>
    <w:rsid w:val="000C7DB3"/>
    <w:rsid w:val="000D05A8"/>
    <w:rsid w:val="000D0BBB"/>
    <w:rsid w:val="000D0C43"/>
    <w:rsid w:val="000D0C73"/>
    <w:rsid w:val="000D120F"/>
    <w:rsid w:val="000D1B78"/>
    <w:rsid w:val="000D1E40"/>
    <w:rsid w:val="000D22D4"/>
    <w:rsid w:val="000D250C"/>
    <w:rsid w:val="000D2E6A"/>
    <w:rsid w:val="000D3034"/>
    <w:rsid w:val="000D336E"/>
    <w:rsid w:val="000D39DB"/>
    <w:rsid w:val="000D3BC9"/>
    <w:rsid w:val="000D47A6"/>
    <w:rsid w:val="000D4D79"/>
    <w:rsid w:val="000D507D"/>
    <w:rsid w:val="000D51B5"/>
    <w:rsid w:val="000D58CD"/>
    <w:rsid w:val="000D6107"/>
    <w:rsid w:val="000D66C0"/>
    <w:rsid w:val="000D6887"/>
    <w:rsid w:val="000D6FCE"/>
    <w:rsid w:val="000D720C"/>
    <w:rsid w:val="000D7673"/>
    <w:rsid w:val="000E02F6"/>
    <w:rsid w:val="000E036C"/>
    <w:rsid w:val="000E050C"/>
    <w:rsid w:val="000E072C"/>
    <w:rsid w:val="000E095C"/>
    <w:rsid w:val="000E0961"/>
    <w:rsid w:val="000E0D94"/>
    <w:rsid w:val="000E10A5"/>
    <w:rsid w:val="000E1C81"/>
    <w:rsid w:val="000E2216"/>
    <w:rsid w:val="000E2D22"/>
    <w:rsid w:val="000E2ECC"/>
    <w:rsid w:val="000E385B"/>
    <w:rsid w:val="000E432F"/>
    <w:rsid w:val="000E4531"/>
    <w:rsid w:val="000E461D"/>
    <w:rsid w:val="000E56B3"/>
    <w:rsid w:val="000E582A"/>
    <w:rsid w:val="000E591A"/>
    <w:rsid w:val="000E5D74"/>
    <w:rsid w:val="000E5FCB"/>
    <w:rsid w:val="000E61ED"/>
    <w:rsid w:val="000E660E"/>
    <w:rsid w:val="000E6C2D"/>
    <w:rsid w:val="000E6D03"/>
    <w:rsid w:val="000E713B"/>
    <w:rsid w:val="000E71D6"/>
    <w:rsid w:val="000E7ADD"/>
    <w:rsid w:val="000F039F"/>
    <w:rsid w:val="000F07FF"/>
    <w:rsid w:val="000F0B9E"/>
    <w:rsid w:val="000F0FA6"/>
    <w:rsid w:val="000F13AF"/>
    <w:rsid w:val="000F13C6"/>
    <w:rsid w:val="000F13D4"/>
    <w:rsid w:val="000F162A"/>
    <w:rsid w:val="000F17A2"/>
    <w:rsid w:val="000F2C3C"/>
    <w:rsid w:val="000F2E2C"/>
    <w:rsid w:val="000F2E9D"/>
    <w:rsid w:val="000F3421"/>
    <w:rsid w:val="000F3694"/>
    <w:rsid w:val="000F3E3B"/>
    <w:rsid w:val="000F4130"/>
    <w:rsid w:val="000F498B"/>
    <w:rsid w:val="000F5043"/>
    <w:rsid w:val="000F513A"/>
    <w:rsid w:val="000F5258"/>
    <w:rsid w:val="000F585F"/>
    <w:rsid w:val="000F5A07"/>
    <w:rsid w:val="000F5E56"/>
    <w:rsid w:val="000F6679"/>
    <w:rsid w:val="000F6C13"/>
    <w:rsid w:val="000F6C96"/>
    <w:rsid w:val="000F6D2A"/>
    <w:rsid w:val="000F6E7A"/>
    <w:rsid w:val="000F743E"/>
    <w:rsid w:val="000F7480"/>
    <w:rsid w:val="000F75E3"/>
    <w:rsid w:val="000F7BE3"/>
    <w:rsid w:val="000F7C88"/>
    <w:rsid w:val="000F7F66"/>
    <w:rsid w:val="001003D3"/>
    <w:rsid w:val="00100BC5"/>
    <w:rsid w:val="00100E1A"/>
    <w:rsid w:val="001013C0"/>
    <w:rsid w:val="0010241A"/>
    <w:rsid w:val="00103366"/>
    <w:rsid w:val="00103952"/>
    <w:rsid w:val="001042C1"/>
    <w:rsid w:val="0010443B"/>
    <w:rsid w:val="001046E8"/>
    <w:rsid w:val="001047B9"/>
    <w:rsid w:val="001057C3"/>
    <w:rsid w:val="00105BCC"/>
    <w:rsid w:val="00106730"/>
    <w:rsid w:val="0010679D"/>
    <w:rsid w:val="00106828"/>
    <w:rsid w:val="0010688A"/>
    <w:rsid w:val="00106B70"/>
    <w:rsid w:val="0010764B"/>
    <w:rsid w:val="00107655"/>
    <w:rsid w:val="00107A7E"/>
    <w:rsid w:val="00107F1E"/>
    <w:rsid w:val="001100FA"/>
    <w:rsid w:val="001105CF"/>
    <w:rsid w:val="001110E8"/>
    <w:rsid w:val="0011181A"/>
    <w:rsid w:val="00111A13"/>
    <w:rsid w:val="00111D44"/>
    <w:rsid w:val="00111FF9"/>
    <w:rsid w:val="001121F1"/>
    <w:rsid w:val="00112874"/>
    <w:rsid w:val="00112E32"/>
    <w:rsid w:val="00112F79"/>
    <w:rsid w:val="0011349E"/>
    <w:rsid w:val="00113BB6"/>
    <w:rsid w:val="001141AD"/>
    <w:rsid w:val="00114E67"/>
    <w:rsid w:val="00114EAF"/>
    <w:rsid w:val="00115003"/>
    <w:rsid w:val="001151B1"/>
    <w:rsid w:val="001152BF"/>
    <w:rsid w:val="001153BD"/>
    <w:rsid w:val="001157A4"/>
    <w:rsid w:val="00115AD3"/>
    <w:rsid w:val="00115C7F"/>
    <w:rsid w:val="00115C95"/>
    <w:rsid w:val="00115E7E"/>
    <w:rsid w:val="0011689C"/>
    <w:rsid w:val="00116B54"/>
    <w:rsid w:val="0011722A"/>
    <w:rsid w:val="00117524"/>
    <w:rsid w:val="00117684"/>
    <w:rsid w:val="001177AB"/>
    <w:rsid w:val="00117940"/>
    <w:rsid w:val="0012081A"/>
    <w:rsid w:val="001208C3"/>
    <w:rsid w:val="001208D5"/>
    <w:rsid w:val="00120C19"/>
    <w:rsid w:val="00120D28"/>
    <w:rsid w:val="00120FEA"/>
    <w:rsid w:val="001214B6"/>
    <w:rsid w:val="00121748"/>
    <w:rsid w:val="00121761"/>
    <w:rsid w:val="0012185F"/>
    <w:rsid w:val="001219B7"/>
    <w:rsid w:val="00121D19"/>
    <w:rsid w:val="00121EE8"/>
    <w:rsid w:val="00122222"/>
    <w:rsid w:val="00122330"/>
    <w:rsid w:val="00122527"/>
    <w:rsid w:val="00122B7D"/>
    <w:rsid w:val="00122D7F"/>
    <w:rsid w:val="001230D0"/>
    <w:rsid w:val="001235AB"/>
    <w:rsid w:val="00123FD7"/>
    <w:rsid w:val="00124185"/>
    <w:rsid w:val="0012419C"/>
    <w:rsid w:val="00124EA6"/>
    <w:rsid w:val="0012546E"/>
    <w:rsid w:val="00125667"/>
    <w:rsid w:val="001259F0"/>
    <w:rsid w:val="00125A9A"/>
    <w:rsid w:val="00125C31"/>
    <w:rsid w:val="00126128"/>
    <w:rsid w:val="001267C4"/>
    <w:rsid w:val="0012681B"/>
    <w:rsid w:val="00126C4A"/>
    <w:rsid w:val="00126E3D"/>
    <w:rsid w:val="001271E9"/>
    <w:rsid w:val="00127230"/>
    <w:rsid w:val="00127573"/>
    <w:rsid w:val="001276DE"/>
    <w:rsid w:val="001304F5"/>
    <w:rsid w:val="00131DBC"/>
    <w:rsid w:val="00132E6C"/>
    <w:rsid w:val="001330B5"/>
    <w:rsid w:val="001336E1"/>
    <w:rsid w:val="001337B6"/>
    <w:rsid w:val="00133D62"/>
    <w:rsid w:val="001346CE"/>
    <w:rsid w:val="00134BA7"/>
    <w:rsid w:val="00135028"/>
    <w:rsid w:val="00135A8A"/>
    <w:rsid w:val="00135ACF"/>
    <w:rsid w:val="00136030"/>
    <w:rsid w:val="0013742A"/>
    <w:rsid w:val="00137721"/>
    <w:rsid w:val="001403BE"/>
    <w:rsid w:val="001410F1"/>
    <w:rsid w:val="001413F9"/>
    <w:rsid w:val="001416B8"/>
    <w:rsid w:val="0014175A"/>
    <w:rsid w:val="0014199B"/>
    <w:rsid w:val="00141E84"/>
    <w:rsid w:val="001431AE"/>
    <w:rsid w:val="001434E1"/>
    <w:rsid w:val="001435BC"/>
    <w:rsid w:val="001437BB"/>
    <w:rsid w:val="00143B8B"/>
    <w:rsid w:val="001441BB"/>
    <w:rsid w:val="0014434B"/>
    <w:rsid w:val="00144991"/>
    <w:rsid w:val="00144A3E"/>
    <w:rsid w:val="00144B47"/>
    <w:rsid w:val="00144BF0"/>
    <w:rsid w:val="00146367"/>
    <w:rsid w:val="0014683B"/>
    <w:rsid w:val="001474A5"/>
    <w:rsid w:val="001477FC"/>
    <w:rsid w:val="00147814"/>
    <w:rsid w:val="00147B18"/>
    <w:rsid w:val="00147E56"/>
    <w:rsid w:val="00150002"/>
    <w:rsid w:val="001501AC"/>
    <w:rsid w:val="00150F96"/>
    <w:rsid w:val="00151111"/>
    <w:rsid w:val="0015149D"/>
    <w:rsid w:val="00151801"/>
    <w:rsid w:val="00151888"/>
    <w:rsid w:val="00151A8C"/>
    <w:rsid w:val="00151C7C"/>
    <w:rsid w:val="00151EBA"/>
    <w:rsid w:val="00151F80"/>
    <w:rsid w:val="00151F9B"/>
    <w:rsid w:val="0015217D"/>
    <w:rsid w:val="0015226A"/>
    <w:rsid w:val="00152273"/>
    <w:rsid w:val="001523CB"/>
    <w:rsid w:val="0015271F"/>
    <w:rsid w:val="00152948"/>
    <w:rsid w:val="00152A9E"/>
    <w:rsid w:val="00152DC7"/>
    <w:rsid w:val="001532A5"/>
    <w:rsid w:val="0015384F"/>
    <w:rsid w:val="00154424"/>
    <w:rsid w:val="001546C5"/>
    <w:rsid w:val="00154712"/>
    <w:rsid w:val="0015474F"/>
    <w:rsid w:val="00154A79"/>
    <w:rsid w:val="00155279"/>
    <w:rsid w:val="00155D3A"/>
    <w:rsid w:val="001560F3"/>
    <w:rsid w:val="00156320"/>
    <w:rsid w:val="00156BF6"/>
    <w:rsid w:val="00156E92"/>
    <w:rsid w:val="00156F7A"/>
    <w:rsid w:val="0015745A"/>
    <w:rsid w:val="00157545"/>
    <w:rsid w:val="00157803"/>
    <w:rsid w:val="00157899"/>
    <w:rsid w:val="0016081D"/>
    <w:rsid w:val="00160A92"/>
    <w:rsid w:val="00160F55"/>
    <w:rsid w:val="001616E3"/>
    <w:rsid w:val="00161F45"/>
    <w:rsid w:val="0016269A"/>
    <w:rsid w:val="00162ADB"/>
    <w:rsid w:val="00163869"/>
    <w:rsid w:val="001639E5"/>
    <w:rsid w:val="00163BFB"/>
    <w:rsid w:val="00163CE6"/>
    <w:rsid w:val="00163E61"/>
    <w:rsid w:val="001642D7"/>
    <w:rsid w:val="00164466"/>
    <w:rsid w:val="0016455F"/>
    <w:rsid w:val="001645C4"/>
    <w:rsid w:val="001648A2"/>
    <w:rsid w:val="00164E2A"/>
    <w:rsid w:val="00165654"/>
    <w:rsid w:val="00165CAC"/>
    <w:rsid w:val="00166FCF"/>
    <w:rsid w:val="00167136"/>
    <w:rsid w:val="00167421"/>
    <w:rsid w:val="001675E9"/>
    <w:rsid w:val="001676C5"/>
    <w:rsid w:val="00167F24"/>
    <w:rsid w:val="00170097"/>
    <w:rsid w:val="001700BB"/>
    <w:rsid w:val="00170331"/>
    <w:rsid w:val="001703C6"/>
    <w:rsid w:val="00170E4A"/>
    <w:rsid w:val="001714F4"/>
    <w:rsid w:val="001715EF"/>
    <w:rsid w:val="00171653"/>
    <w:rsid w:val="001718BA"/>
    <w:rsid w:val="00171E4D"/>
    <w:rsid w:val="001722D5"/>
    <w:rsid w:val="00172347"/>
    <w:rsid w:val="00172557"/>
    <w:rsid w:val="001728C9"/>
    <w:rsid w:val="00172AA6"/>
    <w:rsid w:val="00172CE8"/>
    <w:rsid w:val="00172EAC"/>
    <w:rsid w:val="00173168"/>
    <w:rsid w:val="001733E1"/>
    <w:rsid w:val="00173560"/>
    <w:rsid w:val="00173A3B"/>
    <w:rsid w:val="00173C8C"/>
    <w:rsid w:val="00173D03"/>
    <w:rsid w:val="00174522"/>
    <w:rsid w:val="00174886"/>
    <w:rsid w:val="00174AA8"/>
    <w:rsid w:val="00174BD1"/>
    <w:rsid w:val="00174D61"/>
    <w:rsid w:val="00175150"/>
    <w:rsid w:val="0017539E"/>
    <w:rsid w:val="0017591B"/>
    <w:rsid w:val="001760D6"/>
    <w:rsid w:val="001762DA"/>
    <w:rsid w:val="00176E93"/>
    <w:rsid w:val="00176F3A"/>
    <w:rsid w:val="00176FA2"/>
    <w:rsid w:val="00177D57"/>
    <w:rsid w:val="00180102"/>
    <w:rsid w:val="00180752"/>
    <w:rsid w:val="00180900"/>
    <w:rsid w:val="00180F44"/>
    <w:rsid w:val="001814CD"/>
    <w:rsid w:val="00181AA1"/>
    <w:rsid w:val="00181BA2"/>
    <w:rsid w:val="00181D46"/>
    <w:rsid w:val="00181E6A"/>
    <w:rsid w:val="001826F6"/>
    <w:rsid w:val="0018291F"/>
    <w:rsid w:val="0018297E"/>
    <w:rsid w:val="00182BA3"/>
    <w:rsid w:val="00182D37"/>
    <w:rsid w:val="001833FD"/>
    <w:rsid w:val="0018402B"/>
    <w:rsid w:val="00184099"/>
    <w:rsid w:val="001841F1"/>
    <w:rsid w:val="00184418"/>
    <w:rsid w:val="001845EF"/>
    <w:rsid w:val="00184947"/>
    <w:rsid w:val="00184D42"/>
    <w:rsid w:val="00184DAD"/>
    <w:rsid w:val="00184FCF"/>
    <w:rsid w:val="0018551E"/>
    <w:rsid w:val="00185773"/>
    <w:rsid w:val="00185D0E"/>
    <w:rsid w:val="001861CC"/>
    <w:rsid w:val="001864C7"/>
    <w:rsid w:val="00186A1E"/>
    <w:rsid w:val="00186A2B"/>
    <w:rsid w:val="00186BF5"/>
    <w:rsid w:val="00187E3A"/>
    <w:rsid w:val="0019008C"/>
    <w:rsid w:val="001909A5"/>
    <w:rsid w:val="00190AC9"/>
    <w:rsid w:val="001914FC"/>
    <w:rsid w:val="001914FD"/>
    <w:rsid w:val="0019196C"/>
    <w:rsid w:val="00191CAB"/>
    <w:rsid w:val="00191DC3"/>
    <w:rsid w:val="001921A9"/>
    <w:rsid w:val="001925DA"/>
    <w:rsid w:val="00192D23"/>
    <w:rsid w:val="00192D5B"/>
    <w:rsid w:val="001934E2"/>
    <w:rsid w:val="00193A72"/>
    <w:rsid w:val="00193D93"/>
    <w:rsid w:val="00193E01"/>
    <w:rsid w:val="0019408B"/>
    <w:rsid w:val="00194278"/>
    <w:rsid w:val="00194393"/>
    <w:rsid w:val="001947E5"/>
    <w:rsid w:val="00194E9C"/>
    <w:rsid w:val="0019533D"/>
    <w:rsid w:val="001954EA"/>
    <w:rsid w:val="0019554E"/>
    <w:rsid w:val="00195F30"/>
    <w:rsid w:val="001967E8"/>
    <w:rsid w:val="00196B81"/>
    <w:rsid w:val="00196C70"/>
    <w:rsid w:val="00196F22"/>
    <w:rsid w:val="00196F7C"/>
    <w:rsid w:val="00197503"/>
    <w:rsid w:val="00197636"/>
    <w:rsid w:val="00197C14"/>
    <w:rsid w:val="00197CA5"/>
    <w:rsid w:val="001A011E"/>
    <w:rsid w:val="001A05EC"/>
    <w:rsid w:val="001A0FA9"/>
    <w:rsid w:val="001A1834"/>
    <w:rsid w:val="001A2260"/>
    <w:rsid w:val="001A228A"/>
    <w:rsid w:val="001A2461"/>
    <w:rsid w:val="001A2D5A"/>
    <w:rsid w:val="001A35E5"/>
    <w:rsid w:val="001A4E00"/>
    <w:rsid w:val="001A5075"/>
    <w:rsid w:val="001A5CE1"/>
    <w:rsid w:val="001A64F8"/>
    <w:rsid w:val="001A6C03"/>
    <w:rsid w:val="001A6C10"/>
    <w:rsid w:val="001A6C62"/>
    <w:rsid w:val="001A6CCA"/>
    <w:rsid w:val="001A7A3D"/>
    <w:rsid w:val="001A7C67"/>
    <w:rsid w:val="001A7CBA"/>
    <w:rsid w:val="001A7D43"/>
    <w:rsid w:val="001B0470"/>
    <w:rsid w:val="001B0D7B"/>
    <w:rsid w:val="001B0D81"/>
    <w:rsid w:val="001B14F3"/>
    <w:rsid w:val="001B1573"/>
    <w:rsid w:val="001B1731"/>
    <w:rsid w:val="001B1ACC"/>
    <w:rsid w:val="001B1B22"/>
    <w:rsid w:val="001B1B4F"/>
    <w:rsid w:val="001B1C80"/>
    <w:rsid w:val="001B1CE4"/>
    <w:rsid w:val="001B1F79"/>
    <w:rsid w:val="001B249D"/>
    <w:rsid w:val="001B269A"/>
    <w:rsid w:val="001B2A53"/>
    <w:rsid w:val="001B313F"/>
    <w:rsid w:val="001B403B"/>
    <w:rsid w:val="001B4E6A"/>
    <w:rsid w:val="001B4FFE"/>
    <w:rsid w:val="001B54D0"/>
    <w:rsid w:val="001B5922"/>
    <w:rsid w:val="001B5A7E"/>
    <w:rsid w:val="001B60DB"/>
    <w:rsid w:val="001B6116"/>
    <w:rsid w:val="001B64C8"/>
    <w:rsid w:val="001B684E"/>
    <w:rsid w:val="001B7053"/>
    <w:rsid w:val="001B76E5"/>
    <w:rsid w:val="001B7DB5"/>
    <w:rsid w:val="001C1352"/>
    <w:rsid w:val="001C1B9F"/>
    <w:rsid w:val="001C1BDF"/>
    <w:rsid w:val="001C228E"/>
    <w:rsid w:val="001C24E5"/>
    <w:rsid w:val="001C2F02"/>
    <w:rsid w:val="001C39AE"/>
    <w:rsid w:val="001C4F54"/>
    <w:rsid w:val="001C50A0"/>
    <w:rsid w:val="001C5791"/>
    <w:rsid w:val="001C5AB4"/>
    <w:rsid w:val="001C63FF"/>
    <w:rsid w:val="001C70E2"/>
    <w:rsid w:val="001C7515"/>
    <w:rsid w:val="001C76D6"/>
    <w:rsid w:val="001C7B9B"/>
    <w:rsid w:val="001C7E3A"/>
    <w:rsid w:val="001D00C6"/>
    <w:rsid w:val="001D0402"/>
    <w:rsid w:val="001D0548"/>
    <w:rsid w:val="001D08B6"/>
    <w:rsid w:val="001D0A3C"/>
    <w:rsid w:val="001D0B9D"/>
    <w:rsid w:val="001D0F23"/>
    <w:rsid w:val="001D12D4"/>
    <w:rsid w:val="001D1979"/>
    <w:rsid w:val="001D1AA0"/>
    <w:rsid w:val="001D1B14"/>
    <w:rsid w:val="001D1D0B"/>
    <w:rsid w:val="001D1E43"/>
    <w:rsid w:val="001D1FBD"/>
    <w:rsid w:val="001D30DA"/>
    <w:rsid w:val="001D31CB"/>
    <w:rsid w:val="001D38D9"/>
    <w:rsid w:val="001D3B99"/>
    <w:rsid w:val="001D487D"/>
    <w:rsid w:val="001D4CA1"/>
    <w:rsid w:val="001D571E"/>
    <w:rsid w:val="001D6594"/>
    <w:rsid w:val="001D6BF0"/>
    <w:rsid w:val="001D7607"/>
    <w:rsid w:val="001D79C8"/>
    <w:rsid w:val="001D7A01"/>
    <w:rsid w:val="001E04C6"/>
    <w:rsid w:val="001E10FD"/>
    <w:rsid w:val="001E15B6"/>
    <w:rsid w:val="001E17AB"/>
    <w:rsid w:val="001E219C"/>
    <w:rsid w:val="001E2D38"/>
    <w:rsid w:val="001E30DC"/>
    <w:rsid w:val="001E32C8"/>
    <w:rsid w:val="001E38C4"/>
    <w:rsid w:val="001E3AEA"/>
    <w:rsid w:val="001E3BA7"/>
    <w:rsid w:val="001E4228"/>
    <w:rsid w:val="001E458D"/>
    <w:rsid w:val="001E5155"/>
    <w:rsid w:val="001E5A28"/>
    <w:rsid w:val="001E5AFB"/>
    <w:rsid w:val="001E5E27"/>
    <w:rsid w:val="001E5EA4"/>
    <w:rsid w:val="001E5F66"/>
    <w:rsid w:val="001E6E35"/>
    <w:rsid w:val="001E72BA"/>
    <w:rsid w:val="001E72F9"/>
    <w:rsid w:val="001E73B2"/>
    <w:rsid w:val="001E77FE"/>
    <w:rsid w:val="001E7D98"/>
    <w:rsid w:val="001E7F66"/>
    <w:rsid w:val="001F000D"/>
    <w:rsid w:val="001F05CC"/>
    <w:rsid w:val="001F08F6"/>
    <w:rsid w:val="001F0AB1"/>
    <w:rsid w:val="001F186E"/>
    <w:rsid w:val="001F1FE3"/>
    <w:rsid w:val="001F208B"/>
    <w:rsid w:val="001F23A6"/>
    <w:rsid w:val="001F2439"/>
    <w:rsid w:val="001F2D9C"/>
    <w:rsid w:val="001F32F5"/>
    <w:rsid w:val="001F33E1"/>
    <w:rsid w:val="001F3B50"/>
    <w:rsid w:val="001F3EEB"/>
    <w:rsid w:val="001F450B"/>
    <w:rsid w:val="001F4953"/>
    <w:rsid w:val="001F4AB8"/>
    <w:rsid w:val="001F4E00"/>
    <w:rsid w:val="001F5196"/>
    <w:rsid w:val="001F5D89"/>
    <w:rsid w:val="001F5F8A"/>
    <w:rsid w:val="001F6265"/>
    <w:rsid w:val="001F6E83"/>
    <w:rsid w:val="001F71B4"/>
    <w:rsid w:val="001F790B"/>
    <w:rsid w:val="001F7959"/>
    <w:rsid w:val="001F7A1F"/>
    <w:rsid w:val="001F7F99"/>
    <w:rsid w:val="00200474"/>
    <w:rsid w:val="00200890"/>
    <w:rsid w:val="0020121B"/>
    <w:rsid w:val="00201448"/>
    <w:rsid w:val="002017A9"/>
    <w:rsid w:val="00201B7F"/>
    <w:rsid w:val="00201C25"/>
    <w:rsid w:val="00201E85"/>
    <w:rsid w:val="00202C38"/>
    <w:rsid w:val="00203052"/>
    <w:rsid w:val="00203E6C"/>
    <w:rsid w:val="0020425D"/>
    <w:rsid w:val="002052E2"/>
    <w:rsid w:val="0020571A"/>
    <w:rsid w:val="00205CF1"/>
    <w:rsid w:val="00206033"/>
    <w:rsid w:val="00206197"/>
    <w:rsid w:val="002063D4"/>
    <w:rsid w:val="0020735D"/>
    <w:rsid w:val="00207762"/>
    <w:rsid w:val="00207C7C"/>
    <w:rsid w:val="002113BF"/>
    <w:rsid w:val="00211A56"/>
    <w:rsid w:val="002124E2"/>
    <w:rsid w:val="002126BB"/>
    <w:rsid w:val="002126C1"/>
    <w:rsid w:val="00212CCA"/>
    <w:rsid w:val="00213923"/>
    <w:rsid w:val="00213E2E"/>
    <w:rsid w:val="00214860"/>
    <w:rsid w:val="002149D1"/>
    <w:rsid w:val="00214F14"/>
    <w:rsid w:val="002152AC"/>
    <w:rsid w:val="00215C18"/>
    <w:rsid w:val="00215DC0"/>
    <w:rsid w:val="00215F5D"/>
    <w:rsid w:val="00216009"/>
    <w:rsid w:val="00216344"/>
    <w:rsid w:val="00217466"/>
    <w:rsid w:val="00217790"/>
    <w:rsid w:val="00217C50"/>
    <w:rsid w:val="00220168"/>
    <w:rsid w:val="002210E7"/>
    <w:rsid w:val="0022145C"/>
    <w:rsid w:val="002217C3"/>
    <w:rsid w:val="00222153"/>
    <w:rsid w:val="00222348"/>
    <w:rsid w:val="00222391"/>
    <w:rsid w:val="002223EC"/>
    <w:rsid w:val="00222A90"/>
    <w:rsid w:val="002242DD"/>
    <w:rsid w:val="00224422"/>
    <w:rsid w:val="00224959"/>
    <w:rsid w:val="00224B66"/>
    <w:rsid w:val="00225B77"/>
    <w:rsid w:val="00225BFB"/>
    <w:rsid w:val="00225E25"/>
    <w:rsid w:val="00225EF3"/>
    <w:rsid w:val="00225FE4"/>
    <w:rsid w:val="00226328"/>
    <w:rsid w:val="002263C1"/>
    <w:rsid w:val="002265AD"/>
    <w:rsid w:val="00226815"/>
    <w:rsid w:val="00226C8D"/>
    <w:rsid w:val="00226D53"/>
    <w:rsid w:val="00227119"/>
    <w:rsid w:val="00227633"/>
    <w:rsid w:val="00227D05"/>
    <w:rsid w:val="00227F3C"/>
    <w:rsid w:val="00230555"/>
    <w:rsid w:val="00230BF2"/>
    <w:rsid w:val="00230DCC"/>
    <w:rsid w:val="002311F7"/>
    <w:rsid w:val="00231302"/>
    <w:rsid w:val="002318BD"/>
    <w:rsid w:val="00231914"/>
    <w:rsid w:val="00231B72"/>
    <w:rsid w:val="00231E98"/>
    <w:rsid w:val="00231EB1"/>
    <w:rsid w:val="00231EBB"/>
    <w:rsid w:val="00231FC0"/>
    <w:rsid w:val="002324A2"/>
    <w:rsid w:val="002329C3"/>
    <w:rsid w:val="00232E98"/>
    <w:rsid w:val="00232FD3"/>
    <w:rsid w:val="00232FE2"/>
    <w:rsid w:val="002331E8"/>
    <w:rsid w:val="00233EDD"/>
    <w:rsid w:val="00233F73"/>
    <w:rsid w:val="0023405C"/>
    <w:rsid w:val="002345C4"/>
    <w:rsid w:val="00234635"/>
    <w:rsid w:val="00234A80"/>
    <w:rsid w:val="00235467"/>
    <w:rsid w:val="00235481"/>
    <w:rsid w:val="002355D4"/>
    <w:rsid w:val="002355DD"/>
    <w:rsid w:val="00235737"/>
    <w:rsid w:val="00235944"/>
    <w:rsid w:val="00235FE7"/>
    <w:rsid w:val="0023663F"/>
    <w:rsid w:val="00236672"/>
    <w:rsid w:val="002367AB"/>
    <w:rsid w:val="00236FAE"/>
    <w:rsid w:val="00237337"/>
    <w:rsid w:val="00237AEA"/>
    <w:rsid w:val="00237B3E"/>
    <w:rsid w:val="00237C46"/>
    <w:rsid w:val="00240047"/>
    <w:rsid w:val="00240C82"/>
    <w:rsid w:val="0024104F"/>
    <w:rsid w:val="002414FC"/>
    <w:rsid w:val="00241F50"/>
    <w:rsid w:val="00241FFC"/>
    <w:rsid w:val="00242007"/>
    <w:rsid w:val="00242341"/>
    <w:rsid w:val="00242778"/>
    <w:rsid w:val="00242791"/>
    <w:rsid w:val="00242957"/>
    <w:rsid w:val="002433C4"/>
    <w:rsid w:val="00243714"/>
    <w:rsid w:val="00243E88"/>
    <w:rsid w:val="00244A51"/>
    <w:rsid w:val="00245A72"/>
    <w:rsid w:val="00245CD6"/>
    <w:rsid w:val="00245FEA"/>
    <w:rsid w:val="00246237"/>
    <w:rsid w:val="00246B08"/>
    <w:rsid w:val="00246BC8"/>
    <w:rsid w:val="00246DE1"/>
    <w:rsid w:val="002471E6"/>
    <w:rsid w:val="0024777D"/>
    <w:rsid w:val="002506E7"/>
    <w:rsid w:val="0025091A"/>
    <w:rsid w:val="00250C63"/>
    <w:rsid w:val="00250DBC"/>
    <w:rsid w:val="002510B1"/>
    <w:rsid w:val="00251182"/>
    <w:rsid w:val="002512F6"/>
    <w:rsid w:val="00251692"/>
    <w:rsid w:val="00251DC9"/>
    <w:rsid w:val="00252755"/>
    <w:rsid w:val="00252C88"/>
    <w:rsid w:val="0025351C"/>
    <w:rsid w:val="002535D8"/>
    <w:rsid w:val="0025397B"/>
    <w:rsid w:val="002543A6"/>
    <w:rsid w:val="00254AFC"/>
    <w:rsid w:val="00254F74"/>
    <w:rsid w:val="002554C8"/>
    <w:rsid w:val="00255535"/>
    <w:rsid w:val="00255DEE"/>
    <w:rsid w:val="0025631B"/>
    <w:rsid w:val="00256423"/>
    <w:rsid w:val="0025655D"/>
    <w:rsid w:val="00256B32"/>
    <w:rsid w:val="00256B6F"/>
    <w:rsid w:val="00256EE6"/>
    <w:rsid w:val="00256F43"/>
    <w:rsid w:val="00257B24"/>
    <w:rsid w:val="00257CDC"/>
    <w:rsid w:val="00260550"/>
    <w:rsid w:val="002607A7"/>
    <w:rsid w:val="00260885"/>
    <w:rsid w:val="00260DF6"/>
    <w:rsid w:val="00260FE9"/>
    <w:rsid w:val="002617B5"/>
    <w:rsid w:val="0026184C"/>
    <w:rsid w:val="00261DC8"/>
    <w:rsid w:val="00262016"/>
    <w:rsid w:val="0026222E"/>
    <w:rsid w:val="00262595"/>
    <w:rsid w:val="002625DB"/>
    <w:rsid w:val="00262854"/>
    <w:rsid w:val="00262E3E"/>
    <w:rsid w:val="002631CB"/>
    <w:rsid w:val="002635FA"/>
    <w:rsid w:val="00263667"/>
    <w:rsid w:val="002639DA"/>
    <w:rsid w:val="00263DB1"/>
    <w:rsid w:val="00263E1E"/>
    <w:rsid w:val="00264483"/>
    <w:rsid w:val="0026451B"/>
    <w:rsid w:val="0026480A"/>
    <w:rsid w:val="00264AE6"/>
    <w:rsid w:val="0026539D"/>
    <w:rsid w:val="002653C4"/>
    <w:rsid w:val="002658B7"/>
    <w:rsid w:val="002659B3"/>
    <w:rsid w:val="00265F4D"/>
    <w:rsid w:val="00266486"/>
    <w:rsid w:val="002664F0"/>
    <w:rsid w:val="00266B13"/>
    <w:rsid w:val="00267653"/>
    <w:rsid w:val="002676AB"/>
    <w:rsid w:val="0026776E"/>
    <w:rsid w:val="002678DD"/>
    <w:rsid w:val="00267E91"/>
    <w:rsid w:val="0027016F"/>
    <w:rsid w:val="0027032B"/>
    <w:rsid w:val="0027039E"/>
    <w:rsid w:val="002713C1"/>
    <w:rsid w:val="002717F0"/>
    <w:rsid w:val="00271CAF"/>
    <w:rsid w:val="00272079"/>
    <w:rsid w:val="00272966"/>
    <w:rsid w:val="00272B10"/>
    <w:rsid w:val="00273BEB"/>
    <w:rsid w:val="00274CD0"/>
    <w:rsid w:val="00275280"/>
    <w:rsid w:val="0027547A"/>
    <w:rsid w:val="002755A4"/>
    <w:rsid w:val="00275B2C"/>
    <w:rsid w:val="00275F94"/>
    <w:rsid w:val="002765F3"/>
    <w:rsid w:val="00276C5F"/>
    <w:rsid w:val="00276FAD"/>
    <w:rsid w:val="00276FF7"/>
    <w:rsid w:val="002770F7"/>
    <w:rsid w:val="002779D7"/>
    <w:rsid w:val="0028005B"/>
    <w:rsid w:val="0028037D"/>
    <w:rsid w:val="00280440"/>
    <w:rsid w:val="00280524"/>
    <w:rsid w:val="00280CDA"/>
    <w:rsid w:val="00280DC8"/>
    <w:rsid w:val="00280FFC"/>
    <w:rsid w:val="00281115"/>
    <w:rsid w:val="002820D0"/>
    <w:rsid w:val="0028231D"/>
    <w:rsid w:val="00282A71"/>
    <w:rsid w:val="00283743"/>
    <w:rsid w:val="00283E8A"/>
    <w:rsid w:val="002846FF"/>
    <w:rsid w:val="0028476B"/>
    <w:rsid w:val="00284D84"/>
    <w:rsid w:val="00285598"/>
    <w:rsid w:val="0028696A"/>
    <w:rsid w:val="00286B65"/>
    <w:rsid w:val="00286D34"/>
    <w:rsid w:val="0028719A"/>
    <w:rsid w:val="002871B8"/>
    <w:rsid w:val="00287909"/>
    <w:rsid w:val="0029024C"/>
    <w:rsid w:val="0029063C"/>
    <w:rsid w:val="00291B09"/>
    <w:rsid w:val="00291B37"/>
    <w:rsid w:val="00292863"/>
    <w:rsid w:val="00292A0F"/>
    <w:rsid w:val="00293260"/>
    <w:rsid w:val="00293344"/>
    <w:rsid w:val="002935BB"/>
    <w:rsid w:val="002935BF"/>
    <w:rsid w:val="002935C9"/>
    <w:rsid w:val="002938F9"/>
    <w:rsid w:val="00293901"/>
    <w:rsid w:val="00293A29"/>
    <w:rsid w:val="00293E4D"/>
    <w:rsid w:val="0029418D"/>
    <w:rsid w:val="002943D6"/>
    <w:rsid w:val="002944C9"/>
    <w:rsid w:val="00294567"/>
    <w:rsid w:val="002945EA"/>
    <w:rsid w:val="00294FB7"/>
    <w:rsid w:val="0029504F"/>
    <w:rsid w:val="002953D3"/>
    <w:rsid w:val="0029547C"/>
    <w:rsid w:val="00295663"/>
    <w:rsid w:val="0029636C"/>
    <w:rsid w:val="00296477"/>
    <w:rsid w:val="00296A73"/>
    <w:rsid w:val="00296C54"/>
    <w:rsid w:val="0029719E"/>
    <w:rsid w:val="002979B7"/>
    <w:rsid w:val="002A01A0"/>
    <w:rsid w:val="002A10ED"/>
    <w:rsid w:val="002A12A1"/>
    <w:rsid w:val="002A12BA"/>
    <w:rsid w:val="002A19DA"/>
    <w:rsid w:val="002A1B37"/>
    <w:rsid w:val="002A1C1D"/>
    <w:rsid w:val="002A23E0"/>
    <w:rsid w:val="002A2748"/>
    <w:rsid w:val="002A40BE"/>
    <w:rsid w:val="002A4D39"/>
    <w:rsid w:val="002A4D83"/>
    <w:rsid w:val="002A5557"/>
    <w:rsid w:val="002A5FEB"/>
    <w:rsid w:val="002A6578"/>
    <w:rsid w:val="002A66AC"/>
    <w:rsid w:val="002A695C"/>
    <w:rsid w:val="002A6BA1"/>
    <w:rsid w:val="002A6E35"/>
    <w:rsid w:val="002A735F"/>
    <w:rsid w:val="002A73F5"/>
    <w:rsid w:val="002B0381"/>
    <w:rsid w:val="002B089C"/>
    <w:rsid w:val="002B0C5A"/>
    <w:rsid w:val="002B1697"/>
    <w:rsid w:val="002B191A"/>
    <w:rsid w:val="002B218A"/>
    <w:rsid w:val="002B2350"/>
    <w:rsid w:val="002B25D0"/>
    <w:rsid w:val="002B2C70"/>
    <w:rsid w:val="002B3033"/>
    <w:rsid w:val="002B3436"/>
    <w:rsid w:val="002B379D"/>
    <w:rsid w:val="002B3C73"/>
    <w:rsid w:val="002B3C83"/>
    <w:rsid w:val="002B3E0C"/>
    <w:rsid w:val="002B4B6B"/>
    <w:rsid w:val="002B4F6E"/>
    <w:rsid w:val="002B5284"/>
    <w:rsid w:val="002B53EC"/>
    <w:rsid w:val="002B59E9"/>
    <w:rsid w:val="002B5A68"/>
    <w:rsid w:val="002B6B5B"/>
    <w:rsid w:val="002B6F09"/>
    <w:rsid w:val="002B6F42"/>
    <w:rsid w:val="002B7764"/>
    <w:rsid w:val="002B7F37"/>
    <w:rsid w:val="002C06A4"/>
    <w:rsid w:val="002C06AA"/>
    <w:rsid w:val="002C0F9E"/>
    <w:rsid w:val="002C14F9"/>
    <w:rsid w:val="002C2524"/>
    <w:rsid w:val="002C25E4"/>
    <w:rsid w:val="002C265E"/>
    <w:rsid w:val="002C2DDA"/>
    <w:rsid w:val="002C3153"/>
    <w:rsid w:val="002C31B8"/>
    <w:rsid w:val="002C3958"/>
    <w:rsid w:val="002C3E61"/>
    <w:rsid w:val="002C4381"/>
    <w:rsid w:val="002C4387"/>
    <w:rsid w:val="002C48C2"/>
    <w:rsid w:val="002C4B4F"/>
    <w:rsid w:val="002C4C33"/>
    <w:rsid w:val="002C4D8F"/>
    <w:rsid w:val="002C55E9"/>
    <w:rsid w:val="002C58AB"/>
    <w:rsid w:val="002C5A0D"/>
    <w:rsid w:val="002C626B"/>
    <w:rsid w:val="002C629E"/>
    <w:rsid w:val="002C647F"/>
    <w:rsid w:val="002C69C4"/>
    <w:rsid w:val="002C7363"/>
    <w:rsid w:val="002D014F"/>
    <w:rsid w:val="002D044F"/>
    <w:rsid w:val="002D04DF"/>
    <w:rsid w:val="002D0980"/>
    <w:rsid w:val="002D0B15"/>
    <w:rsid w:val="002D0BDC"/>
    <w:rsid w:val="002D0D60"/>
    <w:rsid w:val="002D0E1E"/>
    <w:rsid w:val="002D10C8"/>
    <w:rsid w:val="002D16DE"/>
    <w:rsid w:val="002D1C7D"/>
    <w:rsid w:val="002D1C9E"/>
    <w:rsid w:val="002D2156"/>
    <w:rsid w:val="002D2467"/>
    <w:rsid w:val="002D24FA"/>
    <w:rsid w:val="002D2514"/>
    <w:rsid w:val="002D2CCC"/>
    <w:rsid w:val="002D43A1"/>
    <w:rsid w:val="002D4624"/>
    <w:rsid w:val="002D4DF2"/>
    <w:rsid w:val="002D592B"/>
    <w:rsid w:val="002D6010"/>
    <w:rsid w:val="002D6626"/>
    <w:rsid w:val="002D67FF"/>
    <w:rsid w:val="002D6861"/>
    <w:rsid w:val="002D6AF6"/>
    <w:rsid w:val="002D70A4"/>
    <w:rsid w:val="002D72E4"/>
    <w:rsid w:val="002D74DA"/>
    <w:rsid w:val="002D7709"/>
    <w:rsid w:val="002E057F"/>
    <w:rsid w:val="002E0B11"/>
    <w:rsid w:val="002E0F01"/>
    <w:rsid w:val="002E100A"/>
    <w:rsid w:val="002E1ADF"/>
    <w:rsid w:val="002E1C5A"/>
    <w:rsid w:val="002E1EEC"/>
    <w:rsid w:val="002E229F"/>
    <w:rsid w:val="002E2431"/>
    <w:rsid w:val="002E2489"/>
    <w:rsid w:val="002E29B6"/>
    <w:rsid w:val="002E2BC9"/>
    <w:rsid w:val="002E340B"/>
    <w:rsid w:val="002E340E"/>
    <w:rsid w:val="002E3D78"/>
    <w:rsid w:val="002E3FF9"/>
    <w:rsid w:val="002E4056"/>
    <w:rsid w:val="002E4BB3"/>
    <w:rsid w:val="002E4C51"/>
    <w:rsid w:val="002E4E21"/>
    <w:rsid w:val="002E54D7"/>
    <w:rsid w:val="002E54E3"/>
    <w:rsid w:val="002E5692"/>
    <w:rsid w:val="002E5AB7"/>
    <w:rsid w:val="002E5EBE"/>
    <w:rsid w:val="002E5FCE"/>
    <w:rsid w:val="002E656F"/>
    <w:rsid w:val="002E66AD"/>
    <w:rsid w:val="002E6FE2"/>
    <w:rsid w:val="002E7649"/>
    <w:rsid w:val="002E7992"/>
    <w:rsid w:val="002E7BA4"/>
    <w:rsid w:val="002E7BD5"/>
    <w:rsid w:val="002E7CD1"/>
    <w:rsid w:val="002F1092"/>
    <w:rsid w:val="002F126E"/>
    <w:rsid w:val="002F1725"/>
    <w:rsid w:val="002F18F5"/>
    <w:rsid w:val="002F2109"/>
    <w:rsid w:val="002F21AF"/>
    <w:rsid w:val="002F24EA"/>
    <w:rsid w:val="002F2905"/>
    <w:rsid w:val="002F29A7"/>
    <w:rsid w:val="002F2E8E"/>
    <w:rsid w:val="002F2F1D"/>
    <w:rsid w:val="002F3128"/>
    <w:rsid w:val="002F323B"/>
    <w:rsid w:val="002F36EF"/>
    <w:rsid w:val="002F3F10"/>
    <w:rsid w:val="002F3F19"/>
    <w:rsid w:val="002F47D1"/>
    <w:rsid w:val="002F4CC8"/>
    <w:rsid w:val="002F4E4A"/>
    <w:rsid w:val="002F54DB"/>
    <w:rsid w:val="002F54F2"/>
    <w:rsid w:val="002F58F4"/>
    <w:rsid w:val="002F597C"/>
    <w:rsid w:val="002F5C74"/>
    <w:rsid w:val="002F6402"/>
    <w:rsid w:val="002F654C"/>
    <w:rsid w:val="002F7701"/>
    <w:rsid w:val="003005B7"/>
    <w:rsid w:val="00300F93"/>
    <w:rsid w:val="0030101C"/>
    <w:rsid w:val="003010E0"/>
    <w:rsid w:val="0030133A"/>
    <w:rsid w:val="0030154C"/>
    <w:rsid w:val="00301F15"/>
    <w:rsid w:val="00301F71"/>
    <w:rsid w:val="00302169"/>
    <w:rsid w:val="003021EB"/>
    <w:rsid w:val="003023A5"/>
    <w:rsid w:val="00302B2B"/>
    <w:rsid w:val="003037F0"/>
    <w:rsid w:val="0030382A"/>
    <w:rsid w:val="00303A53"/>
    <w:rsid w:val="00303B47"/>
    <w:rsid w:val="00303D05"/>
    <w:rsid w:val="00303D8D"/>
    <w:rsid w:val="00303D9B"/>
    <w:rsid w:val="003046E8"/>
    <w:rsid w:val="0030542F"/>
    <w:rsid w:val="0030563E"/>
    <w:rsid w:val="00305A65"/>
    <w:rsid w:val="00305DD1"/>
    <w:rsid w:val="003064D0"/>
    <w:rsid w:val="003067A6"/>
    <w:rsid w:val="003069F1"/>
    <w:rsid w:val="00306B1C"/>
    <w:rsid w:val="00306C63"/>
    <w:rsid w:val="00306E7B"/>
    <w:rsid w:val="00307EEC"/>
    <w:rsid w:val="003101A6"/>
    <w:rsid w:val="003102BA"/>
    <w:rsid w:val="00310575"/>
    <w:rsid w:val="00310750"/>
    <w:rsid w:val="00310904"/>
    <w:rsid w:val="00310925"/>
    <w:rsid w:val="00311176"/>
    <w:rsid w:val="003125BE"/>
    <w:rsid w:val="0031293D"/>
    <w:rsid w:val="00312E42"/>
    <w:rsid w:val="003131E4"/>
    <w:rsid w:val="00313291"/>
    <w:rsid w:val="00313A44"/>
    <w:rsid w:val="0031423E"/>
    <w:rsid w:val="00314537"/>
    <w:rsid w:val="00314CDE"/>
    <w:rsid w:val="00314CF2"/>
    <w:rsid w:val="00314D48"/>
    <w:rsid w:val="003150F8"/>
    <w:rsid w:val="003153CD"/>
    <w:rsid w:val="0031551B"/>
    <w:rsid w:val="0031576D"/>
    <w:rsid w:val="00315F1A"/>
    <w:rsid w:val="003160C4"/>
    <w:rsid w:val="003161B9"/>
    <w:rsid w:val="00316632"/>
    <w:rsid w:val="003169ED"/>
    <w:rsid w:val="00316C54"/>
    <w:rsid w:val="00316DCE"/>
    <w:rsid w:val="00316F54"/>
    <w:rsid w:val="003174C3"/>
    <w:rsid w:val="00317688"/>
    <w:rsid w:val="00317B6A"/>
    <w:rsid w:val="0032030F"/>
    <w:rsid w:val="0032036A"/>
    <w:rsid w:val="003203D1"/>
    <w:rsid w:val="00320522"/>
    <w:rsid w:val="00320E94"/>
    <w:rsid w:val="00320F59"/>
    <w:rsid w:val="003210BB"/>
    <w:rsid w:val="003210F9"/>
    <w:rsid w:val="00321456"/>
    <w:rsid w:val="00321633"/>
    <w:rsid w:val="00321FE8"/>
    <w:rsid w:val="00322BBA"/>
    <w:rsid w:val="00322D82"/>
    <w:rsid w:val="0032329D"/>
    <w:rsid w:val="003235E6"/>
    <w:rsid w:val="00323992"/>
    <w:rsid w:val="00323AD8"/>
    <w:rsid w:val="00323B3D"/>
    <w:rsid w:val="00323B65"/>
    <w:rsid w:val="00323C43"/>
    <w:rsid w:val="00324765"/>
    <w:rsid w:val="00324C99"/>
    <w:rsid w:val="00324D07"/>
    <w:rsid w:val="00324DCC"/>
    <w:rsid w:val="00325F30"/>
    <w:rsid w:val="00325FE2"/>
    <w:rsid w:val="003262DC"/>
    <w:rsid w:val="00326619"/>
    <w:rsid w:val="00326684"/>
    <w:rsid w:val="00326B41"/>
    <w:rsid w:val="00326F9A"/>
    <w:rsid w:val="0032721D"/>
    <w:rsid w:val="00327710"/>
    <w:rsid w:val="00327FF3"/>
    <w:rsid w:val="003304AD"/>
    <w:rsid w:val="003307F8"/>
    <w:rsid w:val="00330823"/>
    <w:rsid w:val="00330A16"/>
    <w:rsid w:val="00330A24"/>
    <w:rsid w:val="00331099"/>
    <w:rsid w:val="00331D49"/>
    <w:rsid w:val="0033230A"/>
    <w:rsid w:val="003326D2"/>
    <w:rsid w:val="0033281D"/>
    <w:rsid w:val="003335D3"/>
    <w:rsid w:val="0033390E"/>
    <w:rsid w:val="00333A25"/>
    <w:rsid w:val="00333C48"/>
    <w:rsid w:val="00334438"/>
    <w:rsid w:val="00334462"/>
    <w:rsid w:val="003355EF"/>
    <w:rsid w:val="00335ADE"/>
    <w:rsid w:val="00335D30"/>
    <w:rsid w:val="003363C0"/>
    <w:rsid w:val="00336429"/>
    <w:rsid w:val="00336456"/>
    <w:rsid w:val="00336908"/>
    <w:rsid w:val="003373DB"/>
    <w:rsid w:val="003379A5"/>
    <w:rsid w:val="00337CC1"/>
    <w:rsid w:val="0034081C"/>
    <w:rsid w:val="00340BB8"/>
    <w:rsid w:val="00340FF1"/>
    <w:rsid w:val="003410F7"/>
    <w:rsid w:val="00341AE3"/>
    <w:rsid w:val="00341F0D"/>
    <w:rsid w:val="00341F9A"/>
    <w:rsid w:val="0034211B"/>
    <w:rsid w:val="00342988"/>
    <w:rsid w:val="0034349E"/>
    <w:rsid w:val="00343DDF"/>
    <w:rsid w:val="003441AE"/>
    <w:rsid w:val="00344250"/>
    <w:rsid w:val="00344869"/>
    <w:rsid w:val="00344947"/>
    <w:rsid w:val="00344FEC"/>
    <w:rsid w:val="00345071"/>
    <w:rsid w:val="0034525C"/>
    <w:rsid w:val="003452BC"/>
    <w:rsid w:val="0034547E"/>
    <w:rsid w:val="003454BB"/>
    <w:rsid w:val="0034567D"/>
    <w:rsid w:val="00345840"/>
    <w:rsid w:val="00345CA3"/>
    <w:rsid w:val="003460A7"/>
    <w:rsid w:val="00346503"/>
    <w:rsid w:val="00346599"/>
    <w:rsid w:val="00346E9A"/>
    <w:rsid w:val="00346EAA"/>
    <w:rsid w:val="00347047"/>
    <w:rsid w:val="00347220"/>
    <w:rsid w:val="00347873"/>
    <w:rsid w:val="00347C7D"/>
    <w:rsid w:val="00347EAF"/>
    <w:rsid w:val="00347F15"/>
    <w:rsid w:val="003504AC"/>
    <w:rsid w:val="00350968"/>
    <w:rsid w:val="0035097A"/>
    <w:rsid w:val="00350BB3"/>
    <w:rsid w:val="00350DBD"/>
    <w:rsid w:val="00351272"/>
    <w:rsid w:val="00351DFF"/>
    <w:rsid w:val="00351E0D"/>
    <w:rsid w:val="003520CB"/>
    <w:rsid w:val="003527BC"/>
    <w:rsid w:val="00352A16"/>
    <w:rsid w:val="00352BBF"/>
    <w:rsid w:val="00352F6F"/>
    <w:rsid w:val="00353117"/>
    <w:rsid w:val="003534B3"/>
    <w:rsid w:val="00353653"/>
    <w:rsid w:val="00354321"/>
    <w:rsid w:val="00354473"/>
    <w:rsid w:val="00354D3B"/>
    <w:rsid w:val="00354F4D"/>
    <w:rsid w:val="003551DE"/>
    <w:rsid w:val="00355524"/>
    <w:rsid w:val="00355A63"/>
    <w:rsid w:val="00355AB7"/>
    <w:rsid w:val="00355CBD"/>
    <w:rsid w:val="003561FD"/>
    <w:rsid w:val="003563A6"/>
    <w:rsid w:val="0035641C"/>
    <w:rsid w:val="00356A6A"/>
    <w:rsid w:val="003578B3"/>
    <w:rsid w:val="0035799B"/>
    <w:rsid w:val="00357B14"/>
    <w:rsid w:val="00357C31"/>
    <w:rsid w:val="00357DB5"/>
    <w:rsid w:val="00357E61"/>
    <w:rsid w:val="00357E9E"/>
    <w:rsid w:val="003615FB"/>
    <w:rsid w:val="00361FF8"/>
    <w:rsid w:val="003622CF"/>
    <w:rsid w:val="0036234D"/>
    <w:rsid w:val="003628F8"/>
    <w:rsid w:val="00363150"/>
    <w:rsid w:val="00363315"/>
    <w:rsid w:val="003639A7"/>
    <w:rsid w:val="00364012"/>
    <w:rsid w:val="003647C7"/>
    <w:rsid w:val="00364AE7"/>
    <w:rsid w:val="00365237"/>
    <w:rsid w:val="0036574A"/>
    <w:rsid w:val="003663CE"/>
    <w:rsid w:val="00366451"/>
    <w:rsid w:val="00366C4C"/>
    <w:rsid w:val="0036788E"/>
    <w:rsid w:val="00367A9F"/>
    <w:rsid w:val="003701A9"/>
    <w:rsid w:val="003705D0"/>
    <w:rsid w:val="00370C27"/>
    <w:rsid w:val="00370DB7"/>
    <w:rsid w:val="00371D84"/>
    <w:rsid w:val="00372034"/>
    <w:rsid w:val="00372054"/>
    <w:rsid w:val="0037255B"/>
    <w:rsid w:val="00372B13"/>
    <w:rsid w:val="00372E83"/>
    <w:rsid w:val="00372EAF"/>
    <w:rsid w:val="00373DB1"/>
    <w:rsid w:val="003742DA"/>
    <w:rsid w:val="00374888"/>
    <w:rsid w:val="003755C4"/>
    <w:rsid w:val="00375642"/>
    <w:rsid w:val="003757D8"/>
    <w:rsid w:val="0037583F"/>
    <w:rsid w:val="00375B14"/>
    <w:rsid w:val="0037611A"/>
    <w:rsid w:val="00376341"/>
    <w:rsid w:val="00376B0B"/>
    <w:rsid w:val="00376BF2"/>
    <w:rsid w:val="00377980"/>
    <w:rsid w:val="00377A7A"/>
    <w:rsid w:val="00377D0D"/>
    <w:rsid w:val="00380214"/>
    <w:rsid w:val="00380276"/>
    <w:rsid w:val="00380D91"/>
    <w:rsid w:val="0038109B"/>
    <w:rsid w:val="0038123B"/>
    <w:rsid w:val="00381275"/>
    <w:rsid w:val="00381484"/>
    <w:rsid w:val="00381673"/>
    <w:rsid w:val="003816B8"/>
    <w:rsid w:val="00381C53"/>
    <w:rsid w:val="00381F26"/>
    <w:rsid w:val="00382183"/>
    <w:rsid w:val="003828E4"/>
    <w:rsid w:val="00382D34"/>
    <w:rsid w:val="0038330E"/>
    <w:rsid w:val="0038357A"/>
    <w:rsid w:val="003836BE"/>
    <w:rsid w:val="0038371B"/>
    <w:rsid w:val="00383B52"/>
    <w:rsid w:val="00383F03"/>
    <w:rsid w:val="00384644"/>
    <w:rsid w:val="00384849"/>
    <w:rsid w:val="00384C7E"/>
    <w:rsid w:val="00384E86"/>
    <w:rsid w:val="00384F47"/>
    <w:rsid w:val="00385540"/>
    <w:rsid w:val="00386267"/>
    <w:rsid w:val="00386380"/>
    <w:rsid w:val="0038665C"/>
    <w:rsid w:val="00386BDD"/>
    <w:rsid w:val="00386DD9"/>
    <w:rsid w:val="003872E7"/>
    <w:rsid w:val="003873F9"/>
    <w:rsid w:val="00387588"/>
    <w:rsid w:val="00387CFE"/>
    <w:rsid w:val="00387EB5"/>
    <w:rsid w:val="0039037C"/>
    <w:rsid w:val="003907F7"/>
    <w:rsid w:val="00390A1D"/>
    <w:rsid w:val="00390ABC"/>
    <w:rsid w:val="00390B70"/>
    <w:rsid w:val="00390B9A"/>
    <w:rsid w:val="00390CA6"/>
    <w:rsid w:val="00390F79"/>
    <w:rsid w:val="0039117C"/>
    <w:rsid w:val="00391341"/>
    <w:rsid w:val="00391A28"/>
    <w:rsid w:val="00391B86"/>
    <w:rsid w:val="00391C49"/>
    <w:rsid w:val="00391F49"/>
    <w:rsid w:val="00392358"/>
    <w:rsid w:val="00392486"/>
    <w:rsid w:val="00392A55"/>
    <w:rsid w:val="00393F39"/>
    <w:rsid w:val="0039494A"/>
    <w:rsid w:val="00394952"/>
    <w:rsid w:val="00394BB7"/>
    <w:rsid w:val="00394D7A"/>
    <w:rsid w:val="003951F7"/>
    <w:rsid w:val="003954B0"/>
    <w:rsid w:val="003957B1"/>
    <w:rsid w:val="003967F3"/>
    <w:rsid w:val="00396E06"/>
    <w:rsid w:val="00396F2B"/>
    <w:rsid w:val="003973A8"/>
    <w:rsid w:val="00397B3B"/>
    <w:rsid w:val="00397EFD"/>
    <w:rsid w:val="003A007E"/>
    <w:rsid w:val="003A099F"/>
    <w:rsid w:val="003A09A1"/>
    <w:rsid w:val="003A0B82"/>
    <w:rsid w:val="003A0C35"/>
    <w:rsid w:val="003A0C8A"/>
    <w:rsid w:val="003A1096"/>
    <w:rsid w:val="003A14D6"/>
    <w:rsid w:val="003A15E9"/>
    <w:rsid w:val="003A172F"/>
    <w:rsid w:val="003A2C14"/>
    <w:rsid w:val="003A31DF"/>
    <w:rsid w:val="003A345E"/>
    <w:rsid w:val="003A3C25"/>
    <w:rsid w:val="003A3E16"/>
    <w:rsid w:val="003A4449"/>
    <w:rsid w:val="003A4C69"/>
    <w:rsid w:val="003A4E3B"/>
    <w:rsid w:val="003A56A9"/>
    <w:rsid w:val="003A58D2"/>
    <w:rsid w:val="003A5A7B"/>
    <w:rsid w:val="003A5AD5"/>
    <w:rsid w:val="003A62DD"/>
    <w:rsid w:val="003A6399"/>
    <w:rsid w:val="003A68AA"/>
    <w:rsid w:val="003A6F35"/>
    <w:rsid w:val="003A76A7"/>
    <w:rsid w:val="003A771A"/>
    <w:rsid w:val="003A7894"/>
    <w:rsid w:val="003A78D6"/>
    <w:rsid w:val="003A7E3A"/>
    <w:rsid w:val="003A7EBF"/>
    <w:rsid w:val="003B02F9"/>
    <w:rsid w:val="003B033A"/>
    <w:rsid w:val="003B0807"/>
    <w:rsid w:val="003B0A7E"/>
    <w:rsid w:val="003B11BA"/>
    <w:rsid w:val="003B11C7"/>
    <w:rsid w:val="003B1590"/>
    <w:rsid w:val="003B174D"/>
    <w:rsid w:val="003B1DC3"/>
    <w:rsid w:val="003B23F3"/>
    <w:rsid w:val="003B2546"/>
    <w:rsid w:val="003B25E3"/>
    <w:rsid w:val="003B267A"/>
    <w:rsid w:val="003B27BC"/>
    <w:rsid w:val="003B29AE"/>
    <w:rsid w:val="003B32E0"/>
    <w:rsid w:val="003B3604"/>
    <w:rsid w:val="003B3960"/>
    <w:rsid w:val="003B3BAF"/>
    <w:rsid w:val="003B3F6B"/>
    <w:rsid w:val="003B3FF3"/>
    <w:rsid w:val="003B413D"/>
    <w:rsid w:val="003B41EF"/>
    <w:rsid w:val="003B4EF9"/>
    <w:rsid w:val="003B53E1"/>
    <w:rsid w:val="003B5D5E"/>
    <w:rsid w:val="003B5E7A"/>
    <w:rsid w:val="003B61C2"/>
    <w:rsid w:val="003B6218"/>
    <w:rsid w:val="003B62A4"/>
    <w:rsid w:val="003B643A"/>
    <w:rsid w:val="003B65C7"/>
    <w:rsid w:val="003B6943"/>
    <w:rsid w:val="003B6BA7"/>
    <w:rsid w:val="003B6E4B"/>
    <w:rsid w:val="003B6EE1"/>
    <w:rsid w:val="003B78AF"/>
    <w:rsid w:val="003B7950"/>
    <w:rsid w:val="003B7FCF"/>
    <w:rsid w:val="003C097A"/>
    <w:rsid w:val="003C1FA9"/>
    <w:rsid w:val="003C2471"/>
    <w:rsid w:val="003C2768"/>
    <w:rsid w:val="003C2AC9"/>
    <w:rsid w:val="003C2D91"/>
    <w:rsid w:val="003C2E6D"/>
    <w:rsid w:val="003C3C4B"/>
    <w:rsid w:val="003C3D5D"/>
    <w:rsid w:val="003C3DC5"/>
    <w:rsid w:val="003C42E0"/>
    <w:rsid w:val="003C466D"/>
    <w:rsid w:val="003C47E6"/>
    <w:rsid w:val="003C4FD6"/>
    <w:rsid w:val="003C5014"/>
    <w:rsid w:val="003C534A"/>
    <w:rsid w:val="003C53DE"/>
    <w:rsid w:val="003C54FC"/>
    <w:rsid w:val="003C58E7"/>
    <w:rsid w:val="003C5A73"/>
    <w:rsid w:val="003C6499"/>
    <w:rsid w:val="003C668C"/>
    <w:rsid w:val="003C6E83"/>
    <w:rsid w:val="003C721D"/>
    <w:rsid w:val="003C75EB"/>
    <w:rsid w:val="003C779F"/>
    <w:rsid w:val="003C77B5"/>
    <w:rsid w:val="003D01CC"/>
    <w:rsid w:val="003D0582"/>
    <w:rsid w:val="003D09FD"/>
    <w:rsid w:val="003D0C4A"/>
    <w:rsid w:val="003D0EA7"/>
    <w:rsid w:val="003D1766"/>
    <w:rsid w:val="003D207C"/>
    <w:rsid w:val="003D2B65"/>
    <w:rsid w:val="003D2C22"/>
    <w:rsid w:val="003D310B"/>
    <w:rsid w:val="003D3410"/>
    <w:rsid w:val="003D362A"/>
    <w:rsid w:val="003D3727"/>
    <w:rsid w:val="003D39B0"/>
    <w:rsid w:val="003D39C2"/>
    <w:rsid w:val="003D41B5"/>
    <w:rsid w:val="003D427F"/>
    <w:rsid w:val="003D45BE"/>
    <w:rsid w:val="003D4784"/>
    <w:rsid w:val="003D4791"/>
    <w:rsid w:val="003D4CE3"/>
    <w:rsid w:val="003D53BC"/>
    <w:rsid w:val="003D5830"/>
    <w:rsid w:val="003D600C"/>
    <w:rsid w:val="003D62A5"/>
    <w:rsid w:val="003D670C"/>
    <w:rsid w:val="003D67E1"/>
    <w:rsid w:val="003D683D"/>
    <w:rsid w:val="003D6934"/>
    <w:rsid w:val="003D6E01"/>
    <w:rsid w:val="003D79F5"/>
    <w:rsid w:val="003D7E3D"/>
    <w:rsid w:val="003E00F4"/>
    <w:rsid w:val="003E015D"/>
    <w:rsid w:val="003E1CBC"/>
    <w:rsid w:val="003E1E39"/>
    <w:rsid w:val="003E1E40"/>
    <w:rsid w:val="003E2AA5"/>
    <w:rsid w:val="003E2F47"/>
    <w:rsid w:val="003E3B17"/>
    <w:rsid w:val="003E4196"/>
    <w:rsid w:val="003E4872"/>
    <w:rsid w:val="003E4A75"/>
    <w:rsid w:val="003E56F1"/>
    <w:rsid w:val="003E59D1"/>
    <w:rsid w:val="003E5D95"/>
    <w:rsid w:val="003E6168"/>
    <w:rsid w:val="003E6693"/>
    <w:rsid w:val="003E66B6"/>
    <w:rsid w:val="003E680E"/>
    <w:rsid w:val="003E77B8"/>
    <w:rsid w:val="003E78FB"/>
    <w:rsid w:val="003E7E11"/>
    <w:rsid w:val="003E7F08"/>
    <w:rsid w:val="003F0401"/>
    <w:rsid w:val="003F09E7"/>
    <w:rsid w:val="003F0F91"/>
    <w:rsid w:val="003F142D"/>
    <w:rsid w:val="003F176B"/>
    <w:rsid w:val="003F1B24"/>
    <w:rsid w:val="003F27EB"/>
    <w:rsid w:val="003F2917"/>
    <w:rsid w:val="003F2929"/>
    <w:rsid w:val="003F2978"/>
    <w:rsid w:val="003F2A7C"/>
    <w:rsid w:val="003F2E0F"/>
    <w:rsid w:val="003F30B2"/>
    <w:rsid w:val="003F3D9A"/>
    <w:rsid w:val="003F4A0E"/>
    <w:rsid w:val="003F4A35"/>
    <w:rsid w:val="003F4FA2"/>
    <w:rsid w:val="003F57E6"/>
    <w:rsid w:val="003F5876"/>
    <w:rsid w:val="003F5A17"/>
    <w:rsid w:val="003F5AA6"/>
    <w:rsid w:val="003F633C"/>
    <w:rsid w:val="003F6490"/>
    <w:rsid w:val="003F66D1"/>
    <w:rsid w:val="003F678B"/>
    <w:rsid w:val="003F67BF"/>
    <w:rsid w:val="003F6E51"/>
    <w:rsid w:val="003F7181"/>
    <w:rsid w:val="003F71D3"/>
    <w:rsid w:val="003F7554"/>
    <w:rsid w:val="003F7FB0"/>
    <w:rsid w:val="00401208"/>
    <w:rsid w:val="0040199A"/>
    <w:rsid w:val="00401C82"/>
    <w:rsid w:val="004023A3"/>
    <w:rsid w:val="0040262D"/>
    <w:rsid w:val="00402944"/>
    <w:rsid w:val="00403455"/>
    <w:rsid w:val="00403905"/>
    <w:rsid w:val="004040F0"/>
    <w:rsid w:val="00405535"/>
    <w:rsid w:val="0040562C"/>
    <w:rsid w:val="00405694"/>
    <w:rsid w:val="004056C1"/>
    <w:rsid w:val="00406483"/>
    <w:rsid w:val="00406928"/>
    <w:rsid w:val="00406FEE"/>
    <w:rsid w:val="00407182"/>
    <w:rsid w:val="004075F3"/>
    <w:rsid w:val="004076EB"/>
    <w:rsid w:val="00410145"/>
    <w:rsid w:val="004107D4"/>
    <w:rsid w:val="004107E0"/>
    <w:rsid w:val="00410BF3"/>
    <w:rsid w:val="00411482"/>
    <w:rsid w:val="00412094"/>
    <w:rsid w:val="00412110"/>
    <w:rsid w:val="004121AB"/>
    <w:rsid w:val="004124D3"/>
    <w:rsid w:val="0041273C"/>
    <w:rsid w:val="00413053"/>
    <w:rsid w:val="004130D2"/>
    <w:rsid w:val="00413918"/>
    <w:rsid w:val="00414687"/>
    <w:rsid w:val="0041483B"/>
    <w:rsid w:val="00415213"/>
    <w:rsid w:val="00415285"/>
    <w:rsid w:val="004155C9"/>
    <w:rsid w:val="004158FF"/>
    <w:rsid w:val="00415A32"/>
    <w:rsid w:val="00416403"/>
    <w:rsid w:val="00416855"/>
    <w:rsid w:val="00416A56"/>
    <w:rsid w:val="00416EB0"/>
    <w:rsid w:val="00417227"/>
    <w:rsid w:val="00417B4B"/>
    <w:rsid w:val="004200CF"/>
    <w:rsid w:val="00420502"/>
    <w:rsid w:val="0042084C"/>
    <w:rsid w:val="00420949"/>
    <w:rsid w:val="00420ECF"/>
    <w:rsid w:val="0042175D"/>
    <w:rsid w:val="004218A2"/>
    <w:rsid w:val="004218EA"/>
    <w:rsid w:val="00421BF7"/>
    <w:rsid w:val="00421E81"/>
    <w:rsid w:val="00422182"/>
    <w:rsid w:val="00422197"/>
    <w:rsid w:val="00422365"/>
    <w:rsid w:val="0042255E"/>
    <w:rsid w:val="004228C8"/>
    <w:rsid w:val="00422BDC"/>
    <w:rsid w:val="0042342B"/>
    <w:rsid w:val="00423590"/>
    <w:rsid w:val="00423616"/>
    <w:rsid w:val="00423D8F"/>
    <w:rsid w:val="00423E6D"/>
    <w:rsid w:val="004243E8"/>
    <w:rsid w:val="004248C6"/>
    <w:rsid w:val="00424A14"/>
    <w:rsid w:val="00424B12"/>
    <w:rsid w:val="00424E6D"/>
    <w:rsid w:val="0042525D"/>
    <w:rsid w:val="004255C0"/>
    <w:rsid w:val="00425A3D"/>
    <w:rsid w:val="00425AAE"/>
    <w:rsid w:val="004265BC"/>
    <w:rsid w:val="00426BB9"/>
    <w:rsid w:val="0042709A"/>
    <w:rsid w:val="00427F85"/>
    <w:rsid w:val="00430DE3"/>
    <w:rsid w:val="00431276"/>
    <w:rsid w:val="00431B2B"/>
    <w:rsid w:val="00431F14"/>
    <w:rsid w:val="0043230A"/>
    <w:rsid w:val="00433123"/>
    <w:rsid w:val="004337EA"/>
    <w:rsid w:val="0043466E"/>
    <w:rsid w:val="00434EC1"/>
    <w:rsid w:val="00435157"/>
    <w:rsid w:val="00435485"/>
    <w:rsid w:val="0043599D"/>
    <w:rsid w:val="00436049"/>
    <w:rsid w:val="00437376"/>
    <w:rsid w:val="004374DE"/>
    <w:rsid w:val="004375E6"/>
    <w:rsid w:val="00437710"/>
    <w:rsid w:val="004378A7"/>
    <w:rsid w:val="00437928"/>
    <w:rsid w:val="00437B10"/>
    <w:rsid w:val="00440515"/>
    <w:rsid w:val="00440C75"/>
    <w:rsid w:val="00440FE1"/>
    <w:rsid w:val="004411D0"/>
    <w:rsid w:val="004411EE"/>
    <w:rsid w:val="004414B3"/>
    <w:rsid w:val="00441787"/>
    <w:rsid w:val="004417DF"/>
    <w:rsid w:val="00441B09"/>
    <w:rsid w:val="00441F8A"/>
    <w:rsid w:val="004420CB"/>
    <w:rsid w:val="00442155"/>
    <w:rsid w:val="00442191"/>
    <w:rsid w:val="0044225C"/>
    <w:rsid w:val="004437DB"/>
    <w:rsid w:val="0044398E"/>
    <w:rsid w:val="00443AA5"/>
    <w:rsid w:val="00443B51"/>
    <w:rsid w:val="00443C7D"/>
    <w:rsid w:val="00444252"/>
    <w:rsid w:val="00444828"/>
    <w:rsid w:val="00445351"/>
    <w:rsid w:val="004458E6"/>
    <w:rsid w:val="00445A65"/>
    <w:rsid w:val="00445F86"/>
    <w:rsid w:val="004460DF"/>
    <w:rsid w:val="004461B8"/>
    <w:rsid w:val="004463A2"/>
    <w:rsid w:val="0044666F"/>
    <w:rsid w:val="00447505"/>
    <w:rsid w:val="004475F1"/>
    <w:rsid w:val="004477F6"/>
    <w:rsid w:val="0044788A"/>
    <w:rsid w:val="004478D6"/>
    <w:rsid w:val="00450E85"/>
    <w:rsid w:val="004510C6"/>
    <w:rsid w:val="00451272"/>
    <w:rsid w:val="0045138E"/>
    <w:rsid w:val="00451756"/>
    <w:rsid w:val="00451B75"/>
    <w:rsid w:val="00451B8E"/>
    <w:rsid w:val="00451F3D"/>
    <w:rsid w:val="0045218C"/>
    <w:rsid w:val="004523FC"/>
    <w:rsid w:val="00452504"/>
    <w:rsid w:val="004530B4"/>
    <w:rsid w:val="00453442"/>
    <w:rsid w:val="00454033"/>
    <w:rsid w:val="00454804"/>
    <w:rsid w:val="00454AF4"/>
    <w:rsid w:val="00455E2F"/>
    <w:rsid w:val="00455E5F"/>
    <w:rsid w:val="00456485"/>
    <w:rsid w:val="00456647"/>
    <w:rsid w:val="0045682C"/>
    <w:rsid w:val="004568BB"/>
    <w:rsid w:val="004607CF"/>
    <w:rsid w:val="00460882"/>
    <w:rsid w:val="004618D9"/>
    <w:rsid w:val="00461986"/>
    <w:rsid w:val="00461B2C"/>
    <w:rsid w:val="00462103"/>
    <w:rsid w:val="00462471"/>
    <w:rsid w:val="00462BBD"/>
    <w:rsid w:val="00462C3F"/>
    <w:rsid w:val="00462FD5"/>
    <w:rsid w:val="0046341F"/>
    <w:rsid w:val="0046358E"/>
    <w:rsid w:val="0046392E"/>
    <w:rsid w:val="00463971"/>
    <w:rsid w:val="00464636"/>
    <w:rsid w:val="004648B8"/>
    <w:rsid w:val="00464ABA"/>
    <w:rsid w:val="00464B2D"/>
    <w:rsid w:val="00465F6D"/>
    <w:rsid w:val="00465FBC"/>
    <w:rsid w:val="00466086"/>
    <w:rsid w:val="00466142"/>
    <w:rsid w:val="004663C6"/>
    <w:rsid w:val="0046672E"/>
    <w:rsid w:val="00466BCD"/>
    <w:rsid w:val="00466C90"/>
    <w:rsid w:val="00466EA7"/>
    <w:rsid w:val="004670E3"/>
    <w:rsid w:val="004677EB"/>
    <w:rsid w:val="00467828"/>
    <w:rsid w:val="0047022C"/>
    <w:rsid w:val="00470BB1"/>
    <w:rsid w:val="00470D80"/>
    <w:rsid w:val="00470FDD"/>
    <w:rsid w:val="0047133A"/>
    <w:rsid w:val="00471396"/>
    <w:rsid w:val="00471BF0"/>
    <w:rsid w:val="00472383"/>
    <w:rsid w:val="00472792"/>
    <w:rsid w:val="00473037"/>
    <w:rsid w:val="004731CE"/>
    <w:rsid w:val="004738C4"/>
    <w:rsid w:val="00473E0E"/>
    <w:rsid w:val="00473EEC"/>
    <w:rsid w:val="00473FE0"/>
    <w:rsid w:val="004748BC"/>
    <w:rsid w:val="004749FF"/>
    <w:rsid w:val="00475593"/>
    <w:rsid w:val="00475D7F"/>
    <w:rsid w:val="00475FBC"/>
    <w:rsid w:val="00477765"/>
    <w:rsid w:val="004806A1"/>
    <w:rsid w:val="00480703"/>
    <w:rsid w:val="004809A0"/>
    <w:rsid w:val="00481281"/>
    <w:rsid w:val="004817ED"/>
    <w:rsid w:val="00481F20"/>
    <w:rsid w:val="004821BF"/>
    <w:rsid w:val="0048231A"/>
    <w:rsid w:val="004825D2"/>
    <w:rsid w:val="00482912"/>
    <w:rsid w:val="00482DD1"/>
    <w:rsid w:val="00483A16"/>
    <w:rsid w:val="00483DB8"/>
    <w:rsid w:val="00484170"/>
    <w:rsid w:val="00484BB7"/>
    <w:rsid w:val="00484D2C"/>
    <w:rsid w:val="00484EE4"/>
    <w:rsid w:val="004859B7"/>
    <w:rsid w:val="00485EF7"/>
    <w:rsid w:val="004863D8"/>
    <w:rsid w:val="0048666F"/>
    <w:rsid w:val="00486830"/>
    <w:rsid w:val="004869F6"/>
    <w:rsid w:val="004877F7"/>
    <w:rsid w:val="00490804"/>
    <w:rsid w:val="0049087C"/>
    <w:rsid w:val="00490D9A"/>
    <w:rsid w:val="00490FD6"/>
    <w:rsid w:val="00491403"/>
    <w:rsid w:val="00491496"/>
    <w:rsid w:val="00492488"/>
    <w:rsid w:val="00492D09"/>
    <w:rsid w:val="0049353F"/>
    <w:rsid w:val="00493678"/>
    <w:rsid w:val="004936D8"/>
    <w:rsid w:val="00493713"/>
    <w:rsid w:val="00494835"/>
    <w:rsid w:val="00494A83"/>
    <w:rsid w:val="00494AFA"/>
    <w:rsid w:val="00494F59"/>
    <w:rsid w:val="004951A7"/>
    <w:rsid w:val="004953E8"/>
    <w:rsid w:val="00495714"/>
    <w:rsid w:val="00495859"/>
    <w:rsid w:val="0049592B"/>
    <w:rsid w:val="00495AB6"/>
    <w:rsid w:val="00495C29"/>
    <w:rsid w:val="00495C2B"/>
    <w:rsid w:val="00495D7E"/>
    <w:rsid w:val="00496051"/>
    <w:rsid w:val="004964D4"/>
    <w:rsid w:val="004968D8"/>
    <w:rsid w:val="00496955"/>
    <w:rsid w:val="0049776E"/>
    <w:rsid w:val="00497E0C"/>
    <w:rsid w:val="00497F84"/>
    <w:rsid w:val="004A0E99"/>
    <w:rsid w:val="004A0FDA"/>
    <w:rsid w:val="004A1581"/>
    <w:rsid w:val="004A189B"/>
    <w:rsid w:val="004A192D"/>
    <w:rsid w:val="004A1FB3"/>
    <w:rsid w:val="004A26CC"/>
    <w:rsid w:val="004A273E"/>
    <w:rsid w:val="004A2E54"/>
    <w:rsid w:val="004A33EB"/>
    <w:rsid w:val="004A3834"/>
    <w:rsid w:val="004A3AC4"/>
    <w:rsid w:val="004A5128"/>
    <w:rsid w:val="004A5394"/>
    <w:rsid w:val="004A5850"/>
    <w:rsid w:val="004A5876"/>
    <w:rsid w:val="004A5BDB"/>
    <w:rsid w:val="004A6470"/>
    <w:rsid w:val="004A64B7"/>
    <w:rsid w:val="004A67A9"/>
    <w:rsid w:val="004A6A6F"/>
    <w:rsid w:val="004A6D08"/>
    <w:rsid w:val="004A6E7E"/>
    <w:rsid w:val="004A71FF"/>
    <w:rsid w:val="004A7256"/>
    <w:rsid w:val="004A7674"/>
    <w:rsid w:val="004A7B8E"/>
    <w:rsid w:val="004B0C97"/>
    <w:rsid w:val="004B1115"/>
    <w:rsid w:val="004B1A15"/>
    <w:rsid w:val="004B1AAC"/>
    <w:rsid w:val="004B1F78"/>
    <w:rsid w:val="004B225F"/>
    <w:rsid w:val="004B2AAA"/>
    <w:rsid w:val="004B3A5C"/>
    <w:rsid w:val="004B426E"/>
    <w:rsid w:val="004B4AE0"/>
    <w:rsid w:val="004B4FCE"/>
    <w:rsid w:val="004B5A19"/>
    <w:rsid w:val="004B5F40"/>
    <w:rsid w:val="004B6013"/>
    <w:rsid w:val="004B6DC3"/>
    <w:rsid w:val="004B720C"/>
    <w:rsid w:val="004B732A"/>
    <w:rsid w:val="004B7905"/>
    <w:rsid w:val="004B7D73"/>
    <w:rsid w:val="004B7FCB"/>
    <w:rsid w:val="004C053F"/>
    <w:rsid w:val="004C0BD2"/>
    <w:rsid w:val="004C15B4"/>
    <w:rsid w:val="004C1878"/>
    <w:rsid w:val="004C1BC5"/>
    <w:rsid w:val="004C1CD8"/>
    <w:rsid w:val="004C1E06"/>
    <w:rsid w:val="004C269B"/>
    <w:rsid w:val="004C2E6F"/>
    <w:rsid w:val="004C34ED"/>
    <w:rsid w:val="004C3903"/>
    <w:rsid w:val="004C3CBB"/>
    <w:rsid w:val="004C48B1"/>
    <w:rsid w:val="004C4D1F"/>
    <w:rsid w:val="004C53B6"/>
    <w:rsid w:val="004C5879"/>
    <w:rsid w:val="004C59B1"/>
    <w:rsid w:val="004C5B75"/>
    <w:rsid w:val="004C5D6A"/>
    <w:rsid w:val="004C5E4F"/>
    <w:rsid w:val="004C692D"/>
    <w:rsid w:val="004C7776"/>
    <w:rsid w:val="004C7814"/>
    <w:rsid w:val="004C78DE"/>
    <w:rsid w:val="004D015C"/>
    <w:rsid w:val="004D02BE"/>
    <w:rsid w:val="004D12E5"/>
    <w:rsid w:val="004D1754"/>
    <w:rsid w:val="004D1906"/>
    <w:rsid w:val="004D193D"/>
    <w:rsid w:val="004D1D09"/>
    <w:rsid w:val="004D2145"/>
    <w:rsid w:val="004D2ADD"/>
    <w:rsid w:val="004D2FF7"/>
    <w:rsid w:val="004D30DC"/>
    <w:rsid w:val="004D3840"/>
    <w:rsid w:val="004D3F43"/>
    <w:rsid w:val="004D47AD"/>
    <w:rsid w:val="004D4901"/>
    <w:rsid w:val="004D639E"/>
    <w:rsid w:val="004D6984"/>
    <w:rsid w:val="004D6EF6"/>
    <w:rsid w:val="004D759A"/>
    <w:rsid w:val="004D7C9B"/>
    <w:rsid w:val="004E055C"/>
    <w:rsid w:val="004E072F"/>
    <w:rsid w:val="004E078F"/>
    <w:rsid w:val="004E0F3C"/>
    <w:rsid w:val="004E1A34"/>
    <w:rsid w:val="004E1AF3"/>
    <w:rsid w:val="004E1B14"/>
    <w:rsid w:val="004E1F52"/>
    <w:rsid w:val="004E2344"/>
    <w:rsid w:val="004E276A"/>
    <w:rsid w:val="004E29AF"/>
    <w:rsid w:val="004E2A16"/>
    <w:rsid w:val="004E2B58"/>
    <w:rsid w:val="004E2DD3"/>
    <w:rsid w:val="004E3538"/>
    <w:rsid w:val="004E3AEB"/>
    <w:rsid w:val="004E421C"/>
    <w:rsid w:val="004E4295"/>
    <w:rsid w:val="004E42ED"/>
    <w:rsid w:val="004E4441"/>
    <w:rsid w:val="004E45D4"/>
    <w:rsid w:val="004E4B26"/>
    <w:rsid w:val="004E5D46"/>
    <w:rsid w:val="004E609D"/>
    <w:rsid w:val="004E6298"/>
    <w:rsid w:val="004E664B"/>
    <w:rsid w:val="004E74AC"/>
    <w:rsid w:val="004E79C1"/>
    <w:rsid w:val="004E7DF8"/>
    <w:rsid w:val="004F012B"/>
    <w:rsid w:val="004F03B4"/>
    <w:rsid w:val="004F0F4F"/>
    <w:rsid w:val="004F1619"/>
    <w:rsid w:val="004F167D"/>
    <w:rsid w:val="004F21E7"/>
    <w:rsid w:val="004F2C4C"/>
    <w:rsid w:val="004F3F35"/>
    <w:rsid w:val="004F41AF"/>
    <w:rsid w:val="004F44D7"/>
    <w:rsid w:val="004F4733"/>
    <w:rsid w:val="004F487E"/>
    <w:rsid w:val="004F4EA2"/>
    <w:rsid w:val="004F57EB"/>
    <w:rsid w:val="004F59D0"/>
    <w:rsid w:val="004F5A2A"/>
    <w:rsid w:val="004F5B34"/>
    <w:rsid w:val="004F5CA1"/>
    <w:rsid w:val="004F5D04"/>
    <w:rsid w:val="004F6096"/>
    <w:rsid w:val="004F60C1"/>
    <w:rsid w:val="004F6352"/>
    <w:rsid w:val="004F65C6"/>
    <w:rsid w:val="004F6C6D"/>
    <w:rsid w:val="004F6EBE"/>
    <w:rsid w:val="004F6FC1"/>
    <w:rsid w:val="004F74CC"/>
    <w:rsid w:val="004F754A"/>
    <w:rsid w:val="004F79A0"/>
    <w:rsid w:val="004F7C03"/>
    <w:rsid w:val="00500169"/>
    <w:rsid w:val="00500DA7"/>
    <w:rsid w:val="005015F5"/>
    <w:rsid w:val="0050182F"/>
    <w:rsid w:val="00501B50"/>
    <w:rsid w:val="00501CB6"/>
    <w:rsid w:val="00501CF5"/>
    <w:rsid w:val="00501DFC"/>
    <w:rsid w:val="005024B2"/>
    <w:rsid w:val="00502C56"/>
    <w:rsid w:val="00503361"/>
    <w:rsid w:val="00503693"/>
    <w:rsid w:val="00503AA3"/>
    <w:rsid w:val="00503B16"/>
    <w:rsid w:val="00504107"/>
    <w:rsid w:val="00504261"/>
    <w:rsid w:val="005047F7"/>
    <w:rsid w:val="00504AF2"/>
    <w:rsid w:val="00505593"/>
    <w:rsid w:val="005059B5"/>
    <w:rsid w:val="005059F1"/>
    <w:rsid w:val="00505CC1"/>
    <w:rsid w:val="00505E24"/>
    <w:rsid w:val="0050614F"/>
    <w:rsid w:val="00506159"/>
    <w:rsid w:val="005062FD"/>
    <w:rsid w:val="00506B74"/>
    <w:rsid w:val="00507012"/>
    <w:rsid w:val="00507088"/>
    <w:rsid w:val="00507243"/>
    <w:rsid w:val="00507616"/>
    <w:rsid w:val="00507EBC"/>
    <w:rsid w:val="00510637"/>
    <w:rsid w:val="0051081C"/>
    <w:rsid w:val="005108FA"/>
    <w:rsid w:val="00510B5B"/>
    <w:rsid w:val="00510B73"/>
    <w:rsid w:val="00510E1B"/>
    <w:rsid w:val="00511322"/>
    <w:rsid w:val="00511752"/>
    <w:rsid w:val="00511759"/>
    <w:rsid w:val="00511BDF"/>
    <w:rsid w:val="0051231D"/>
    <w:rsid w:val="0051256B"/>
    <w:rsid w:val="00512644"/>
    <w:rsid w:val="00512B32"/>
    <w:rsid w:val="00512C77"/>
    <w:rsid w:val="00513751"/>
    <w:rsid w:val="00513A28"/>
    <w:rsid w:val="00513ACC"/>
    <w:rsid w:val="00513BED"/>
    <w:rsid w:val="00513F26"/>
    <w:rsid w:val="00514385"/>
    <w:rsid w:val="005143A1"/>
    <w:rsid w:val="0051446A"/>
    <w:rsid w:val="00514915"/>
    <w:rsid w:val="00514C46"/>
    <w:rsid w:val="00514D24"/>
    <w:rsid w:val="00514E78"/>
    <w:rsid w:val="0051528E"/>
    <w:rsid w:val="00515374"/>
    <w:rsid w:val="0051567E"/>
    <w:rsid w:val="0051617B"/>
    <w:rsid w:val="00516281"/>
    <w:rsid w:val="00516452"/>
    <w:rsid w:val="0051660C"/>
    <w:rsid w:val="0051668C"/>
    <w:rsid w:val="00516845"/>
    <w:rsid w:val="00516BE4"/>
    <w:rsid w:val="005170B2"/>
    <w:rsid w:val="0051737E"/>
    <w:rsid w:val="00517EFA"/>
    <w:rsid w:val="00517F17"/>
    <w:rsid w:val="005202CB"/>
    <w:rsid w:val="005202EC"/>
    <w:rsid w:val="0052060D"/>
    <w:rsid w:val="005209DB"/>
    <w:rsid w:val="00520C3A"/>
    <w:rsid w:val="005214C2"/>
    <w:rsid w:val="005214FF"/>
    <w:rsid w:val="00521700"/>
    <w:rsid w:val="00521777"/>
    <w:rsid w:val="00521B3E"/>
    <w:rsid w:val="0052294E"/>
    <w:rsid w:val="00523305"/>
    <w:rsid w:val="00523868"/>
    <w:rsid w:val="00523E05"/>
    <w:rsid w:val="00523F57"/>
    <w:rsid w:val="00524BD4"/>
    <w:rsid w:val="00524DCF"/>
    <w:rsid w:val="00524E2C"/>
    <w:rsid w:val="00525E59"/>
    <w:rsid w:val="00525E5F"/>
    <w:rsid w:val="005261AF"/>
    <w:rsid w:val="00526405"/>
    <w:rsid w:val="00526898"/>
    <w:rsid w:val="00527D9F"/>
    <w:rsid w:val="0053064D"/>
    <w:rsid w:val="005306AC"/>
    <w:rsid w:val="00530953"/>
    <w:rsid w:val="0053119B"/>
    <w:rsid w:val="00531374"/>
    <w:rsid w:val="00531736"/>
    <w:rsid w:val="005318BF"/>
    <w:rsid w:val="00531982"/>
    <w:rsid w:val="00531D04"/>
    <w:rsid w:val="00533533"/>
    <w:rsid w:val="0053359E"/>
    <w:rsid w:val="005335A0"/>
    <w:rsid w:val="00533856"/>
    <w:rsid w:val="00533D84"/>
    <w:rsid w:val="00533FC8"/>
    <w:rsid w:val="0053444C"/>
    <w:rsid w:val="0053474D"/>
    <w:rsid w:val="00534CD6"/>
    <w:rsid w:val="00535505"/>
    <w:rsid w:val="0053586B"/>
    <w:rsid w:val="0053593F"/>
    <w:rsid w:val="00535C3A"/>
    <w:rsid w:val="00536409"/>
    <w:rsid w:val="00536FC5"/>
    <w:rsid w:val="00537093"/>
    <w:rsid w:val="005371A8"/>
    <w:rsid w:val="00540317"/>
    <w:rsid w:val="00540366"/>
    <w:rsid w:val="0054077C"/>
    <w:rsid w:val="005408A2"/>
    <w:rsid w:val="00540908"/>
    <w:rsid w:val="00541638"/>
    <w:rsid w:val="0054165D"/>
    <w:rsid w:val="00541676"/>
    <w:rsid w:val="00541C81"/>
    <w:rsid w:val="00541FC7"/>
    <w:rsid w:val="00542AF4"/>
    <w:rsid w:val="00542C75"/>
    <w:rsid w:val="00542D45"/>
    <w:rsid w:val="00542ED2"/>
    <w:rsid w:val="00543FE8"/>
    <w:rsid w:val="00544470"/>
    <w:rsid w:val="00544F27"/>
    <w:rsid w:val="005451E5"/>
    <w:rsid w:val="00545210"/>
    <w:rsid w:val="00545FE7"/>
    <w:rsid w:val="0054639D"/>
    <w:rsid w:val="005465AB"/>
    <w:rsid w:val="00546720"/>
    <w:rsid w:val="005468DA"/>
    <w:rsid w:val="00546DB0"/>
    <w:rsid w:val="005476D2"/>
    <w:rsid w:val="00547A6D"/>
    <w:rsid w:val="00547D1F"/>
    <w:rsid w:val="0055043C"/>
    <w:rsid w:val="00550653"/>
    <w:rsid w:val="005506DB"/>
    <w:rsid w:val="005508A6"/>
    <w:rsid w:val="00550C17"/>
    <w:rsid w:val="005516E5"/>
    <w:rsid w:val="0055190D"/>
    <w:rsid w:val="00552580"/>
    <w:rsid w:val="005527E1"/>
    <w:rsid w:val="005536ED"/>
    <w:rsid w:val="0055456A"/>
    <w:rsid w:val="0055500A"/>
    <w:rsid w:val="0055506F"/>
    <w:rsid w:val="005552B1"/>
    <w:rsid w:val="005559B3"/>
    <w:rsid w:val="005564BB"/>
    <w:rsid w:val="00556C8A"/>
    <w:rsid w:val="00556CAC"/>
    <w:rsid w:val="00556EEC"/>
    <w:rsid w:val="00557C06"/>
    <w:rsid w:val="00557CA1"/>
    <w:rsid w:val="00557D1E"/>
    <w:rsid w:val="005604F7"/>
    <w:rsid w:val="00560542"/>
    <w:rsid w:val="00560BE7"/>
    <w:rsid w:val="00560D8E"/>
    <w:rsid w:val="00560EDF"/>
    <w:rsid w:val="00561565"/>
    <w:rsid w:val="00561FC2"/>
    <w:rsid w:val="005622A9"/>
    <w:rsid w:val="005628DE"/>
    <w:rsid w:val="00562962"/>
    <w:rsid w:val="00563C4D"/>
    <w:rsid w:val="00563FC8"/>
    <w:rsid w:val="005642A8"/>
    <w:rsid w:val="00564A5B"/>
    <w:rsid w:val="00564AD4"/>
    <w:rsid w:val="00564B70"/>
    <w:rsid w:val="00564E28"/>
    <w:rsid w:val="005655AC"/>
    <w:rsid w:val="00566211"/>
    <w:rsid w:val="005666CE"/>
    <w:rsid w:val="00567597"/>
    <w:rsid w:val="00567E29"/>
    <w:rsid w:val="00567EBF"/>
    <w:rsid w:val="005701ED"/>
    <w:rsid w:val="00570F81"/>
    <w:rsid w:val="005711A8"/>
    <w:rsid w:val="005711BF"/>
    <w:rsid w:val="00571735"/>
    <w:rsid w:val="00571D53"/>
    <w:rsid w:val="00571DDE"/>
    <w:rsid w:val="00572427"/>
    <w:rsid w:val="005724E9"/>
    <w:rsid w:val="00572AE7"/>
    <w:rsid w:val="005731DB"/>
    <w:rsid w:val="00573560"/>
    <w:rsid w:val="00573576"/>
    <w:rsid w:val="00573577"/>
    <w:rsid w:val="00573A42"/>
    <w:rsid w:val="00573AB8"/>
    <w:rsid w:val="00573BC1"/>
    <w:rsid w:val="00574AC4"/>
    <w:rsid w:val="00574D37"/>
    <w:rsid w:val="00574FE8"/>
    <w:rsid w:val="00575082"/>
    <w:rsid w:val="005765AC"/>
    <w:rsid w:val="0057665E"/>
    <w:rsid w:val="005769C9"/>
    <w:rsid w:val="00576F54"/>
    <w:rsid w:val="0057736F"/>
    <w:rsid w:val="0057760D"/>
    <w:rsid w:val="00577742"/>
    <w:rsid w:val="00577E0A"/>
    <w:rsid w:val="00577FC3"/>
    <w:rsid w:val="0058000F"/>
    <w:rsid w:val="005802C7"/>
    <w:rsid w:val="0058057F"/>
    <w:rsid w:val="0058073A"/>
    <w:rsid w:val="005811E3"/>
    <w:rsid w:val="005814B1"/>
    <w:rsid w:val="00581C41"/>
    <w:rsid w:val="00582428"/>
    <w:rsid w:val="00582CD4"/>
    <w:rsid w:val="00583F23"/>
    <w:rsid w:val="005846B1"/>
    <w:rsid w:val="005846BA"/>
    <w:rsid w:val="005849C2"/>
    <w:rsid w:val="00584B4C"/>
    <w:rsid w:val="00585517"/>
    <w:rsid w:val="0058594B"/>
    <w:rsid w:val="00585BA6"/>
    <w:rsid w:val="00585E38"/>
    <w:rsid w:val="00585EC6"/>
    <w:rsid w:val="00585EDC"/>
    <w:rsid w:val="0058627C"/>
    <w:rsid w:val="00586699"/>
    <w:rsid w:val="005867A4"/>
    <w:rsid w:val="0058690D"/>
    <w:rsid w:val="00586C94"/>
    <w:rsid w:val="0058719D"/>
    <w:rsid w:val="00587CBC"/>
    <w:rsid w:val="00590123"/>
    <w:rsid w:val="00590571"/>
    <w:rsid w:val="00591329"/>
    <w:rsid w:val="00591406"/>
    <w:rsid w:val="005915E1"/>
    <w:rsid w:val="0059184F"/>
    <w:rsid w:val="00591A98"/>
    <w:rsid w:val="00592281"/>
    <w:rsid w:val="00592533"/>
    <w:rsid w:val="0059290F"/>
    <w:rsid w:val="00592CDB"/>
    <w:rsid w:val="00592FFC"/>
    <w:rsid w:val="005936C8"/>
    <w:rsid w:val="00593BB0"/>
    <w:rsid w:val="0059410D"/>
    <w:rsid w:val="005943B7"/>
    <w:rsid w:val="0059456E"/>
    <w:rsid w:val="00594699"/>
    <w:rsid w:val="0059544D"/>
    <w:rsid w:val="00595B77"/>
    <w:rsid w:val="00595CE5"/>
    <w:rsid w:val="00595E29"/>
    <w:rsid w:val="00596A0E"/>
    <w:rsid w:val="0059709D"/>
    <w:rsid w:val="0059760E"/>
    <w:rsid w:val="00597A8B"/>
    <w:rsid w:val="00597BFB"/>
    <w:rsid w:val="005A0507"/>
    <w:rsid w:val="005A07F8"/>
    <w:rsid w:val="005A09DC"/>
    <w:rsid w:val="005A0E5A"/>
    <w:rsid w:val="005A106A"/>
    <w:rsid w:val="005A1B02"/>
    <w:rsid w:val="005A1D2B"/>
    <w:rsid w:val="005A1DA5"/>
    <w:rsid w:val="005A2122"/>
    <w:rsid w:val="005A21F7"/>
    <w:rsid w:val="005A23B4"/>
    <w:rsid w:val="005A25CC"/>
    <w:rsid w:val="005A26E0"/>
    <w:rsid w:val="005A2837"/>
    <w:rsid w:val="005A2909"/>
    <w:rsid w:val="005A2E0F"/>
    <w:rsid w:val="005A311C"/>
    <w:rsid w:val="005A34E9"/>
    <w:rsid w:val="005A3645"/>
    <w:rsid w:val="005A37A4"/>
    <w:rsid w:val="005A3A6E"/>
    <w:rsid w:val="005A3A92"/>
    <w:rsid w:val="005A3EB4"/>
    <w:rsid w:val="005A46D6"/>
    <w:rsid w:val="005A4D72"/>
    <w:rsid w:val="005A50D8"/>
    <w:rsid w:val="005A579A"/>
    <w:rsid w:val="005A6441"/>
    <w:rsid w:val="005A66F0"/>
    <w:rsid w:val="005A69C7"/>
    <w:rsid w:val="005A6BAD"/>
    <w:rsid w:val="005A6FDB"/>
    <w:rsid w:val="005A711D"/>
    <w:rsid w:val="005A71EE"/>
    <w:rsid w:val="005A7514"/>
    <w:rsid w:val="005A7B4D"/>
    <w:rsid w:val="005A7C60"/>
    <w:rsid w:val="005B022B"/>
    <w:rsid w:val="005B08DF"/>
    <w:rsid w:val="005B0906"/>
    <w:rsid w:val="005B0A2E"/>
    <w:rsid w:val="005B0B1B"/>
    <w:rsid w:val="005B1332"/>
    <w:rsid w:val="005B1387"/>
    <w:rsid w:val="005B15EC"/>
    <w:rsid w:val="005B16FD"/>
    <w:rsid w:val="005B177F"/>
    <w:rsid w:val="005B1F7B"/>
    <w:rsid w:val="005B1FA3"/>
    <w:rsid w:val="005B26AF"/>
    <w:rsid w:val="005B272B"/>
    <w:rsid w:val="005B2AE3"/>
    <w:rsid w:val="005B2C13"/>
    <w:rsid w:val="005B2DE2"/>
    <w:rsid w:val="005B328C"/>
    <w:rsid w:val="005B3429"/>
    <w:rsid w:val="005B3A1D"/>
    <w:rsid w:val="005B420B"/>
    <w:rsid w:val="005B46F7"/>
    <w:rsid w:val="005B4F89"/>
    <w:rsid w:val="005B5AB2"/>
    <w:rsid w:val="005B5CEE"/>
    <w:rsid w:val="005B6A19"/>
    <w:rsid w:val="005B6DE8"/>
    <w:rsid w:val="005B712E"/>
    <w:rsid w:val="005B76DE"/>
    <w:rsid w:val="005B78A4"/>
    <w:rsid w:val="005B7927"/>
    <w:rsid w:val="005C04E1"/>
    <w:rsid w:val="005C05CF"/>
    <w:rsid w:val="005C0643"/>
    <w:rsid w:val="005C06A3"/>
    <w:rsid w:val="005C0C4D"/>
    <w:rsid w:val="005C101E"/>
    <w:rsid w:val="005C1049"/>
    <w:rsid w:val="005C1240"/>
    <w:rsid w:val="005C12AB"/>
    <w:rsid w:val="005C196B"/>
    <w:rsid w:val="005C1BEB"/>
    <w:rsid w:val="005C20D0"/>
    <w:rsid w:val="005C239E"/>
    <w:rsid w:val="005C2E63"/>
    <w:rsid w:val="005C2F6D"/>
    <w:rsid w:val="005C30F8"/>
    <w:rsid w:val="005C3188"/>
    <w:rsid w:val="005C34A4"/>
    <w:rsid w:val="005C3D35"/>
    <w:rsid w:val="005C3DBA"/>
    <w:rsid w:val="005C4232"/>
    <w:rsid w:val="005C4548"/>
    <w:rsid w:val="005C46B9"/>
    <w:rsid w:val="005C473D"/>
    <w:rsid w:val="005C47B9"/>
    <w:rsid w:val="005C4E72"/>
    <w:rsid w:val="005C4F37"/>
    <w:rsid w:val="005C50A9"/>
    <w:rsid w:val="005C52E8"/>
    <w:rsid w:val="005C59B1"/>
    <w:rsid w:val="005C5DB6"/>
    <w:rsid w:val="005C6721"/>
    <w:rsid w:val="005C6F06"/>
    <w:rsid w:val="005C744A"/>
    <w:rsid w:val="005C749B"/>
    <w:rsid w:val="005C7AA2"/>
    <w:rsid w:val="005C7AB0"/>
    <w:rsid w:val="005C7CCF"/>
    <w:rsid w:val="005C7E71"/>
    <w:rsid w:val="005D023F"/>
    <w:rsid w:val="005D062D"/>
    <w:rsid w:val="005D0BA3"/>
    <w:rsid w:val="005D10CE"/>
    <w:rsid w:val="005D10F1"/>
    <w:rsid w:val="005D12F5"/>
    <w:rsid w:val="005D140A"/>
    <w:rsid w:val="005D156F"/>
    <w:rsid w:val="005D167E"/>
    <w:rsid w:val="005D197B"/>
    <w:rsid w:val="005D1BA6"/>
    <w:rsid w:val="005D1BC2"/>
    <w:rsid w:val="005D1F9C"/>
    <w:rsid w:val="005D20CD"/>
    <w:rsid w:val="005D2390"/>
    <w:rsid w:val="005D341F"/>
    <w:rsid w:val="005D3624"/>
    <w:rsid w:val="005D3807"/>
    <w:rsid w:val="005D39DA"/>
    <w:rsid w:val="005D3AE7"/>
    <w:rsid w:val="005D3CA7"/>
    <w:rsid w:val="005D3E11"/>
    <w:rsid w:val="005D3F34"/>
    <w:rsid w:val="005D400F"/>
    <w:rsid w:val="005D412E"/>
    <w:rsid w:val="005D4470"/>
    <w:rsid w:val="005D4FC6"/>
    <w:rsid w:val="005D50A9"/>
    <w:rsid w:val="005D50D9"/>
    <w:rsid w:val="005D5967"/>
    <w:rsid w:val="005D5CDE"/>
    <w:rsid w:val="005D5E98"/>
    <w:rsid w:val="005D5FB1"/>
    <w:rsid w:val="005D5FC2"/>
    <w:rsid w:val="005D6134"/>
    <w:rsid w:val="005D615B"/>
    <w:rsid w:val="005D6497"/>
    <w:rsid w:val="005D66C6"/>
    <w:rsid w:val="005D68E4"/>
    <w:rsid w:val="005D70BC"/>
    <w:rsid w:val="005D7FEF"/>
    <w:rsid w:val="005E02A3"/>
    <w:rsid w:val="005E0377"/>
    <w:rsid w:val="005E0616"/>
    <w:rsid w:val="005E0934"/>
    <w:rsid w:val="005E0977"/>
    <w:rsid w:val="005E0AD5"/>
    <w:rsid w:val="005E1005"/>
    <w:rsid w:val="005E1033"/>
    <w:rsid w:val="005E12B1"/>
    <w:rsid w:val="005E15DD"/>
    <w:rsid w:val="005E16F6"/>
    <w:rsid w:val="005E1B10"/>
    <w:rsid w:val="005E1C9A"/>
    <w:rsid w:val="005E1EC1"/>
    <w:rsid w:val="005E23B0"/>
    <w:rsid w:val="005E288B"/>
    <w:rsid w:val="005E2CF9"/>
    <w:rsid w:val="005E31E4"/>
    <w:rsid w:val="005E365C"/>
    <w:rsid w:val="005E36F4"/>
    <w:rsid w:val="005E38AA"/>
    <w:rsid w:val="005E3AD6"/>
    <w:rsid w:val="005E3D62"/>
    <w:rsid w:val="005E3D95"/>
    <w:rsid w:val="005E4184"/>
    <w:rsid w:val="005E47C8"/>
    <w:rsid w:val="005E52F6"/>
    <w:rsid w:val="005E542F"/>
    <w:rsid w:val="005E5567"/>
    <w:rsid w:val="005E5A1C"/>
    <w:rsid w:val="005E5CD9"/>
    <w:rsid w:val="005E5D22"/>
    <w:rsid w:val="005E5E62"/>
    <w:rsid w:val="005E625E"/>
    <w:rsid w:val="005E63A4"/>
    <w:rsid w:val="005E65CD"/>
    <w:rsid w:val="005E6696"/>
    <w:rsid w:val="005E6C21"/>
    <w:rsid w:val="005E6E58"/>
    <w:rsid w:val="005E73C8"/>
    <w:rsid w:val="005E7D12"/>
    <w:rsid w:val="005E7F4D"/>
    <w:rsid w:val="005F0531"/>
    <w:rsid w:val="005F0763"/>
    <w:rsid w:val="005F0B68"/>
    <w:rsid w:val="005F0DE8"/>
    <w:rsid w:val="005F10F2"/>
    <w:rsid w:val="005F17C3"/>
    <w:rsid w:val="005F2B48"/>
    <w:rsid w:val="005F2C27"/>
    <w:rsid w:val="005F2D8E"/>
    <w:rsid w:val="005F32A3"/>
    <w:rsid w:val="005F3C34"/>
    <w:rsid w:val="005F4436"/>
    <w:rsid w:val="005F44E2"/>
    <w:rsid w:val="005F49AE"/>
    <w:rsid w:val="005F5489"/>
    <w:rsid w:val="005F59AF"/>
    <w:rsid w:val="005F59E1"/>
    <w:rsid w:val="005F60D9"/>
    <w:rsid w:val="005F60EA"/>
    <w:rsid w:val="005F63DC"/>
    <w:rsid w:val="005F6471"/>
    <w:rsid w:val="005F6673"/>
    <w:rsid w:val="005F67BB"/>
    <w:rsid w:val="005F731F"/>
    <w:rsid w:val="005F7A4D"/>
    <w:rsid w:val="005F7DFC"/>
    <w:rsid w:val="00600319"/>
    <w:rsid w:val="0060034A"/>
    <w:rsid w:val="006007D0"/>
    <w:rsid w:val="0060086A"/>
    <w:rsid w:val="00600A2A"/>
    <w:rsid w:val="0060100B"/>
    <w:rsid w:val="006010A1"/>
    <w:rsid w:val="00601372"/>
    <w:rsid w:val="00602777"/>
    <w:rsid w:val="00602967"/>
    <w:rsid w:val="00602BA0"/>
    <w:rsid w:val="00602D70"/>
    <w:rsid w:val="00602E3B"/>
    <w:rsid w:val="00602FB3"/>
    <w:rsid w:val="00602FDC"/>
    <w:rsid w:val="00603604"/>
    <w:rsid w:val="006038C6"/>
    <w:rsid w:val="00603A25"/>
    <w:rsid w:val="00603AFC"/>
    <w:rsid w:val="00603C5C"/>
    <w:rsid w:val="00603C5F"/>
    <w:rsid w:val="006041A8"/>
    <w:rsid w:val="0060421D"/>
    <w:rsid w:val="0060422A"/>
    <w:rsid w:val="006045F8"/>
    <w:rsid w:val="00604913"/>
    <w:rsid w:val="00604960"/>
    <w:rsid w:val="006049D5"/>
    <w:rsid w:val="00604D7D"/>
    <w:rsid w:val="0060528B"/>
    <w:rsid w:val="00605309"/>
    <w:rsid w:val="006053B9"/>
    <w:rsid w:val="006054EE"/>
    <w:rsid w:val="00605DB0"/>
    <w:rsid w:val="00605F45"/>
    <w:rsid w:val="006068F5"/>
    <w:rsid w:val="00607028"/>
    <w:rsid w:val="006070F6"/>
    <w:rsid w:val="006076CE"/>
    <w:rsid w:val="006079F6"/>
    <w:rsid w:val="00607A99"/>
    <w:rsid w:val="00610550"/>
    <w:rsid w:val="00610B0C"/>
    <w:rsid w:val="006115D8"/>
    <w:rsid w:val="00611D28"/>
    <w:rsid w:val="00611F9D"/>
    <w:rsid w:val="00612065"/>
    <w:rsid w:val="00612261"/>
    <w:rsid w:val="00612BF7"/>
    <w:rsid w:val="00613024"/>
    <w:rsid w:val="00613578"/>
    <w:rsid w:val="00613681"/>
    <w:rsid w:val="006139C6"/>
    <w:rsid w:val="00613B29"/>
    <w:rsid w:val="006147B2"/>
    <w:rsid w:val="00614A8F"/>
    <w:rsid w:val="00614DFC"/>
    <w:rsid w:val="0061569A"/>
    <w:rsid w:val="00615783"/>
    <w:rsid w:val="00615D04"/>
    <w:rsid w:val="00615FCC"/>
    <w:rsid w:val="006177B6"/>
    <w:rsid w:val="00617DA3"/>
    <w:rsid w:val="00617F19"/>
    <w:rsid w:val="00621028"/>
    <w:rsid w:val="00622161"/>
    <w:rsid w:val="006221FE"/>
    <w:rsid w:val="006226B6"/>
    <w:rsid w:val="00622A79"/>
    <w:rsid w:val="00622F85"/>
    <w:rsid w:val="0062311D"/>
    <w:rsid w:val="006234B9"/>
    <w:rsid w:val="0062392C"/>
    <w:rsid w:val="00623F60"/>
    <w:rsid w:val="00624093"/>
    <w:rsid w:val="00624116"/>
    <w:rsid w:val="006246FC"/>
    <w:rsid w:val="00624B73"/>
    <w:rsid w:val="0062520B"/>
    <w:rsid w:val="0062585C"/>
    <w:rsid w:val="0062587B"/>
    <w:rsid w:val="00625884"/>
    <w:rsid w:val="006258CE"/>
    <w:rsid w:val="00625AFD"/>
    <w:rsid w:val="00625C32"/>
    <w:rsid w:val="00626159"/>
    <w:rsid w:val="00626483"/>
    <w:rsid w:val="00626750"/>
    <w:rsid w:val="00626781"/>
    <w:rsid w:val="00626A9A"/>
    <w:rsid w:val="00626B8F"/>
    <w:rsid w:val="00626C80"/>
    <w:rsid w:val="00626ED2"/>
    <w:rsid w:val="00627E16"/>
    <w:rsid w:val="00627F50"/>
    <w:rsid w:val="0063017F"/>
    <w:rsid w:val="00630B0A"/>
    <w:rsid w:val="00630BCA"/>
    <w:rsid w:val="00630BCC"/>
    <w:rsid w:val="0063114C"/>
    <w:rsid w:val="006315F6"/>
    <w:rsid w:val="00631AC8"/>
    <w:rsid w:val="00631F5A"/>
    <w:rsid w:val="006332E7"/>
    <w:rsid w:val="00633576"/>
    <w:rsid w:val="00633D22"/>
    <w:rsid w:val="00633FCC"/>
    <w:rsid w:val="00634681"/>
    <w:rsid w:val="00634F53"/>
    <w:rsid w:val="00634FF1"/>
    <w:rsid w:val="0063592E"/>
    <w:rsid w:val="006359E7"/>
    <w:rsid w:val="00635C16"/>
    <w:rsid w:val="00637C39"/>
    <w:rsid w:val="00637F5D"/>
    <w:rsid w:val="006409D1"/>
    <w:rsid w:val="00640B8F"/>
    <w:rsid w:val="00640CFF"/>
    <w:rsid w:val="0064102C"/>
    <w:rsid w:val="0064104A"/>
    <w:rsid w:val="00641356"/>
    <w:rsid w:val="00641B55"/>
    <w:rsid w:val="00641CD1"/>
    <w:rsid w:val="006423D2"/>
    <w:rsid w:val="00642487"/>
    <w:rsid w:val="006424B8"/>
    <w:rsid w:val="006426E3"/>
    <w:rsid w:val="0064281E"/>
    <w:rsid w:val="00642CC4"/>
    <w:rsid w:val="00642F4C"/>
    <w:rsid w:val="00643D0C"/>
    <w:rsid w:val="00643D19"/>
    <w:rsid w:val="00643FFB"/>
    <w:rsid w:val="0064404D"/>
    <w:rsid w:val="00644F3B"/>
    <w:rsid w:val="00645374"/>
    <w:rsid w:val="006458D1"/>
    <w:rsid w:val="006471EE"/>
    <w:rsid w:val="006475F5"/>
    <w:rsid w:val="00647C27"/>
    <w:rsid w:val="00647D38"/>
    <w:rsid w:val="00647ECD"/>
    <w:rsid w:val="00647F6C"/>
    <w:rsid w:val="006507DE"/>
    <w:rsid w:val="00651006"/>
    <w:rsid w:val="00651392"/>
    <w:rsid w:val="00651456"/>
    <w:rsid w:val="00651830"/>
    <w:rsid w:val="0065194F"/>
    <w:rsid w:val="006524FC"/>
    <w:rsid w:val="00652759"/>
    <w:rsid w:val="006529D7"/>
    <w:rsid w:val="00652A5E"/>
    <w:rsid w:val="00652F2E"/>
    <w:rsid w:val="00652FB7"/>
    <w:rsid w:val="006540E4"/>
    <w:rsid w:val="0065417A"/>
    <w:rsid w:val="006545A6"/>
    <w:rsid w:val="006546AB"/>
    <w:rsid w:val="00654839"/>
    <w:rsid w:val="00654C57"/>
    <w:rsid w:val="00654CC7"/>
    <w:rsid w:val="00654EB2"/>
    <w:rsid w:val="0065586E"/>
    <w:rsid w:val="00655D76"/>
    <w:rsid w:val="00655E3B"/>
    <w:rsid w:val="0065688B"/>
    <w:rsid w:val="00656B2A"/>
    <w:rsid w:val="00656DB1"/>
    <w:rsid w:val="00657401"/>
    <w:rsid w:val="00657D05"/>
    <w:rsid w:val="00657F39"/>
    <w:rsid w:val="0066018F"/>
    <w:rsid w:val="00660368"/>
    <w:rsid w:val="0066054D"/>
    <w:rsid w:val="006605E9"/>
    <w:rsid w:val="00660C11"/>
    <w:rsid w:val="00661217"/>
    <w:rsid w:val="00661281"/>
    <w:rsid w:val="00661C2C"/>
    <w:rsid w:val="00661FB3"/>
    <w:rsid w:val="00662AB9"/>
    <w:rsid w:val="00663181"/>
    <w:rsid w:val="00663299"/>
    <w:rsid w:val="006634F9"/>
    <w:rsid w:val="006637EA"/>
    <w:rsid w:val="006638EE"/>
    <w:rsid w:val="00663A93"/>
    <w:rsid w:val="00663CB1"/>
    <w:rsid w:val="00663EC2"/>
    <w:rsid w:val="00664249"/>
    <w:rsid w:val="006643CA"/>
    <w:rsid w:val="00664D0A"/>
    <w:rsid w:val="00665A1B"/>
    <w:rsid w:val="006663B2"/>
    <w:rsid w:val="0066679A"/>
    <w:rsid w:val="00666A86"/>
    <w:rsid w:val="0066723D"/>
    <w:rsid w:val="00667415"/>
    <w:rsid w:val="0066757E"/>
    <w:rsid w:val="00667767"/>
    <w:rsid w:val="0066790C"/>
    <w:rsid w:val="00667A4D"/>
    <w:rsid w:val="00670636"/>
    <w:rsid w:val="006709B2"/>
    <w:rsid w:val="00670C2D"/>
    <w:rsid w:val="0067101F"/>
    <w:rsid w:val="006712EF"/>
    <w:rsid w:val="006716A3"/>
    <w:rsid w:val="006717FC"/>
    <w:rsid w:val="00671E8D"/>
    <w:rsid w:val="006720BC"/>
    <w:rsid w:val="00672449"/>
    <w:rsid w:val="00672457"/>
    <w:rsid w:val="006726B8"/>
    <w:rsid w:val="00672729"/>
    <w:rsid w:val="006727EF"/>
    <w:rsid w:val="00672902"/>
    <w:rsid w:val="00672978"/>
    <w:rsid w:val="00673046"/>
    <w:rsid w:val="00673794"/>
    <w:rsid w:val="006738DD"/>
    <w:rsid w:val="00673A25"/>
    <w:rsid w:val="00673A26"/>
    <w:rsid w:val="00673D74"/>
    <w:rsid w:val="00674458"/>
    <w:rsid w:val="00674469"/>
    <w:rsid w:val="00674588"/>
    <w:rsid w:val="00674AFB"/>
    <w:rsid w:val="00674C24"/>
    <w:rsid w:val="00674D18"/>
    <w:rsid w:val="0067504A"/>
    <w:rsid w:val="006752DD"/>
    <w:rsid w:val="00675969"/>
    <w:rsid w:val="00675DB5"/>
    <w:rsid w:val="00675DBE"/>
    <w:rsid w:val="00676101"/>
    <w:rsid w:val="006761B3"/>
    <w:rsid w:val="00676705"/>
    <w:rsid w:val="0067690A"/>
    <w:rsid w:val="00676D68"/>
    <w:rsid w:val="00676E4B"/>
    <w:rsid w:val="00677281"/>
    <w:rsid w:val="00677662"/>
    <w:rsid w:val="0067775B"/>
    <w:rsid w:val="00677F81"/>
    <w:rsid w:val="0068105E"/>
    <w:rsid w:val="00681B56"/>
    <w:rsid w:val="00681BC7"/>
    <w:rsid w:val="00681F3A"/>
    <w:rsid w:val="006821C1"/>
    <w:rsid w:val="00682524"/>
    <w:rsid w:val="0068254E"/>
    <w:rsid w:val="00682623"/>
    <w:rsid w:val="00682C23"/>
    <w:rsid w:val="006831B2"/>
    <w:rsid w:val="0068354B"/>
    <w:rsid w:val="006838E5"/>
    <w:rsid w:val="00683B7F"/>
    <w:rsid w:val="00683D5C"/>
    <w:rsid w:val="00683D94"/>
    <w:rsid w:val="00684011"/>
    <w:rsid w:val="0068415B"/>
    <w:rsid w:val="00684940"/>
    <w:rsid w:val="00684A95"/>
    <w:rsid w:val="00684D4E"/>
    <w:rsid w:val="00684E6A"/>
    <w:rsid w:val="00684F24"/>
    <w:rsid w:val="00685281"/>
    <w:rsid w:val="006857EB"/>
    <w:rsid w:val="006857FC"/>
    <w:rsid w:val="00685899"/>
    <w:rsid w:val="00685973"/>
    <w:rsid w:val="00685A94"/>
    <w:rsid w:val="0068611E"/>
    <w:rsid w:val="006871A8"/>
    <w:rsid w:val="006873F8"/>
    <w:rsid w:val="00687867"/>
    <w:rsid w:val="00687A14"/>
    <w:rsid w:val="00687B9B"/>
    <w:rsid w:val="00687FD4"/>
    <w:rsid w:val="00690444"/>
    <w:rsid w:val="00690BDF"/>
    <w:rsid w:val="00690FF3"/>
    <w:rsid w:val="006911FD"/>
    <w:rsid w:val="006919C3"/>
    <w:rsid w:val="00691C49"/>
    <w:rsid w:val="0069249C"/>
    <w:rsid w:val="0069289B"/>
    <w:rsid w:val="00692950"/>
    <w:rsid w:val="0069297D"/>
    <w:rsid w:val="00692A5F"/>
    <w:rsid w:val="00693147"/>
    <w:rsid w:val="006938C7"/>
    <w:rsid w:val="006938D0"/>
    <w:rsid w:val="006939BA"/>
    <w:rsid w:val="00693E91"/>
    <w:rsid w:val="006943DF"/>
    <w:rsid w:val="00694445"/>
    <w:rsid w:val="006945BB"/>
    <w:rsid w:val="006949BB"/>
    <w:rsid w:val="00695632"/>
    <w:rsid w:val="0069575F"/>
    <w:rsid w:val="00695EB3"/>
    <w:rsid w:val="006963CC"/>
    <w:rsid w:val="00696571"/>
    <w:rsid w:val="006967FC"/>
    <w:rsid w:val="006968A1"/>
    <w:rsid w:val="0069691B"/>
    <w:rsid w:val="00696E4E"/>
    <w:rsid w:val="00697BE0"/>
    <w:rsid w:val="00697DBC"/>
    <w:rsid w:val="00697DE9"/>
    <w:rsid w:val="006A00EA"/>
    <w:rsid w:val="006A01B9"/>
    <w:rsid w:val="006A0A29"/>
    <w:rsid w:val="006A11E4"/>
    <w:rsid w:val="006A1579"/>
    <w:rsid w:val="006A1909"/>
    <w:rsid w:val="006A1A92"/>
    <w:rsid w:val="006A23E9"/>
    <w:rsid w:val="006A2486"/>
    <w:rsid w:val="006A26ED"/>
    <w:rsid w:val="006A2904"/>
    <w:rsid w:val="006A2B90"/>
    <w:rsid w:val="006A3099"/>
    <w:rsid w:val="006A3367"/>
    <w:rsid w:val="006A3CE1"/>
    <w:rsid w:val="006A3EC4"/>
    <w:rsid w:val="006A42B7"/>
    <w:rsid w:val="006A43CE"/>
    <w:rsid w:val="006A4554"/>
    <w:rsid w:val="006A461B"/>
    <w:rsid w:val="006A4868"/>
    <w:rsid w:val="006A4A47"/>
    <w:rsid w:val="006A5A70"/>
    <w:rsid w:val="006A5D8A"/>
    <w:rsid w:val="006A6EB7"/>
    <w:rsid w:val="006A7FDC"/>
    <w:rsid w:val="006B0063"/>
    <w:rsid w:val="006B014A"/>
    <w:rsid w:val="006B01B0"/>
    <w:rsid w:val="006B01E8"/>
    <w:rsid w:val="006B0A84"/>
    <w:rsid w:val="006B10BA"/>
    <w:rsid w:val="006B148E"/>
    <w:rsid w:val="006B1575"/>
    <w:rsid w:val="006B1A26"/>
    <w:rsid w:val="006B1E87"/>
    <w:rsid w:val="006B233A"/>
    <w:rsid w:val="006B26AD"/>
    <w:rsid w:val="006B3E72"/>
    <w:rsid w:val="006B3F48"/>
    <w:rsid w:val="006B4322"/>
    <w:rsid w:val="006B4345"/>
    <w:rsid w:val="006B4CE9"/>
    <w:rsid w:val="006B50CD"/>
    <w:rsid w:val="006B51B2"/>
    <w:rsid w:val="006B51B9"/>
    <w:rsid w:val="006B75CD"/>
    <w:rsid w:val="006B7931"/>
    <w:rsid w:val="006B793E"/>
    <w:rsid w:val="006B7D4E"/>
    <w:rsid w:val="006C0816"/>
    <w:rsid w:val="006C0EB5"/>
    <w:rsid w:val="006C0ECB"/>
    <w:rsid w:val="006C10B8"/>
    <w:rsid w:val="006C11BA"/>
    <w:rsid w:val="006C16AD"/>
    <w:rsid w:val="006C1FAE"/>
    <w:rsid w:val="006C25D4"/>
    <w:rsid w:val="006C263A"/>
    <w:rsid w:val="006C263B"/>
    <w:rsid w:val="006C2DA6"/>
    <w:rsid w:val="006C2FB7"/>
    <w:rsid w:val="006C3C59"/>
    <w:rsid w:val="006C3FF1"/>
    <w:rsid w:val="006C4620"/>
    <w:rsid w:val="006C4647"/>
    <w:rsid w:val="006C4F24"/>
    <w:rsid w:val="006C51F2"/>
    <w:rsid w:val="006C5386"/>
    <w:rsid w:val="006C5A93"/>
    <w:rsid w:val="006C5AB2"/>
    <w:rsid w:val="006C5C90"/>
    <w:rsid w:val="006C5F48"/>
    <w:rsid w:val="006C5F4A"/>
    <w:rsid w:val="006C6217"/>
    <w:rsid w:val="006C6C4B"/>
    <w:rsid w:val="006C780D"/>
    <w:rsid w:val="006D0114"/>
    <w:rsid w:val="006D0182"/>
    <w:rsid w:val="006D082D"/>
    <w:rsid w:val="006D08B7"/>
    <w:rsid w:val="006D0A8E"/>
    <w:rsid w:val="006D1F25"/>
    <w:rsid w:val="006D2567"/>
    <w:rsid w:val="006D280A"/>
    <w:rsid w:val="006D2974"/>
    <w:rsid w:val="006D2A92"/>
    <w:rsid w:val="006D34C3"/>
    <w:rsid w:val="006D3B6A"/>
    <w:rsid w:val="006D4041"/>
    <w:rsid w:val="006D46F7"/>
    <w:rsid w:val="006D4771"/>
    <w:rsid w:val="006D4BF9"/>
    <w:rsid w:val="006D4C35"/>
    <w:rsid w:val="006D5002"/>
    <w:rsid w:val="006D51C6"/>
    <w:rsid w:val="006D56B7"/>
    <w:rsid w:val="006D57EF"/>
    <w:rsid w:val="006D59E4"/>
    <w:rsid w:val="006D5A21"/>
    <w:rsid w:val="006D60EB"/>
    <w:rsid w:val="006D6CD0"/>
    <w:rsid w:val="006D6E63"/>
    <w:rsid w:val="006D7134"/>
    <w:rsid w:val="006D7209"/>
    <w:rsid w:val="006D73D6"/>
    <w:rsid w:val="006D74E8"/>
    <w:rsid w:val="006E03F8"/>
    <w:rsid w:val="006E0570"/>
    <w:rsid w:val="006E09A7"/>
    <w:rsid w:val="006E0A9D"/>
    <w:rsid w:val="006E10ED"/>
    <w:rsid w:val="006E1144"/>
    <w:rsid w:val="006E18AF"/>
    <w:rsid w:val="006E1BA8"/>
    <w:rsid w:val="006E1CD3"/>
    <w:rsid w:val="006E1E76"/>
    <w:rsid w:val="006E2017"/>
    <w:rsid w:val="006E273C"/>
    <w:rsid w:val="006E311B"/>
    <w:rsid w:val="006E3C88"/>
    <w:rsid w:val="006E4AA1"/>
    <w:rsid w:val="006E4B30"/>
    <w:rsid w:val="006E4FD7"/>
    <w:rsid w:val="006E537E"/>
    <w:rsid w:val="006E5AB7"/>
    <w:rsid w:val="006E5B41"/>
    <w:rsid w:val="006E6907"/>
    <w:rsid w:val="006E6955"/>
    <w:rsid w:val="006E6CA7"/>
    <w:rsid w:val="006E7738"/>
    <w:rsid w:val="006E794A"/>
    <w:rsid w:val="006E79A6"/>
    <w:rsid w:val="006F0032"/>
    <w:rsid w:val="006F095F"/>
    <w:rsid w:val="006F09CA"/>
    <w:rsid w:val="006F1AFE"/>
    <w:rsid w:val="006F21F6"/>
    <w:rsid w:val="006F2528"/>
    <w:rsid w:val="006F29E9"/>
    <w:rsid w:val="006F31B9"/>
    <w:rsid w:val="006F38A1"/>
    <w:rsid w:val="006F38C3"/>
    <w:rsid w:val="006F43D2"/>
    <w:rsid w:val="006F4ECD"/>
    <w:rsid w:val="006F58BF"/>
    <w:rsid w:val="006F59D3"/>
    <w:rsid w:val="006F5AD0"/>
    <w:rsid w:val="006F6515"/>
    <w:rsid w:val="006F6855"/>
    <w:rsid w:val="006F6DC8"/>
    <w:rsid w:val="006F6F49"/>
    <w:rsid w:val="006F6F82"/>
    <w:rsid w:val="006F6F90"/>
    <w:rsid w:val="006F73BD"/>
    <w:rsid w:val="006F75AB"/>
    <w:rsid w:val="006F777D"/>
    <w:rsid w:val="007000D6"/>
    <w:rsid w:val="0070033F"/>
    <w:rsid w:val="007003BA"/>
    <w:rsid w:val="007009DA"/>
    <w:rsid w:val="00700B3D"/>
    <w:rsid w:val="0070162A"/>
    <w:rsid w:val="0070170B"/>
    <w:rsid w:val="00701996"/>
    <w:rsid w:val="00701A6B"/>
    <w:rsid w:val="007020D4"/>
    <w:rsid w:val="00702118"/>
    <w:rsid w:val="00702A67"/>
    <w:rsid w:val="00702A9F"/>
    <w:rsid w:val="00702F2B"/>
    <w:rsid w:val="0070385B"/>
    <w:rsid w:val="0070385E"/>
    <w:rsid w:val="00703E8B"/>
    <w:rsid w:val="00703ECF"/>
    <w:rsid w:val="00703F0D"/>
    <w:rsid w:val="00704AAA"/>
    <w:rsid w:val="00705544"/>
    <w:rsid w:val="00705983"/>
    <w:rsid w:val="00705AF1"/>
    <w:rsid w:val="00705DE5"/>
    <w:rsid w:val="00705E04"/>
    <w:rsid w:val="0070636C"/>
    <w:rsid w:val="007065FC"/>
    <w:rsid w:val="007069B0"/>
    <w:rsid w:val="00707010"/>
    <w:rsid w:val="0070703C"/>
    <w:rsid w:val="007070CA"/>
    <w:rsid w:val="00707647"/>
    <w:rsid w:val="00707967"/>
    <w:rsid w:val="007079DD"/>
    <w:rsid w:val="00707BE0"/>
    <w:rsid w:val="007100E6"/>
    <w:rsid w:val="00710708"/>
    <w:rsid w:val="0071082E"/>
    <w:rsid w:val="00710C3C"/>
    <w:rsid w:val="00710F79"/>
    <w:rsid w:val="00710FC6"/>
    <w:rsid w:val="007112A7"/>
    <w:rsid w:val="007123B4"/>
    <w:rsid w:val="0071261E"/>
    <w:rsid w:val="00712B64"/>
    <w:rsid w:val="00712D82"/>
    <w:rsid w:val="00712F06"/>
    <w:rsid w:val="00712F6B"/>
    <w:rsid w:val="0071346F"/>
    <w:rsid w:val="007134D6"/>
    <w:rsid w:val="00713894"/>
    <w:rsid w:val="007138EE"/>
    <w:rsid w:val="00713EDA"/>
    <w:rsid w:val="00713EE8"/>
    <w:rsid w:val="00713FED"/>
    <w:rsid w:val="0071457B"/>
    <w:rsid w:val="0071469D"/>
    <w:rsid w:val="007156A6"/>
    <w:rsid w:val="007157D7"/>
    <w:rsid w:val="007157F5"/>
    <w:rsid w:val="0071589F"/>
    <w:rsid w:val="007158C5"/>
    <w:rsid w:val="00715C05"/>
    <w:rsid w:val="00715F60"/>
    <w:rsid w:val="007168EE"/>
    <w:rsid w:val="00716C97"/>
    <w:rsid w:val="00716F7E"/>
    <w:rsid w:val="00717574"/>
    <w:rsid w:val="007176D1"/>
    <w:rsid w:val="00717A78"/>
    <w:rsid w:val="00717B15"/>
    <w:rsid w:val="00717C78"/>
    <w:rsid w:val="007203D3"/>
    <w:rsid w:val="00720400"/>
    <w:rsid w:val="007207A6"/>
    <w:rsid w:val="00720E07"/>
    <w:rsid w:val="0072102A"/>
    <w:rsid w:val="0072146E"/>
    <w:rsid w:val="00721C0E"/>
    <w:rsid w:val="00722069"/>
    <w:rsid w:val="00722494"/>
    <w:rsid w:val="007231E3"/>
    <w:rsid w:val="0072351B"/>
    <w:rsid w:val="00723C5A"/>
    <w:rsid w:val="00723FB1"/>
    <w:rsid w:val="007240E9"/>
    <w:rsid w:val="00724151"/>
    <w:rsid w:val="0072416A"/>
    <w:rsid w:val="00724333"/>
    <w:rsid w:val="00724A27"/>
    <w:rsid w:val="0072540E"/>
    <w:rsid w:val="00725904"/>
    <w:rsid w:val="00725D73"/>
    <w:rsid w:val="0072619C"/>
    <w:rsid w:val="007264F8"/>
    <w:rsid w:val="00726AD6"/>
    <w:rsid w:val="00726BE3"/>
    <w:rsid w:val="0072710C"/>
    <w:rsid w:val="007272B1"/>
    <w:rsid w:val="0072787C"/>
    <w:rsid w:val="00727B32"/>
    <w:rsid w:val="00727C52"/>
    <w:rsid w:val="00727C62"/>
    <w:rsid w:val="00727FF0"/>
    <w:rsid w:val="00730295"/>
    <w:rsid w:val="00730C05"/>
    <w:rsid w:val="00731094"/>
    <w:rsid w:val="00731245"/>
    <w:rsid w:val="007317CE"/>
    <w:rsid w:val="00731C76"/>
    <w:rsid w:val="00731D8E"/>
    <w:rsid w:val="00731EA0"/>
    <w:rsid w:val="00732C53"/>
    <w:rsid w:val="00733711"/>
    <w:rsid w:val="00733FD6"/>
    <w:rsid w:val="00734224"/>
    <w:rsid w:val="007343BC"/>
    <w:rsid w:val="0073464E"/>
    <w:rsid w:val="00734E55"/>
    <w:rsid w:val="00735937"/>
    <w:rsid w:val="007359A9"/>
    <w:rsid w:val="00735B15"/>
    <w:rsid w:val="007360C0"/>
    <w:rsid w:val="00736139"/>
    <w:rsid w:val="007362C2"/>
    <w:rsid w:val="00736CF8"/>
    <w:rsid w:val="00736E38"/>
    <w:rsid w:val="00736FA3"/>
    <w:rsid w:val="00737464"/>
    <w:rsid w:val="00737C99"/>
    <w:rsid w:val="00737D02"/>
    <w:rsid w:val="00737F06"/>
    <w:rsid w:val="0074078B"/>
    <w:rsid w:val="00740BA5"/>
    <w:rsid w:val="00740BD2"/>
    <w:rsid w:val="00740FCE"/>
    <w:rsid w:val="0074111C"/>
    <w:rsid w:val="00741CA8"/>
    <w:rsid w:val="0074237A"/>
    <w:rsid w:val="007429B4"/>
    <w:rsid w:val="00743262"/>
    <w:rsid w:val="00743326"/>
    <w:rsid w:val="007433DF"/>
    <w:rsid w:val="0074371A"/>
    <w:rsid w:val="0074399C"/>
    <w:rsid w:val="00744092"/>
    <w:rsid w:val="007440DA"/>
    <w:rsid w:val="00744138"/>
    <w:rsid w:val="00744930"/>
    <w:rsid w:val="00744957"/>
    <w:rsid w:val="007449E0"/>
    <w:rsid w:val="00745229"/>
    <w:rsid w:val="00746253"/>
    <w:rsid w:val="007462D8"/>
    <w:rsid w:val="00746C7B"/>
    <w:rsid w:val="00746DFA"/>
    <w:rsid w:val="007472C5"/>
    <w:rsid w:val="00747342"/>
    <w:rsid w:val="0074760C"/>
    <w:rsid w:val="007500C2"/>
    <w:rsid w:val="007502BD"/>
    <w:rsid w:val="0075080D"/>
    <w:rsid w:val="00750E68"/>
    <w:rsid w:val="00751929"/>
    <w:rsid w:val="00752470"/>
    <w:rsid w:val="0075271D"/>
    <w:rsid w:val="00753129"/>
    <w:rsid w:val="0075395A"/>
    <w:rsid w:val="00753BEC"/>
    <w:rsid w:val="007542AE"/>
    <w:rsid w:val="007544D4"/>
    <w:rsid w:val="007547B4"/>
    <w:rsid w:val="00754EC2"/>
    <w:rsid w:val="00755E71"/>
    <w:rsid w:val="0075676E"/>
    <w:rsid w:val="00756887"/>
    <w:rsid w:val="00756AE9"/>
    <w:rsid w:val="00757503"/>
    <w:rsid w:val="00757738"/>
    <w:rsid w:val="00757851"/>
    <w:rsid w:val="00757981"/>
    <w:rsid w:val="007600D5"/>
    <w:rsid w:val="0076037C"/>
    <w:rsid w:val="007603DF"/>
    <w:rsid w:val="007604CE"/>
    <w:rsid w:val="00760616"/>
    <w:rsid w:val="007607BF"/>
    <w:rsid w:val="00760C5F"/>
    <w:rsid w:val="00760DAA"/>
    <w:rsid w:val="007619BA"/>
    <w:rsid w:val="00761A23"/>
    <w:rsid w:val="00761ACD"/>
    <w:rsid w:val="00761B93"/>
    <w:rsid w:val="00761EE4"/>
    <w:rsid w:val="00762666"/>
    <w:rsid w:val="00762933"/>
    <w:rsid w:val="0076328E"/>
    <w:rsid w:val="00763594"/>
    <w:rsid w:val="007639AB"/>
    <w:rsid w:val="0076441D"/>
    <w:rsid w:val="007647D8"/>
    <w:rsid w:val="00764FCC"/>
    <w:rsid w:val="0076503D"/>
    <w:rsid w:val="00765111"/>
    <w:rsid w:val="007657CB"/>
    <w:rsid w:val="00765BCE"/>
    <w:rsid w:val="00765F3C"/>
    <w:rsid w:val="0076637D"/>
    <w:rsid w:val="00766676"/>
    <w:rsid w:val="00766DE9"/>
    <w:rsid w:val="00767241"/>
    <w:rsid w:val="00767E2F"/>
    <w:rsid w:val="00771155"/>
    <w:rsid w:val="00771665"/>
    <w:rsid w:val="0077171B"/>
    <w:rsid w:val="00771B6D"/>
    <w:rsid w:val="00772502"/>
    <w:rsid w:val="007727C2"/>
    <w:rsid w:val="0077284E"/>
    <w:rsid w:val="007729CF"/>
    <w:rsid w:val="00772FDD"/>
    <w:rsid w:val="00774719"/>
    <w:rsid w:val="0077525F"/>
    <w:rsid w:val="007752A4"/>
    <w:rsid w:val="00775540"/>
    <w:rsid w:val="00775EC2"/>
    <w:rsid w:val="007760A3"/>
    <w:rsid w:val="00776229"/>
    <w:rsid w:val="007762DE"/>
    <w:rsid w:val="00776B41"/>
    <w:rsid w:val="00776C8C"/>
    <w:rsid w:val="00776D3E"/>
    <w:rsid w:val="00776E72"/>
    <w:rsid w:val="007777CD"/>
    <w:rsid w:val="00777824"/>
    <w:rsid w:val="00777CEF"/>
    <w:rsid w:val="0078026D"/>
    <w:rsid w:val="00780720"/>
    <w:rsid w:val="00780CEB"/>
    <w:rsid w:val="00780F8E"/>
    <w:rsid w:val="0078106E"/>
    <w:rsid w:val="007811A5"/>
    <w:rsid w:val="007817E1"/>
    <w:rsid w:val="00781B49"/>
    <w:rsid w:val="00781E41"/>
    <w:rsid w:val="00781F9E"/>
    <w:rsid w:val="007828BB"/>
    <w:rsid w:val="00782EE0"/>
    <w:rsid w:val="00782EEB"/>
    <w:rsid w:val="00783250"/>
    <w:rsid w:val="00783617"/>
    <w:rsid w:val="007836AB"/>
    <w:rsid w:val="007836D3"/>
    <w:rsid w:val="0078382B"/>
    <w:rsid w:val="0078408A"/>
    <w:rsid w:val="007848D8"/>
    <w:rsid w:val="00784B2B"/>
    <w:rsid w:val="0078517D"/>
    <w:rsid w:val="00785704"/>
    <w:rsid w:val="00785C0C"/>
    <w:rsid w:val="00785F9C"/>
    <w:rsid w:val="007861E2"/>
    <w:rsid w:val="00786565"/>
    <w:rsid w:val="007865D2"/>
    <w:rsid w:val="007866F7"/>
    <w:rsid w:val="007867AD"/>
    <w:rsid w:val="0078685E"/>
    <w:rsid w:val="00787983"/>
    <w:rsid w:val="00791D02"/>
    <w:rsid w:val="00791D4C"/>
    <w:rsid w:val="00791F65"/>
    <w:rsid w:val="00792523"/>
    <w:rsid w:val="007935D7"/>
    <w:rsid w:val="00793AD0"/>
    <w:rsid w:val="00793E74"/>
    <w:rsid w:val="00793F04"/>
    <w:rsid w:val="0079435E"/>
    <w:rsid w:val="0079486A"/>
    <w:rsid w:val="00794A12"/>
    <w:rsid w:val="007954CA"/>
    <w:rsid w:val="00795652"/>
    <w:rsid w:val="007960C9"/>
    <w:rsid w:val="0079646D"/>
    <w:rsid w:val="0079667F"/>
    <w:rsid w:val="00796955"/>
    <w:rsid w:val="007969B3"/>
    <w:rsid w:val="00796C2F"/>
    <w:rsid w:val="007971C0"/>
    <w:rsid w:val="0079723A"/>
    <w:rsid w:val="0079753B"/>
    <w:rsid w:val="00797744"/>
    <w:rsid w:val="007978CE"/>
    <w:rsid w:val="00797B3D"/>
    <w:rsid w:val="00797B7A"/>
    <w:rsid w:val="007A02CB"/>
    <w:rsid w:val="007A0B38"/>
    <w:rsid w:val="007A0F97"/>
    <w:rsid w:val="007A1BC9"/>
    <w:rsid w:val="007A281B"/>
    <w:rsid w:val="007A32CA"/>
    <w:rsid w:val="007A3B56"/>
    <w:rsid w:val="007A3B98"/>
    <w:rsid w:val="007A3C67"/>
    <w:rsid w:val="007A3D8F"/>
    <w:rsid w:val="007A3E2C"/>
    <w:rsid w:val="007A4AAC"/>
    <w:rsid w:val="007A4EB9"/>
    <w:rsid w:val="007A5791"/>
    <w:rsid w:val="007A6251"/>
    <w:rsid w:val="007A67E7"/>
    <w:rsid w:val="007A6E89"/>
    <w:rsid w:val="007A6F5F"/>
    <w:rsid w:val="007A760F"/>
    <w:rsid w:val="007A7F87"/>
    <w:rsid w:val="007B0A94"/>
    <w:rsid w:val="007B111B"/>
    <w:rsid w:val="007B13F6"/>
    <w:rsid w:val="007B2261"/>
    <w:rsid w:val="007B28A6"/>
    <w:rsid w:val="007B314B"/>
    <w:rsid w:val="007B350D"/>
    <w:rsid w:val="007B3722"/>
    <w:rsid w:val="007B3731"/>
    <w:rsid w:val="007B3B42"/>
    <w:rsid w:val="007B3C6A"/>
    <w:rsid w:val="007B4CDF"/>
    <w:rsid w:val="007B4E13"/>
    <w:rsid w:val="007B539A"/>
    <w:rsid w:val="007B5623"/>
    <w:rsid w:val="007B5700"/>
    <w:rsid w:val="007B5809"/>
    <w:rsid w:val="007B5C79"/>
    <w:rsid w:val="007B65AF"/>
    <w:rsid w:val="007B6B15"/>
    <w:rsid w:val="007B6BCA"/>
    <w:rsid w:val="007B6FF1"/>
    <w:rsid w:val="007B7344"/>
    <w:rsid w:val="007B7A90"/>
    <w:rsid w:val="007B7EF6"/>
    <w:rsid w:val="007C00A8"/>
    <w:rsid w:val="007C057F"/>
    <w:rsid w:val="007C0828"/>
    <w:rsid w:val="007C0984"/>
    <w:rsid w:val="007C09D1"/>
    <w:rsid w:val="007C0A9F"/>
    <w:rsid w:val="007C11A4"/>
    <w:rsid w:val="007C1262"/>
    <w:rsid w:val="007C165B"/>
    <w:rsid w:val="007C173B"/>
    <w:rsid w:val="007C1A9C"/>
    <w:rsid w:val="007C271A"/>
    <w:rsid w:val="007C2991"/>
    <w:rsid w:val="007C466E"/>
    <w:rsid w:val="007C46DD"/>
    <w:rsid w:val="007C4CF7"/>
    <w:rsid w:val="007C4D8A"/>
    <w:rsid w:val="007C53E6"/>
    <w:rsid w:val="007C6046"/>
    <w:rsid w:val="007C60DF"/>
    <w:rsid w:val="007C62DA"/>
    <w:rsid w:val="007C640D"/>
    <w:rsid w:val="007C6C02"/>
    <w:rsid w:val="007C7041"/>
    <w:rsid w:val="007C732D"/>
    <w:rsid w:val="007C73F7"/>
    <w:rsid w:val="007C74CF"/>
    <w:rsid w:val="007C79E6"/>
    <w:rsid w:val="007C7DCD"/>
    <w:rsid w:val="007D1D83"/>
    <w:rsid w:val="007D244A"/>
    <w:rsid w:val="007D26FA"/>
    <w:rsid w:val="007D2AC7"/>
    <w:rsid w:val="007D2F6C"/>
    <w:rsid w:val="007D2FF8"/>
    <w:rsid w:val="007D34E6"/>
    <w:rsid w:val="007D44A4"/>
    <w:rsid w:val="007D4D49"/>
    <w:rsid w:val="007D4F50"/>
    <w:rsid w:val="007D4FFA"/>
    <w:rsid w:val="007D523B"/>
    <w:rsid w:val="007D52B0"/>
    <w:rsid w:val="007D606E"/>
    <w:rsid w:val="007D6988"/>
    <w:rsid w:val="007D6B7B"/>
    <w:rsid w:val="007D6E59"/>
    <w:rsid w:val="007D6E69"/>
    <w:rsid w:val="007D7455"/>
    <w:rsid w:val="007D75EF"/>
    <w:rsid w:val="007E012D"/>
    <w:rsid w:val="007E078D"/>
    <w:rsid w:val="007E0A76"/>
    <w:rsid w:val="007E0AC2"/>
    <w:rsid w:val="007E139F"/>
    <w:rsid w:val="007E1566"/>
    <w:rsid w:val="007E15C3"/>
    <w:rsid w:val="007E2006"/>
    <w:rsid w:val="007E2258"/>
    <w:rsid w:val="007E28DB"/>
    <w:rsid w:val="007E2C0F"/>
    <w:rsid w:val="007E2D54"/>
    <w:rsid w:val="007E35F9"/>
    <w:rsid w:val="007E367B"/>
    <w:rsid w:val="007E36BB"/>
    <w:rsid w:val="007E38B0"/>
    <w:rsid w:val="007E3C25"/>
    <w:rsid w:val="007E49D5"/>
    <w:rsid w:val="007E4B7B"/>
    <w:rsid w:val="007E4FBF"/>
    <w:rsid w:val="007E5B1D"/>
    <w:rsid w:val="007E6232"/>
    <w:rsid w:val="007E6852"/>
    <w:rsid w:val="007E6B4B"/>
    <w:rsid w:val="007E71BB"/>
    <w:rsid w:val="007E7428"/>
    <w:rsid w:val="007E763C"/>
    <w:rsid w:val="007E7894"/>
    <w:rsid w:val="007E7B92"/>
    <w:rsid w:val="007E7E1A"/>
    <w:rsid w:val="007F0093"/>
    <w:rsid w:val="007F0877"/>
    <w:rsid w:val="007F0C25"/>
    <w:rsid w:val="007F0EB3"/>
    <w:rsid w:val="007F13D1"/>
    <w:rsid w:val="007F16A8"/>
    <w:rsid w:val="007F1829"/>
    <w:rsid w:val="007F1F8E"/>
    <w:rsid w:val="007F26BF"/>
    <w:rsid w:val="007F29EA"/>
    <w:rsid w:val="007F2FA0"/>
    <w:rsid w:val="007F316D"/>
    <w:rsid w:val="007F339C"/>
    <w:rsid w:val="007F37A1"/>
    <w:rsid w:val="007F390A"/>
    <w:rsid w:val="007F3A86"/>
    <w:rsid w:val="007F3DEE"/>
    <w:rsid w:val="007F424B"/>
    <w:rsid w:val="007F42C8"/>
    <w:rsid w:val="007F46F4"/>
    <w:rsid w:val="007F524A"/>
    <w:rsid w:val="007F5A6B"/>
    <w:rsid w:val="007F65A8"/>
    <w:rsid w:val="007F68D3"/>
    <w:rsid w:val="007F6CBE"/>
    <w:rsid w:val="007F6E26"/>
    <w:rsid w:val="007F75D6"/>
    <w:rsid w:val="007F78CF"/>
    <w:rsid w:val="00800676"/>
    <w:rsid w:val="00800842"/>
    <w:rsid w:val="0080110F"/>
    <w:rsid w:val="008015D9"/>
    <w:rsid w:val="008017E2"/>
    <w:rsid w:val="00801A26"/>
    <w:rsid w:val="00801FE5"/>
    <w:rsid w:val="0080274A"/>
    <w:rsid w:val="00802D11"/>
    <w:rsid w:val="00802D7B"/>
    <w:rsid w:val="00802F2D"/>
    <w:rsid w:val="008036CF"/>
    <w:rsid w:val="00803747"/>
    <w:rsid w:val="00803DCE"/>
    <w:rsid w:val="00803E8E"/>
    <w:rsid w:val="00804013"/>
    <w:rsid w:val="00804040"/>
    <w:rsid w:val="008041B0"/>
    <w:rsid w:val="00804787"/>
    <w:rsid w:val="0080482E"/>
    <w:rsid w:val="00804953"/>
    <w:rsid w:val="00805B46"/>
    <w:rsid w:val="008068ED"/>
    <w:rsid w:val="00806AD8"/>
    <w:rsid w:val="00807072"/>
    <w:rsid w:val="00807438"/>
    <w:rsid w:val="008074EF"/>
    <w:rsid w:val="0080795D"/>
    <w:rsid w:val="00810280"/>
    <w:rsid w:val="00810625"/>
    <w:rsid w:val="00810642"/>
    <w:rsid w:val="008106AF"/>
    <w:rsid w:val="008109F0"/>
    <w:rsid w:val="00810A3C"/>
    <w:rsid w:val="0081124B"/>
    <w:rsid w:val="008112C0"/>
    <w:rsid w:val="008112FB"/>
    <w:rsid w:val="0081165E"/>
    <w:rsid w:val="00811AA0"/>
    <w:rsid w:val="00811ACA"/>
    <w:rsid w:val="00811C1A"/>
    <w:rsid w:val="00811F9B"/>
    <w:rsid w:val="0081240E"/>
    <w:rsid w:val="008125AE"/>
    <w:rsid w:val="00812656"/>
    <w:rsid w:val="00812701"/>
    <w:rsid w:val="00812F89"/>
    <w:rsid w:val="0081354E"/>
    <w:rsid w:val="008137F4"/>
    <w:rsid w:val="00813D1F"/>
    <w:rsid w:val="00813D9B"/>
    <w:rsid w:val="008142D1"/>
    <w:rsid w:val="00814529"/>
    <w:rsid w:val="0081480A"/>
    <w:rsid w:val="00815387"/>
    <w:rsid w:val="0081587F"/>
    <w:rsid w:val="008161E4"/>
    <w:rsid w:val="00816236"/>
    <w:rsid w:val="0081660D"/>
    <w:rsid w:val="008167AA"/>
    <w:rsid w:val="00816A88"/>
    <w:rsid w:val="0081700F"/>
    <w:rsid w:val="00817370"/>
    <w:rsid w:val="008179A0"/>
    <w:rsid w:val="00817F46"/>
    <w:rsid w:val="00820339"/>
    <w:rsid w:val="00820C84"/>
    <w:rsid w:val="0082133C"/>
    <w:rsid w:val="00821561"/>
    <w:rsid w:val="00821AE0"/>
    <w:rsid w:val="00821BA7"/>
    <w:rsid w:val="00822892"/>
    <w:rsid w:val="0082314F"/>
    <w:rsid w:val="008233A0"/>
    <w:rsid w:val="008235AD"/>
    <w:rsid w:val="00823746"/>
    <w:rsid w:val="00824642"/>
    <w:rsid w:val="00824981"/>
    <w:rsid w:val="008249A5"/>
    <w:rsid w:val="00825BB2"/>
    <w:rsid w:val="00825BB5"/>
    <w:rsid w:val="00825C02"/>
    <w:rsid w:val="00825CD9"/>
    <w:rsid w:val="008268CD"/>
    <w:rsid w:val="008269BF"/>
    <w:rsid w:val="00826EE3"/>
    <w:rsid w:val="0082745C"/>
    <w:rsid w:val="008274AF"/>
    <w:rsid w:val="0082797C"/>
    <w:rsid w:val="00827B3E"/>
    <w:rsid w:val="00827D0D"/>
    <w:rsid w:val="00830007"/>
    <w:rsid w:val="00830D99"/>
    <w:rsid w:val="00832DF8"/>
    <w:rsid w:val="008330B3"/>
    <w:rsid w:val="008332AB"/>
    <w:rsid w:val="00833915"/>
    <w:rsid w:val="00833F4C"/>
    <w:rsid w:val="00834C1C"/>
    <w:rsid w:val="00835315"/>
    <w:rsid w:val="008354BB"/>
    <w:rsid w:val="008358BD"/>
    <w:rsid w:val="008358CE"/>
    <w:rsid w:val="00835CED"/>
    <w:rsid w:val="00835E04"/>
    <w:rsid w:val="00836647"/>
    <w:rsid w:val="00836BC9"/>
    <w:rsid w:val="00837774"/>
    <w:rsid w:val="0084015B"/>
    <w:rsid w:val="008402D8"/>
    <w:rsid w:val="0084034C"/>
    <w:rsid w:val="0084089E"/>
    <w:rsid w:val="008409CF"/>
    <w:rsid w:val="00840C32"/>
    <w:rsid w:val="00840C46"/>
    <w:rsid w:val="0084120D"/>
    <w:rsid w:val="0084121A"/>
    <w:rsid w:val="008413D2"/>
    <w:rsid w:val="00841705"/>
    <w:rsid w:val="00841C15"/>
    <w:rsid w:val="00841E49"/>
    <w:rsid w:val="0084201B"/>
    <w:rsid w:val="008420A6"/>
    <w:rsid w:val="008424CC"/>
    <w:rsid w:val="008426C0"/>
    <w:rsid w:val="00842CB9"/>
    <w:rsid w:val="008432DB"/>
    <w:rsid w:val="0084352D"/>
    <w:rsid w:val="008437A3"/>
    <w:rsid w:val="00844D14"/>
    <w:rsid w:val="00844DFB"/>
    <w:rsid w:val="00844F2B"/>
    <w:rsid w:val="00845454"/>
    <w:rsid w:val="008455CA"/>
    <w:rsid w:val="00846E59"/>
    <w:rsid w:val="00850C22"/>
    <w:rsid w:val="00850C8F"/>
    <w:rsid w:val="00850EE1"/>
    <w:rsid w:val="00850FFE"/>
    <w:rsid w:val="008511AF"/>
    <w:rsid w:val="00851386"/>
    <w:rsid w:val="00851565"/>
    <w:rsid w:val="00851838"/>
    <w:rsid w:val="00851D8A"/>
    <w:rsid w:val="00852118"/>
    <w:rsid w:val="0085222D"/>
    <w:rsid w:val="00852476"/>
    <w:rsid w:val="00852BF7"/>
    <w:rsid w:val="0085317C"/>
    <w:rsid w:val="00853D78"/>
    <w:rsid w:val="00854771"/>
    <w:rsid w:val="00854857"/>
    <w:rsid w:val="0085486D"/>
    <w:rsid w:val="0085590C"/>
    <w:rsid w:val="00855B34"/>
    <w:rsid w:val="00855B89"/>
    <w:rsid w:val="00855F6E"/>
    <w:rsid w:val="0085614E"/>
    <w:rsid w:val="00856469"/>
    <w:rsid w:val="008564BF"/>
    <w:rsid w:val="0085689A"/>
    <w:rsid w:val="008568EF"/>
    <w:rsid w:val="00857AB1"/>
    <w:rsid w:val="00857D70"/>
    <w:rsid w:val="00857F96"/>
    <w:rsid w:val="00860418"/>
    <w:rsid w:val="00860659"/>
    <w:rsid w:val="00860B55"/>
    <w:rsid w:val="00860C88"/>
    <w:rsid w:val="00860C8B"/>
    <w:rsid w:val="008612A7"/>
    <w:rsid w:val="00861749"/>
    <w:rsid w:val="00861944"/>
    <w:rsid w:val="008619FC"/>
    <w:rsid w:val="00861B09"/>
    <w:rsid w:val="00861B8A"/>
    <w:rsid w:val="00861BA3"/>
    <w:rsid w:val="00861E55"/>
    <w:rsid w:val="00861F24"/>
    <w:rsid w:val="00862290"/>
    <w:rsid w:val="00862A5E"/>
    <w:rsid w:val="00862B06"/>
    <w:rsid w:val="00862E4B"/>
    <w:rsid w:val="00863177"/>
    <w:rsid w:val="008637E0"/>
    <w:rsid w:val="00863A1C"/>
    <w:rsid w:val="0086435F"/>
    <w:rsid w:val="00866630"/>
    <w:rsid w:val="00866A1C"/>
    <w:rsid w:val="00866C02"/>
    <w:rsid w:val="00867220"/>
    <w:rsid w:val="00867361"/>
    <w:rsid w:val="00867667"/>
    <w:rsid w:val="00867726"/>
    <w:rsid w:val="00867EF4"/>
    <w:rsid w:val="0087039E"/>
    <w:rsid w:val="00870535"/>
    <w:rsid w:val="008705DF"/>
    <w:rsid w:val="00870DDB"/>
    <w:rsid w:val="00870E5E"/>
    <w:rsid w:val="00870E75"/>
    <w:rsid w:val="00871E3D"/>
    <w:rsid w:val="0087255B"/>
    <w:rsid w:val="00872AFE"/>
    <w:rsid w:val="00872C21"/>
    <w:rsid w:val="00872C83"/>
    <w:rsid w:val="00872F01"/>
    <w:rsid w:val="008730A1"/>
    <w:rsid w:val="00873501"/>
    <w:rsid w:val="00873A3A"/>
    <w:rsid w:val="00873A97"/>
    <w:rsid w:val="00873F01"/>
    <w:rsid w:val="008740B1"/>
    <w:rsid w:val="0087467B"/>
    <w:rsid w:val="00874753"/>
    <w:rsid w:val="0087482C"/>
    <w:rsid w:val="008748B2"/>
    <w:rsid w:val="008748ED"/>
    <w:rsid w:val="008754AB"/>
    <w:rsid w:val="00875712"/>
    <w:rsid w:val="00875D0E"/>
    <w:rsid w:val="00875D55"/>
    <w:rsid w:val="008762A5"/>
    <w:rsid w:val="0087654E"/>
    <w:rsid w:val="00876C33"/>
    <w:rsid w:val="00876F63"/>
    <w:rsid w:val="0088007A"/>
    <w:rsid w:val="008812B3"/>
    <w:rsid w:val="008815DB"/>
    <w:rsid w:val="00882049"/>
    <w:rsid w:val="0088240B"/>
    <w:rsid w:val="0088272A"/>
    <w:rsid w:val="00882C80"/>
    <w:rsid w:val="00882D70"/>
    <w:rsid w:val="00883390"/>
    <w:rsid w:val="008835A7"/>
    <w:rsid w:val="00883864"/>
    <w:rsid w:val="0088387D"/>
    <w:rsid w:val="00883F39"/>
    <w:rsid w:val="00884959"/>
    <w:rsid w:val="00884C28"/>
    <w:rsid w:val="008850FD"/>
    <w:rsid w:val="0088521E"/>
    <w:rsid w:val="0088656A"/>
    <w:rsid w:val="0088696C"/>
    <w:rsid w:val="008869CA"/>
    <w:rsid w:val="00886A30"/>
    <w:rsid w:val="0088722A"/>
    <w:rsid w:val="008873ED"/>
    <w:rsid w:val="008876A6"/>
    <w:rsid w:val="00887868"/>
    <w:rsid w:val="00887BD0"/>
    <w:rsid w:val="00890109"/>
    <w:rsid w:val="00890295"/>
    <w:rsid w:val="00890773"/>
    <w:rsid w:val="00890A04"/>
    <w:rsid w:val="00890AED"/>
    <w:rsid w:val="00890CDD"/>
    <w:rsid w:val="00890D25"/>
    <w:rsid w:val="00890E2F"/>
    <w:rsid w:val="00891145"/>
    <w:rsid w:val="008913EF"/>
    <w:rsid w:val="00891EE0"/>
    <w:rsid w:val="008920A0"/>
    <w:rsid w:val="008925C6"/>
    <w:rsid w:val="0089307E"/>
    <w:rsid w:val="00893B4F"/>
    <w:rsid w:val="00893B85"/>
    <w:rsid w:val="00893B8A"/>
    <w:rsid w:val="00893FAD"/>
    <w:rsid w:val="00894EC0"/>
    <w:rsid w:val="00894ED1"/>
    <w:rsid w:val="00895942"/>
    <w:rsid w:val="00896066"/>
    <w:rsid w:val="0089668F"/>
    <w:rsid w:val="00896F03"/>
    <w:rsid w:val="00896F34"/>
    <w:rsid w:val="0089720B"/>
    <w:rsid w:val="00897866"/>
    <w:rsid w:val="008978BC"/>
    <w:rsid w:val="00897CCF"/>
    <w:rsid w:val="00897E4B"/>
    <w:rsid w:val="008A0EE0"/>
    <w:rsid w:val="008A10E2"/>
    <w:rsid w:val="008A10FD"/>
    <w:rsid w:val="008A1436"/>
    <w:rsid w:val="008A18B8"/>
    <w:rsid w:val="008A22EA"/>
    <w:rsid w:val="008A2CFD"/>
    <w:rsid w:val="008A2E52"/>
    <w:rsid w:val="008A2F6A"/>
    <w:rsid w:val="008A3384"/>
    <w:rsid w:val="008A355B"/>
    <w:rsid w:val="008A3746"/>
    <w:rsid w:val="008A43FD"/>
    <w:rsid w:val="008A4951"/>
    <w:rsid w:val="008A4968"/>
    <w:rsid w:val="008A498A"/>
    <w:rsid w:val="008A4C39"/>
    <w:rsid w:val="008A50D5"/>
    <w:rsid w:val="008A5385"/>
    <w:rsid w:val="008A53F3"/>
    <w:rsid w:val="008A5945"/>
    <w:rsid w:val="008A5A6B"/>
    <w:rsid w:val="008A5B9E"/>
    <w:rsid w:val="008A67BC"/>
    <w:rsid w:val="008A6C7E"/>
    <w:rsid w:val="008A6FFC"/>
    <w:rsid w:val="008A77DC"/>
    <w:rsid w:val="008A7A8E"/>
    <w:rsid w:val="008B02D3"/>
    <w:rsid w:val="008B0575"/>
    <w:rsid w:val="008B086B"/>
    <w:rsid w:val="008B0DAB"/>
    <w:rsid w:val="008B0DF8"/>
    <w:rsid w:val="008B1262"/>
    <w:rsid w:val="008B18B5"/>
    <w:rsid w:val="008B18DB"/>
    <w:rsid w:val="008B26CC"/>
    <w:rsid w:val="008B277B"/>
    <w:rsid w:val="008B2ED3"/>
    <w:rsid w:val="008B2F9F"/>
    <w:rsid w:val="008B342E"/>
    <w:rsid w:val="008B35CA"/>
    <w:rsid w:val="008B3CC4"/>
    <w:rsid w:val="008B3EB3"/>
    <w:rsid w:val="008B4704"/>
    <w:rsid w:val="008B493B"/>
    <w:rsid w:val="008B4CC0"/>
    <w:rsid w:val="008B50FA"/>
    <w:rsid w:val="008B542F"/>
    <w:rsid w:val="008B554C"/>
    <w:rsid w:val="008B58AC"/>
    <w:rsid w:val="008B63D9"/>
    <w:rsid w:val="008B6765"/>
    <w:rsid w:val="008B6F65"/>
    <w:rsid w:val="008B729A"/>
    <w:rsid w:val="008B7DBC"/>
    <w:rsid w:val="008C0212"/>
    <w:rsid w:val="008C073D"/>
    <w:rsid w:val="008C0762"/>
    <w:rsid w:val="008C0C99"/>
    <w:rsid w:val="008C0D71"/>
    <w:rsid w:val="008C14EF"/>
    <w:rsid w:val="008C1B68"/>
    <w:rsid w:val="008C1B8F"/>
    <w:rsid w:val="008C26D8"/>
    <w:rsid w:val="008C2B87"/>
    <w:rsid w:val="008C2D3D"/>
    <w:rsid w:val="008C3179"/>
    <w:rsid w:val="008C3246"/>
    <w:rsid w:val="008C39B5"/>
    <w:rsid w:val="008C3A4A"/>
    <w:rsid w:val="008C3A61"/>
    <w:rsid w:val="008C3B24"/>
    <w:rsid w:val="008C3D81"/>
    <w:rsid w:val="008C44B1"/>
    <w:rsid w:val="008C44EE"/>
    <w:rsid w:val="008C492B"/>
    <w:rsid w:val="008C4973"/>
    <w:rsid w:val="008C49CA"/>
    <w:rsid w:val="008C49EA"/>
    <w:rsid w:val="008C4A24"/>
    <w:rsid w:val="008C4B0A"/>
    <w:rsid w:val="008C4F95"/>
    <w:rsid w:val="008C4FAF"/>
    <w:rsid w:val="008C5553"/>
    <w:rsid w:val="008C5599"/>
    <w:rsid w:val="008C56CC"/>
    <w:rsid w:val="008C5C1F"/>
    <w:rsid w:val="008C5DBC"/>
    <w:rsid w:val="008C69FE"/>
    <w:rsid w:val="008C6A5E"/>
    <w:rsid w:val="008C6D7C"/>
    <w:rsid w:val="008C6D9A"/>
    <w:rsid w:val="008C6EB9"/>
    <w:rsid w:val="008C6F48"/>
    <w:rsid w:val="008C7106"/>
    <w:rsid w:val="008C78A3"/>
    <w:rsid w:val="008C7DDD"/>
    <w:rsid w:val="008D0637"/>
    <w:rsid w:val="008D071F"/>
    <w:rsid w:val="008D094B"/>
    <w:rsid w:val="008D205F"/>
    <w:rsid w:val="008D220A"/>
    <w:rsid w:val="008D2371"/>
    <w:rsid w:val="008D29F8"/>
    <w:rsid w:val="008D31F6"/>
    <w:rsid w:val="008D3203"/>
    <w:rsid w:val="008D326D"/>
    <w:rsid w:val="008D35AC"/>
    <w:rsid w:val="008D38BF"/>
    <w:rsid w:val="008D398E"/>
    <w:rsid w:val="008D424C"/>
    <w:rsid w:val="008D4566"/>
    <w:rsid w:val="008D4FD2"/>
    <w:rsid w:val="008D56FA"/>
    <w:rsid w:val="008D5823"/>
    <w:rsid w:val="008D5A5B"/>
    <w:rsid w:val="008D5AD0"/>
    <w:rsid w:val="008D5D3D"/>
    <w:rsid w:val="008D5FBD"/>
    <w:rsid w:val="008D6C08"/>
    <w:rsid w:val="008D6C82"/>
    <w:rsid w:val="008D7EC4"/>
    <w:rsid w:val="008E01DE"/>
    <w:rsid w:val="008E042C"/>
    <w:rsid w:val="008E061A"/>
    <w:rsid w:val="008E0C37"/>
    <w:rsid w:val="008E0E73"/>
    <w:rsid w:val="008E1115"/>
    <w:rsid w:val="008E1495"/>
    <w:rsid w:val="008E16BC"/>
    <w:rsid w:val="008E1AFD"/>
    <w:rsid w:val="008E2782"/>
    <w:rsid w:val="008E29A0"/>
    <w:rsid w:val="008E2C1B"/>
    <w:rsid w:val="008E332D"/>
    <w:rsid w:val="008E33F9"/>
    <w:rsid w:val="008E3939"/>
    <w:rsid w:val="008E3A4E"/>
    <w:rsid w:val="008E3D42"/>
    <w:rsid w:val="008E3D72"/>
    <w:rsid w:val="008E3D88"/>
    <w:rsid w:val="008E47E3"/>
    <w:rsid w:val="008E4B41"/>
    <w:rsid w:val="008E4F55"/>
    <w:rsid w:val="008E5093"/>
    <w:rsid w:val="008E5157"/>
    <w:rsid w:val="008E5B29"/>
    <w:rsid w:val="008E62CC"/>
    <w:rsid w:val="008E63DC"/>
    <w:rsid w:val="008E645E"/>
    <w:rsid w:val="008E65F5"/>
    <w:rsid w:val="008E70CC"/>
    <w:rsid w:val="008E70F3"/>
    <w:rsid w:val="008E72C2"/>
    <w:rsid w:val="008E7440"/>
    <w:rsid w:val="008E790B"/>
    <w:rsid w:val="008F0048"/>
    <w:rsid w:val="008F056F"/>
    <w:rsid w:val="008F05ED"/>
    <w:rsid w:val="008F0620"/>
    <w:rsid w:val="008F07A1"/>
    <w:rsid w:val="008F0BFD"/>
    <w:rsid w:val="008F0E69"/>
    <w:rsid w:val="008F14DF"/>
    <w:rsid w:val="008F191A"/>
    <w:rsid w:val="008F2BA8"/>
    <w:rsid w:val="008F3093"/>
    <w:rsid w:val="008F3700"/>
    <w:rsid w:val="008F3712"/>
    <w:rsid w:val="008F42EC"/>
    <w:rsid w:val="008F44C9"/>
    <w:rsid w:val="008F4888"/>
    <w:rsid w:val="008F496C"/>
    <w:rsid w:val="008F4985"/>
    <w:rsid w:val="008F5D46"/>
    <w:rsid w:val="008F6DEF"/>
    <w:rsid w:val="008F6E18"/>
    <w:rsid w:val="008F7861"/>
    <w:rsid w:val="008F7A11"/>
    <w:rsid w:val="008F7F5B"/>
    <w:rsid w:val="009001ED"/>
    <w:rsid w:val="0090029C"/>
    <w:rsid w:val="0090108B"/>
    <w:rsid w:val="009012A1"/>
    <w:rsid w:val="00901BF3"/>
    <w:rsid w:val="009022B2"/>
    <w:rsid w:val="009023D0"/>
    <w:rsid w:val="009024DA"/>
    <w:rsid w:val="009025AF"/>
    <w:rsid w:val="00902F3A"/>
    <w:rsid w:val="00903B93"/>
    <w:rsid w:val="00904751"/>
    <w:rsid w:val="00904807"/>
    <w:rsid w:val="00905C51"/>
    <w:rsid w:val="009069B5"/>
    <w:rsid w:val="00906B20"/>
    <w:rsid w:val="009071AE"/>
    <w:rsid w:val="00907452"/>
    <w:rsid w:val="009075BF"/>
    <w:rsid w:val="00907CB8"/>
    <w:rsid w:val="00907E03"/>
    <w:rsid w:val="0091089D"/>
    <w:rsid w:val="00910C3B"/>
    <w:rsid w:val="009114F1"/>
    <w:rsid w:val="00911C28"/>
    <w:rsid w:val="00911F4E"/>
    <w:rsid w:val="0091215C"/>
    <w:rsid w:val="00912F17"/>
    <w:rsid w:val="00912F5E"/>
    <w:rsid w:val="00913021"/>
    <w:rsid w:val="00913123"/>
    <w:rsid w:val="00913ADE"/>
    <w:rsid w:val="00913C41"/>
    <w:rsid w:val="00913FF3"/>
    <w:rsid w:val="009147FC"/>
    <w:rsid w:val="00914C0A"/>
    <w:rsid w:val="00914C66"/>
    <w:rsid w:val="009150C9"/>
    <w:rsid w:val="00915137"/>
    <w:rsid w:val="00915191"/>
    <w:rsid w:val="00915243"/>
    <w:rsid w:val="00915321"/>
    <w:rsid w:val="0091541C"/>
    <w:rsid w:val="009154BE"/>
    <w:rsid w:val="009157ED"/>
    <w:rsid w:val="00916026"/>
    <w:rsid w:val="00916A75"/>
    <w:rsid w:val="00916EE1"/>
    <w:rsid w:val="00916FE1"/>
    <w:rsid w:val="00917102"/>
    <w:rsid w:val="009177FC"/>
    <w:rsid w:val="00917A58"/>
    <w:rsid w:val="00917A8C"/>
    <w:rsid w:val="009205AC"/>
    <w:rsid w:val="0092060A"/>
    <w:rsid w:val="0092081F"/>
    <w:rsid w:val="00920C66"/>
    <w:rsid w:val="00920DE4"/>
    <w:rsid w:val="00921173"/>
    <w:rsid w:val="009213AA"/>
    <w:rsid w:val="00921507"/>
    <w:rsid w:val="00921D4D"/>
    <w:rsid w:val="00921F47"/>
    <w:rsid w:val="00922027"/>
    <w:rsid w:val="00922181"/>
    <w:rsid w:val="0092218E"/>
    <w:rsid w:val="009221BE"/>
    <w:rsid w:val="00922494"/>
    <w:rsid w:val="0092262A"/>
    <w:rsid w:val="00922689"/>
    <w:rsid w:val="00922B7F"/>
    <w:rsid w:val="00922DB3"/>
    <w:rsid w:val="0092338E"/>
    <w:rsid w:val="00923D9A"/>
    <w:rsid w:val="00924AB4"/>
    <w:rsid w:val="0092553E"/>
    <w:rsid w:val="00925649"/>
    <w:rsid w:val="009259F7"/>
    <w:rsid w:val="00925FF2"/>
    <w:rsid w:val="009261A8"/>
    <w:rsid w:val="00926526"/>
    <w:rsid w:val="009266B4"/>
    <w:rsid w:val="00926846"/>
    <w:rsid w:val="009277B8"/>
    <w:rsid w:val="0093000A"/>
    <w:rsid w:val="00930292"/>
    <w:rsid w:val="009306EE"/>
    <w:rsid w:val="009307DC"/>
    <w:rsid w:val="00930831"/>
    <w:rsid w:val="00930C3B"/>
    <w:rsid w:val="00931094"/>
    <w:rsid w:val="0093121A"/>
    <w:rsid w:val="0093122E"/>
    <w:rsid w:val="00931332"/>
    <w:rsid w:val="009316A2"/>
    <w:rsid w:val="009318AB"/>
    <w:rsid w:val="00931C77"/>
    <w:rsid w:val="00931ECE"/>
    <w:rsid w:val="00931F40"/>
    <w:rsid w:val="00932849"/>
    <w:rsid w:val="00933280"/>
    <w:rsid w:val="009333A4"/>
    <w:rsid w:val="00933CF9"/>
    <w:rsid w:val="00933D71"/>
    <w:rsid w:val="009342A8"/>
    <w:rsid w:val="00934358"/>
    <w:rsid w:val="009351EF"/>
    <w:rsid w:val="0093564B"/>
    <w:rsid w:val="0093564E"/>
    <w:rsid w:val="0093586C"/>
    <w:rsid w:val="00935A02"/>
    <w:rsid w:val="00936154"/>
    <w:rsid w:val="0093646C"/>
    <w:rsid w:val="00937325"/>
    <w:rsid w:val="009375A4"/>
    <w:rsid w:val="00937A45"/>
    <w:rsid w:val="00937A98"/>
    <w:rsid w:val="00937C4D"/>
    <w:rsid w:val="00940616"/>
    <w:rsid w:val="00940795"/>
    <w:rsid w:val="0094098A"/>
    <w:rsid w:val="009411D0"/>
    <w:rsid w:val="009412DC"/>
    <w:rsid w:val="009416EF"/>
    <w:rsid w:val="00941AA1"/>
    <w:rsid w:val="00941C65"/>
    <w:rsid w:val="00941CCA"/>
    <w:rsid w:val="0094278D"/>
    <w:rsid w:val="00942C91"/>
    <w:rsid w:val="00943517"/>
    <w:rsid w:val="00943BC2"/>
    <w:rsid w:val="00943DC9"/>
    <w:rsid w:val="00944BD7"/>
    <w:rsid w:val="00945005"/>
    <w:rsid w:val="0094518F"/>
    <w:rsid w:val="00946557"/>
    <w:rsid w:val="00946F79"/>
    <w:rsid w:val="00947A7A"/>
    <w:rsid w:val="00951147"/>
    <w:rsid w:val="00951549"/>
    <w:rsid w:val="00951C62"/>
    <w:rsid w:val="00951C8D"/>
    <w:rsid w:val="009521E0"/>
    <w:rsid w:val="00952806"/>
    <w:rsid w:val="00952F76"/>
    <w:rsid w:val="0095320A"/>
    <w:rsid w:val="009534C9"/>
    <w:rsid w:val="00953854"/>
    <w:rsid w:val="0095460C"/>
    <w:rsid w:val="00954F4F"/>
    <w:rsid w:val="00955172"/>
    <w:rsid w:val="009554D0"/>
    <w:rsid w:val="00955511"/>
    <w:rsid w:val="009555DC"/>
    <w:rsid w:val="009556C7"/>
    <w:rsid w:val="00956C8B"/>
    <w:rsid w:val="00957126"/>
    <w:rsid w:val="0095715A"/>
    <w:rsid w:val="009575B4"/>
    <w:rsid w:val="00957FD6"/>
    <w:rsid w:val="009605FB"/>
    <w:rsid w:val="00960FFC"/>
    <w:rsid w:val="00961590"/>
    <w:rsid w:val="0096189D"/>
    <w:rsid w:val="00961C9D"/>
    <w:rsid w:val="00962E63"/>
    <w:rsid w:val="00963098"/>
    <w:rsid w:val="0096348B"/>
    <w:rsid w:val="00963662"/>
    <w:rsid w:val="009636F9"/>
    <w:rsid w:val="00963770"/>
    <w:rsid w:val="00963BB9"/>
    <w:rsid w:val="00964277"/>
    <w:rsid w:val="0096466E"/>
    <w:rsid w:val="00964B71"/>
    <w:rsid w:val="009653BC"/>
    <w:rsid w:val="00965DB9"/>
    <w:rsid w:val="009664F2"/>
    <w:rsid w:val="00966837"/>
    <w:rsid w:val="00966DA6"/>
    <w:rsid w:val="0096780E"/>
    <w:rsid w:val="00967AA9"/>
    <w:rsid w:val="00967C2A"/>
    <w:rsid w:val="00970257"/>
    <w:rsid w:val="00970BA7"/>
    <w:rsid w:val="00970D54"/>
    <w:rsid w:val="00970FAF"/>
    <w:rsid w:val="009711DC"/>
    <w:rsid w:val="009713FA"/>
    <w:rsid w:val="00971671"/>
    <w:rsid w:val="00972097"/>
    <w:rsid w:val="00972BB3"/>
    <w:rsid w:val="0097357F"/>
    <w:rsid w:val="009735AA"/>
    <w:rsid w:val="009737F0"/>
    <w:rsid w:val="00973CF0"/>
    <w:rsid w:val="0097432A"/>
    <w:rsid w:val="00974B89"/>
    <w:rsid w:val="0097559D"/>
    <w:rsid w:val="00975A42"/>
    <w:rsid w:val="00975A51"/>
    <w:rsid w:val="00975A5B"/>
    <w:rsid w:val="00976059"/>
    <w:rsid w:val="00976206"/>
    <w:rsid w:val="0097637E"/>
    <w:rsid w:val="00976586"/>
    <w:rsid w:val="009767D1"/>
    <w:rsid w:val="00976C0B"/>
    <w:rsid w:val="009773A9"/>
    <w:rsid w:val="00977515"/>
    <w:rsid w:val="00977EE7"/>
    <w:rsid w:val="00980249"/>
    <w:rsid w:val="00980255"/>
    <w:rsid w:val="00980A1F"/>
    <w:rsid w:val="00980E86"/>
    <w:rsid w:val="0098156D"/>
    <w:rsid w:val="00981586"/>
    <w:rsid w:val="009815A7"/>
    <w:rsid w:val="0098162B"/>
    <w:rsid w:val="0098197E"/>
    <w:rsid w:val="00981DAD"/>
    <w:rsid w:val="0098275E"/>
    <w:rsid w:val="009828C7"/>
    <w:rsid w:val="00982AEE"/>
    <w:rsid w:val="00982FB4"/>
    <w:rsid w:val="0098314F"/>
    <w:rsid w:val="00983E3D"/>
    <w:rsid w:val="00983FA4"/>
    <w:rsid w:val="00984302"/>
    <w:rsid w:val="0098430C"/>
    <w:rsid w:val="00984ADC"/>
    <w:rsid w:val="00985032"/>
    <w:rsid w:val="00985180"/>
    <w:rsid w:val="009858AB"/>
    <w:rsid w:val="00985A69"/>
    <w:rsid w:val="00985BAA"/>
    <w:rsid w:val="00985E63"/>
    <w:rsid w:val="0098669E"/>
    <w:rsid w:val="0098674F"/>
    <w:rsid w:val="00986B3E"/>
    <w:rsid w:val="009876BE"/>
    <w:rsid w:val="009878AF"/>
    <w:rsid w:val="00987972"/>
    <w:rsid w:val="00987CB4"/>
    <w:rsid w:val="009904C1"/>
    <w:rsid w:val="009904D2"/>
    <w:rsid w:val="009904D9"/>
    <w:rsid w:val="0099090B"/>
    <w:rsid w:val="00990BAB"/>
    <w:rsid w:val="00990DA8"/>
    <w:rsid w:val="00990F47"/>
    <w:rsid w:val="009910C0"/>
    <w:rsid w:val="0099115B"/>
    <w:rsid w:val="009913BC"/>
    <w:rsid w:val="00991AFC"/>
    <w:rsid w:val="00991DC9"/>
    <w:rsid w:val="009921BF"/>
    <w:rsid w:val="00992421"/>
    <w:rsid w:val="00992442"/>
    <w:rsid w:val="0099261C"/>
    <w:rsid w:val="00994034"/>
    <w:rsid w:val="00994B91"/>
    <w:rsid w:val="00994C41"/>
    <w:rsid w:val="009953A5"/>
    <w:rsid w:val="009960D0"/>
    <w:rsid w:val="00996312"/>
    <w:rsid w:val="009964E5"/>
    <w:rsid w:val="00996549"/>
    <w:rsid w:val="009966C7"/>
    <w:rsid w:val="0099696A"/>
    <w:rsid w:val="00996999"/>
    <w:rsid w:val="00996A70"/>
    <w:rsid w:val="0099716B"/>
    <w:rsid w:val="009972A6"/>
    <w:rsid w:val="00997FD2"/>
    <w:rsid w:val="009A0035"/>
    <w:rsid w:val="009A01A6"/>
    <w:rsid w:val="009A02E2"/>
    <w:rsid w:val="009A030D"/>
    <w:rsid w:val="009A0405"/>
    <w:rsid w:val="009A06FA"/>
    <w:rsid w:val="009A075B"/>
    <w:rsid w:val="009A0819"/>
    <w:rsid w:val="009A08E5"/>
    <w:rsid w:val="009A0CF9"/>
    <w:rsid w:val="009A0FCA"/>
    <w:rsid w:val="009A100B"/>
    <w:rsid w:val="009A1112"/>
    <w:rsid w:val="009A15BE"/>
    <w:rsid w:val="009A1A3A"/>
    <w:rsid w:val="009A2744"/>
    <w:rsid w:val="009A2BBC"/>
    <w:rsid w:val="009A3108"/>
    <w:rsid w:val="009A3743"/>
    <w:rsid w:val="009A3844"/>
    <w:rsid w:val="009A3965"/>
    <w:rsid w:val="009A4221"/>
    <w:rsid w:val="009A4462"/>
    <w:rsid w:val="009A4E2E"/>
    <w:rsid w:val="009A5252"/>
    <w:rsid w:val="009A5428"/>
    <w:rsid w:val="009A558C"/>
    <w:rsid w:val="009A561E"/>
    <w:rsid w:val="009A6B93"/>
    <w:rsid w:val="009A7457"/>
    <w:rsid w:val="009A7DCC"/>
    <w:rsid w:val="009B05BF"/>
    <w:rsid w:val="009B06C6"/>
    <w:rsid w:val="009B08C5"/>
    <w:rsid w:val="009B096C"/>
    <w:rsid w:val="009B0FFD"/>
    <w:rsid w:val="009B1642"/>
    <w:rsid w:val="009B172C"/>
    <w:rsid w:val="009B1A5D"/>
    <w:rsid w:val="009B1BEA"/>
    <w:rsid w:val="009B1C97"/>
    <w:rsid w:val="009B1D27"/>
    <w:rsid w:val="009B1E61"/>
    <w:rsid w:val="009B2ED2"/>
    <w:rsid w:val="009B3E48"/>
    <w:rsid w:val="009B4039"/>
    <w:rsid w:val="009B43DF"/>
    <w:rsid w:val="009B447F"/>
    <w:rsid w:val="009B5090"/>
    <w:rsid w:val="009B5710"/>
    <w:rsid w:val="009B5AAD"/>
    <w:rsid w:val="009B5BB1"/>
    <w:rsid w:val="009B5D80"/>
    <w:rsid w:val="009B5DD3"/>
    <w:rsid w:val="009B5E04"/>
    <w:rsid w:val="009B5FB1"/>
    <w:rsid w:val="009B5FB3"/>
    <w:rsid w:val="009B6308"/>
    <w:rsid w:val="009B63E5"/>
    <w:rsid w:val="009B6618"/>
    <w:rsid w:val="009B68BE"/>
    <w:rsid w:val="009B68DC"/>
    <w:rsid w:val="009B6A90"/>
    <w:rsid w:val="009B6B42"/>
    <w:rsid w:val="009B7504"/>
    <w:rsid w:val="009B7B8C"/>
    <w:rsid w:val="009B7D98"/>
    <w:rsid w:val="009B7FAA"/>
    <w:rsid w:val="009C067F"/>
    <w:rsid w:val="009C06ED"/>
    <w:rsid w:val="009C0885"/>
    <w:rsid w:val="009C0966"/>
    <w:rsid w:val="009C168A"/>
    <w:rsid w:val="009C1D14"/>
    <w:rsid w:val="009C3030"/>
    <w:rsid w:val="009C35CC"/>
    <w:rsid w:val="009C3A28"/>
    <w:rsid w:val="009C3EBB"/>
    <w:rsid w:val="009C3F10"/>
    <w:rsid w:val="009C47EC"/>
    <w:rsid w:val="009C4CE1"/>
    <w:rsid w:val="009C4F65"/>
    <w:rsid w:val="009C507B"/>
    <w:rsid w:val="009C53ED"/>
    <w:rsid w:val="009C57C9"/>
    <w:rsid w:val="009C5D97"/>
    <w:rsid w:val="009C60A6"/>
    <w:rsid w:val="009C631B"/>
    <w:rsid w:val="009C637A"/>
    <w:rsid w:val="009C7099"/>
    <w:rsid w:val="009C71AB"/>
    <w:rsid w:val="009C738D"/>
    <w:rsid w:val="009C7415"/>
    <w:rsid w:val="009C7921"/>
    <w:rsid w:val="009C797E"/>
    <w:rsid w:val="009C7C6B"/>
    <w:rsid w:val="009C7E71"/>
    <w:rsid w:val="009D0023"/>
    <w:rsid w:val="009D0D60"/>
    <w:rsid w:val="009D0E15"/>
    <w:rsid w:val="009D111C"/>
    <w:rsid w:val="009D11DA"/>
    <w:rsid w:val="009D19FE"/>
    <w:rsid w:val="009D1ABB"/>
    <w:rsid w:val="009D2879"/>
    <w:rsid w:val="009D2C4A"/>
    <w:rsid w:val="009D2ECE"/>
    <w:rsid w:val="009D300A"/>
    <w:rsid w:val="009D32E8"/>
    <w:rsid w:val="009D394A"/>
    <w:rsid w:val="009D3DDD"/>
    <w:rsid w:val="009D49BC"/>
    <w:rsid w:val="009D4ACB"/>
    <w:rsid w:val="009D4C51"/>
    <w:rsid w:val="009D4D90"/>
    <w:rsid w:val="009D5786"/>
    <w:rsid w:val="009D62CB"/>
    <w:rsid w:val="009D6C87"/>
    <w:rsid w:val="009D7651"/>
    <w:rsid w:val="009D7A55"/>
    <w:rsid w:val="009D7F36"/>
    <w:rsid w:val="009E06DA"/>
    <w:rsid w:val="009E08EF"/>
    <w:rsid w:val="009E0E9F"/>
    <w:rsid w:val="009E1057"/>
    <w:rsid w:val="009E12AF"/>
    <w:rsid w:val="009E163D"/>
    <w:rsid w:val="009E18B6"/>
    <w:rsid w:val="009E1A75"/>
    <w:rsid w:val="009E1BA8"/>
    <w:rsid w:val="009E1D40"/>
    <w:rsid w:val="009E22BD"/>
    <w:rsid w:val="009E25DE"/>
    <w:rsid w:val="009E295C"/>
    <w:rsid w:val="009E29B4"/>
    <w:rsid w:val="009E2B43"/>
    <w:rsid w:val="009E2E11"/>
    <w:rsid w:val="009E3096"/>
    <w:rsid w:val="009E30FB"/>
    <w:rsid w:val="009E365E"/>
    <w:rsid w:val="009E3AE5"/>
    <w:rsid w:val="009E3D42"/>
    <w:rsid w:val="009E40C9"/>
    <w:rsid w:val="009E4376"/>
    <w:rsid w:val="009E4AF8"/>
    <w:rsid w:val="009E4B59"/>
    <w:rsid w:val="009E54E7"/>
    <w:rsid w:val="009E5896"/>
    <w:rsid w:val="009E59B0"/>
    <w:rsid w:val="009E5B24"/>
    <w:rsid w:val="009E5B96"/>
    <w:rsid w:val="009E5D00"/>
    <w:rsid w:val="009E5E97"/>
    <w:rsid w:val="009E5F51"/>
    <w:rsid w:val="009E6113"/>
    <w:rsid w:val="009E644F"/>
    <w:rsid w:val="009E7117"/>
    <w:rsid w:val="009E72D4"/>
    <w:rsid w:val="009E76EB"/>
    <w:rsid w:val="009F02F3"/>
    <w:rsid w:val="009F04D1"/>
    <w:rsid w:val="009F06D5"/>
    <w:rsid w:val="009F0992"/>
    <w:rsid w:val="009F0E32"/>
    <w:rsid w:val="009F0FBB"/>
    <w:rsid w:val="009F18B1"/>
    <w:rsid w:val="009F1E57"/>
    <w:rsid w:val="009F310A"/>
    <w:rsid w:val="009F339E"/>
    <w:rsid w:val="009F3766"/>
    <w:rsid w:val="009F37C5"/>
    <w:rsid w:val="009F3EC6"/>
    <w:rsid w:val="009F403C"/>
    <w:rsid w:val="009F40F3"/>
    <w:rsid w:val="009F46CC"/>
    <w:rsid w:val="009F5213"/>
    <w:rsid w:val="009F522B"/>
    <w:rsid w:val="009F59E3"/>
    <w:rsid w:val="009F5BA8"/>
    <w:rsid w:val="009F652F"/>
    <w:rsid w:val="009F6FF6"/>
    <w:rsid w:val="009F7B69"/>
    <w:rsid w:val="009F7D38"/>
    <w:rsid w:val="00A003EC"/>
    <w:rsid w:val="00A00806"/>
    <w:rsid w:val="00A0098E"/>
    <w:rsid w:val="00A00B0C"/>
    <w:rsid w:val="00A01179"/>
    <w:rsid w:val="00A014BF"/>
    <w:rsid w:val="00A023EE"/>
    <w:rsid w:val="00A02509"/>
    <w:rsid w:val="00A02521"/>
    <w:rsid w:val="00A0319B"/>
    <w:rsid w:val="00A032E8"/>
    <w:rsid w:val="00A033F4"/>
    <w:rsid w:val="00A0345F"/>
    <w:rsid w:val="00A037A3"/>
    <w:rsid w:val="00A03AEE"/>
    <w:rsid w:val="00A03D7B"/>
    <w:rsid w:val="00A03D95"/>
    <w:rsid w:val="00A03F7F"/>
    <w:rsid w:val="00A0488F"/>
    <w:rsid w:val="00A04CDA"/>
    <w:rsid w:val="00A04DA6"/>
    <w:rsid w:val="00A04E79"/>
    <w:rsid w:val="00A057FF"/>
    <w:rsid w:val="00A05BDB"/>
    <w:rsid w:val="00A05E78"/>
    <w:rsid w:val="00A06CC1"/>
    <w:rsid w:val="00A0717B"/>
    <w:rsid w:val="00A0731B"/>
    <w:rsid w:val="00A07395"/>
    <w:rsid w:val="00A0739B"/>
    <w:rsid w:val="00A100B7"/>
    <w:rsid w:val="00A1042D"/>
    <w:rsid w:val="00A10AC3"/>
    <w:rsid w:val="00A10AF1"/>
    <w:rsid w:val="00A10C5E"/>
    <w:rsid w:val="00A11143"/>
    <w:rsid w:val="00A11C27"/>
    <w:rsid w:val="00A125F0"/>
    <w:rsid w:val="00A1268E"/>
    <w:rsid w:val="00A127BD"/>
    <w:rsid w:val="00A1294E"/>
    <w:rsid w:val="00A12973"/>
    <w:rsid w:val="00A13061"/>
    <w:rsid w:val="00A13DF3"/>
    <w:rsid w:val="00A1458B"/>
    <w:rsid w:val="00A14675"/>
    <w:rsid w:val="00A14D6A"/>
    <w:rsid w:val="00A14FF0"/>
    <w:rsid w:val="00A1528F"/>
    <w:rsid w:val="00A15784"/>
    <w:rsid w:val="00A160A8"/>
    <w:rsid w:val="00A16340"/>
    <w:rsid w:val="00A163BF"/>
    <w:rsid w:val="00A167EE"/>
    <w:rsid w:val="00A16D0F"/>
    <w:rsid w:val="00A17764"/>
    <w:rsid w:val="00A207C5"/>
    <w:rsid w:val="00A21084"/>
    <w:rsid w:val="00A211DD"/>
    <w:rsid w:val="00A21420"/>
    <w:rsid w:val="00A21903"/>
    <w:rsid w:val="00A2233F"/>
    <w:rsid w:val="00A229CD"/>
    <w:rsid w:val="00A22D10"/>
    <w:rsid w:val="00A22E71"/>
    <w:rsid w:val="00A23449"/>
    <w:rsid w:val="00A23D5B"/>
    <w:rsid w:val="00A240BC"/>
    <w:rsid w:val="00A2413B"/>
    <w:rsid w:val="00A24592"/>
    <w:rsid w:val="00A24F8E"/>
    <w:rsid w:val="00A25A3F"/>
    <w:rsid w:val="00A26982"/>
    <w:rsid w:val="00A26AE8"/>
    <w:rsid w:val="00A27441"/>
    <w:rsid w:val="00A27519"/>
    <w:rsid w:val="00A27B7E"/>
    <w:rsid w:val="00A27C4E"/>
    <w:rsid w:val="00A27CCB"/>
    <w:rsid w:val="00A27F8D"/>
    <w:rsid w:val="00A301DC"/>
    <w:rsid w:val="00A303B4"/>
    <w:rsid w:val="00A30596"/>
    <w:rsid w:val="00A3067B"/>
    <w:rsid w:val="00A30CDF"/>
    <w:rsid w:val="00A31684"/>
    <w:rsid w:val="00A31CF7"/>
    <w:rsid w:val="00A32560"/>
    <w:rsid w:val="00A32795"/>
    <w:rsid w:val="00A32D37"/>
    <w:rsid w:val="00A32FE2"/>
    <w:rsid w:val="00A333EC"/>
    <w:rsid w:val="00A33D01"/>
    <w:rsid w:val="00A33FC9"/>
    <w:rsid w:val="00A34496"/>
    <w:rsid w:val="00A3493C"/>
    <w:rsid w:val="00A34F47"/>
    <w:rsid w:val="00A3560D"/>
    <w:rsid w:val="00A3596C"/>
    <w:rsid w:val="00A35DD1"/>
    <w:rsid w:val="00A36096"/>
    <w:rsid w:val="00A3671F"/>
    <w:rsid w:val="00A36DA8"/>
    <w:rsid w:val="00A37440"/>
    <w:rsid w:val="00A37764"/>
    <w:rsid w:val="00A37B1A"/>
    <w:rsid w:val="00A410FC"/>
    <w:rsid w:val="00A41897"/>
    <w:rsid w:val="00A41DD6"/>
    <w:rsid w:val="00A421C0"/>
    <w:rsid w:val="00A423C8"/>
    <w:rsid w:val="00A42520"/>
    <w:rsid w:val="00A42CEC"/>
    <w:rsid w:val="00A42F03"/>
    <w:rsid w:val="00A4312C"/>
    <w:rsid w:val="00A43165"/>
    <w:rsid w:val="00A43232"/>
    <w:rsid w:val="00A43434"/>
    <w:rsid w:val="00A4393B"/>
    <w:rsid w:val="00A43A85"/>
    <w:rsid w:val="00A44B3B"/>
    <w:rsid w:val="00A44B3E"/>
    <w:rsid w:val="00A44DE7"/>
    <w:rsid w:val="00A45F93"/>
    <w:rsid w:val="00A4619C"/>
    <w:rsid w:val="00A462DD"/>
    <w:rsid w:val="00A469C5"/>
    <w:rsid w:val="00A46CB2"/>
    <w:rsid w:val="00A47105"/>
    <w:rsid w:val="00A4793C"/>
    <w:rsid w:val="00A47A46"/>
    <w:rsid w:val="00A47FCA"/>
    <w:rsid w:val="00A50642"/>
    <w:rsid w:val="00A507B2"/>
    <w:rsid w:val="00A50DA1"/>
    <w:rsid w:val="00A50DAB"/>
    <w:rsid w:val="00A50EF3"/>
    <w:rsid w:val="00A51180"/>
    <w:rsid w:val="00A51661"/>
    <w:rsid w:val="00A52497"/>
    <w:rsid w:val="00A5267A"/>
    <w:rsid w:val="00A526D7"/>
    <w:rsid w:val="00A527B6"/>
    <w:rsid w:val="00A5288D"/>
    <w:rsid w:val="00A53C14"/>
    <w:rsid w:val="00A5419D"/>
    <w:rsid w:val="00A541C7"/>
    <w:rsid w:val="00A54388"/>
    <w:rsid w:val="00A546C0"/>
    <w:rsid w:val="00A54744"/>
    <w:rsid w:val="00A54ABD"/>
    <w:rsid w:val="00A54B36"/>
    <w:rsid w:val="00A54BBA"/>
    <w:rsid w:val="00A54F12"/>
    <w:rsid w:val="00A5552C"/>
    <w:rsid w:val="00A55882"/>
    <w:rsid w:val="00A55ADA"/>
    <w:rsid w:val="00A562F2"/>
    <w:rsid w:val="00A56B27"/>
    <w:rsid w:val="00A571FB"/>
    <w:rsid w:val="00A57229"/>
    <w:rsid w:val="00A60290"/>
    <w:rsid w:val="00A6039D"/>
    <w:rsid w:val="00A607D3"/>
    <w:rsid w:val="00A609E2"/>
    <w:rsid w:val="00A60C0D"/>
    <w:rsid w:val="00A60ED9"/>
    <w:rsid w:val="00A60F44"/>
    <w:rsid w:val="00A61109"/>
    <w:rsid w:val="00A6127A"/>
    <w:rsid w:val="00A6160E"/>
    <w:rsid w:val="00A61D52"/>
    <w:rsid w:val="00A61EB5"/>
    <w:rsid w:val="00A61F0E"/>
    <w:rsid w:val="00A62053"/>
    <w:rsid w:val="00A6251B"/>
    <w:rsid w:val="00A6263C"/>
    <w:rsid w:val="00A62786"/>
    <w:rsid w:val="00A629CF"/>
    <w:rsid w:val="00A62EB9"/>
    <w:rsid w:val="00A63597"/>
    <w:rsid w:val="00A63A78"/>
    <w:rsid w:val="00A63CE4"/>
    <w:rsid w:val="00A63D73"/>
    <w:rsid w:val="00A6403B"/>
    <w:rsid w:val="00A64254"/>
    <w:rsid w:val="00A64272"/>
    <w:rsid w:val="00A64379"/>
    <w:rsid w:val="00A6502C"/>
    <w:rsid w:val="00A653C2"/>
    <w:rsid w:val="00A65556"/>
    <w:rsid w:val="00A65980"/>
    <w:rsid w:val="00A66218"/>
    <w:rsid w:val="00A6623F"/>
    <w:rsid w:val="00A66504"/>
    <w:rsid w:val="00A665A1"/>
    <w:rsid w:val="00A6673A"/>
    <w:rsid w:val="00A669DF"/>
    <w:rsid w:val="00A66ED6"/>
    <w:rsid w:val="00A673C5"/>
    <w:rsid w:val="00A679DB"/>
    <w:rsid w:val="00A67BA5"/>
    <w:rsid w:val="00A67C19"/>
    <w:rsid w:val="00A7028F"/>
    <w:rsid w:val="00A702E7"/>
    <w:rsid w:val="00A7078C"/>
    <w:rsid w:val="00A71073"/>
    <w:rsid w:val="00A7119A"/>
    <w:rsid w:val="00A714FC"/>
    <w:rsid w:val="00A7175F"/>
    <w:rsid w:val="00A717F3"/>
    <w:rsid w:val="00A71A75"/>
    <w:rsid w:val="00A71D23"/>
    <w:rsid w:val="00A72036"/>
    <w:rsid w:val="00A723A8"/>
    <w:rsid w:val="00A7266A"/>
    <w:rsid w:val="00A7292A"/>
    <w:rsid w:val="00A72A80"/>
    <w:rsid w:val="00A72AD7"/>
    <w:rsid w:val="00A72D3F"/>
    <w:rsid w:val="00A72D82"/>
    <w:rsid w:val="00A72F45"/>
    <w:rsid w:val="00A73396"/>
    <w:rsid w:val="00A73A31"/>
    <w:rsid w:val="00A73C0C"/>
    <w:rsid w:val="00A73D0C"/>
    <w:rsid w:val="00A73F9B"/>
    <w:rsid w:val="00A74066"/>
    <w:rsid w:val="00A74136"/>
    <w:rsid w:val="00A749E6"/>
    <w:rsid w:val="00A74C24"/>
    <w:rsid w:val="00A752D1"/>
    <w:rsid w:val="00A7530E"/>
    <w:rsid w:val="00A76212"/>
    <w:rsid w:val="00A76C14"/>
    <w:rsid w:val="00A76D11"/>
    <w:rsid w:val="00A76EB8"/>
    <w:rsid w:val="00A7711C"/>
    <w:rsid w:val="00A77CBE"/>
    <w:rsid w:val="00A807CB"/>
    <w:rsid w:val="00A80AE0"/>
    <w:rsid w:val="00A80F30"/>
    <w:rsid w:val="00A80FF7"/>
    <w:rsid w:val="00A81557"/>
    <w:rsid w:val="00A82189"/>
    <w:rsid w:val="00A8219C"/>
    <w:rsid w:val="00A84416"/>
    <w:rsid w:val="00A8450D"/>
    <w:rsid w:val="00A845E9"/>
    <w:rsid w:val="00A8491F"/>
    <w:rsid w:val="00A84A32"/>
    <w:rsid w:val="00A85565"/>
    <w:rsid w:val="00A85847"/>
    <w:rsid w:val="00A863A5"/>
    <w:rsid w:val="00A86584"/>
    <w:rsid w:val="00A866F6"/>
    <w:rsid w:val="00A86A38"/>
    <w:rsid w:val="00A86C48"/>
    <w:rsid w:val="00A86CC8"/>
    <w:rsid w:val="00A86D90"/>
    <w:rsid w:val="00A87E39"/>
    <w:rsid w:val="00A904A9"/>
    <w:rsid w:val="00A90D95"/>
    <w:rsid w:val="00A917B6"/>
    <w:rsid w:val="00A919CE"/>
    <w:rsid w:val="00A91E89"/>
    <w:rsid w:val="00A92222"/>
    <w:rsid w:val="00A92954"/>
    <w:rsid w:val="00A92E8A"/>
    <w:rsid w:val="00A93135"/>
    <w:rsid w:val="00A932D7"/>
    <w:rsid w:val="00A9330B"/>
    <w:rsid w:val="00A9414D"/>
    <w:rsid w:val="00A94274"/>
    <w:rsid w:val="00A949CF"/>
    <w:rsid w:val="00A94F33"/>
    <w:rsid w:val="00A9552F"/>
    <w:rsid w:val="00A958BA"/>
    <w:rsid w:val="00A95A70"/>
    <w:rsid w:val="00A95AE0"/>
    <w:rsid w:val="00A965C4"/>
    <w:rsid w:val="00A97A72"/>
    <w:rsid w:val="00A97B4E"/>
    <w:rsid w:val="00AA0425"/>
    <w:rsid w:val="00AA0B1A"/>
    <w:rsid w:val="00AA0B88"/>
    <w:rsid w:val="00AA0D3B"/>
    <w:rsid w:val="00AA0DBD"/>
    <w:rsid w:val="00AA0EC2"/>
    <w:rsid w:val="00AA106B"/>
    <w:rsid w:val="00AA19FD"/>
    <w:rsid w:val="00AA1D34"/>
    <w:rsid w:val="00AA256B"/>
    <w:rsid w:val="00AA2BCA"/>
    <w:rsid w:val="00AA3446"/>
    <w:rsid w:val="00AA393F"/>
    <w:rsid w:val="00AA4719"/>
    <w:rsid w:val="00AA49BF"/>
    <w:rsid w:val="00AA49DF"/>
    <w:rsid w:val="00AA4A38"/>
    <w:rsid w:val="00AA4A46"/>
    <w:rsid w:val="00AA5125"/>
    <w:rsid w:val="00AA5CB5"/>
    <w:rsid w:val="00AA5E96"/>
    <w:rsid w:val="00AA6926"/>
    <w:rsid w:val="00AA6B4F"/>
    <w:rsid w:val="00AA6FA5"/>
    <w:rsid w:val="00AA6FF3"/>
    <w:rsid w:val="00AA710D"/>
    <w:rsid w:val="00AA7AE6"/>
    <w:rsid w:val="00AA7F0B"/>
    <w:rsid w:val="00AB07E4"/>
    <w:rsid w:val="00AB0D53"/>
    <w:rsid w:val="00AB1863"/>
    <w:rsid w:val="00AB1953"/>
    <w:rsid w:val="00AB1F9F"/>
    <w:rsid w:val="00AB2290"/>
    <w:rsid w:val="00AB2332"/>
    <w:rsid w:val="00AB23A4"/>
    <w:rsid w:val="00AB240E"/>
    <w:rsid w:val="00AB25A3"/>
    <w:rsid w:val="00AB2CF5"/>
    <w:rsid w:val="00AB2D8E"/>
    <w:rsid w:val="00AB30B0"/>
    <w:rsid w:val="00AB34AC"/>
    <w:rsid w:val="00AB35C6"/>
    <w:rsid w:val="00AB3738"/>
    <w:rsid w:val="00AB37CD"/>
    <w:rsid w:val="00AB389E"/>
    <w:rsid w:val="00AB3929"/>
    <w:rsid w:val="00AB43B0"/>
    <w:rsid w:val="00AB463F"/>
    <w:rsid w:val="00AB49A2"/>
    <w:rsid w:val="00AB4A00"/>
    <w:rsid w:val="00AB5AC0"/>
    <w:rsid w:val="00AB5D4D"/>
    <w:rsid w:val="00AB6796"/>
    <w:rsid w:val="00AB6DFC"/>
    <w:rsid w:val="00AB6F29"/>
    <w:rsid w:val="00AB7181"/>
    <w:rsid w:val="00AB718A"/>
    <w:rsid w:val="00AB7288"/>
    <w:rsid w:val="00AB757F"/>
    <w:rsid w:val="00AB7741"/>
    <w:rsid w:val="00AC00BB"/>
    <w:rsid w:val="00AC00C7"/>
    <w:rsid w:val="00AC01A2"/>
    <w:rsid w:val="00AC025F"/>
    <w:rsid w:val="00AC02E5"/>
    <w:rsid w:val="00AC0DE5"/>
    <w:rsid w:val="00AC133D"/>
    <w:rsid w:val="00AC2017"/>
    <w:rsid w:val="00AC23BF"/>
    <w:rsid w:val="00AC2456"/>
    <w:rsid w:val="00AC24DB"/>
    <w:rsid w:val="00AC2E15"/>
    <w:rsid w:val="00AC39F6"/>
    <w:rsid w:val="00AC3BC1"/>
    <w:rsid w:val="00AC4547"/>
    <w:rsid w:val="00AC472F"/>
    <w:rsid w:val="00AC478A"/>
    <w:rsid w:val="00AC4FF8"/>
    <w:rsid w:val="00AC55B0"/>
    <w:rsid w:val="00AC56D6"/>
    <w:rsid w:val="00AC58B1"/>
    <w:rsid w:val="00AC6888"/>
    <w:rsid w:val="00AC6BED"/>
    <w:rsid w:val="00AC702A"/>
    <w:rsid w:val="00AC7822"/>
    <w:rsid w:val="00AC7A99"/>
    <w:rsid w:val="00AC7BA4"/>
    <w:rsid w:val="00AD0881"/>
    <w:rsid w:val="00AD093C"/>
    <w:rsid w:val="00AD13AC"/>
    <w:rsid w:val="00AD1F11"/>
    <w:rsid w:val="00AD214D"/>
    <w:rsid w:val="00AD31A4"/>
    <w:rsid w:val="00AD3A7B"/>
    <w:rsid w:val="00AD3AE8"/>
    <w:rsid w:val="00AD3D26"/>
    <w:rsid w:val="00AD485F"/>
    <w:rsid w:val="00AD528F"/>
    <w:rsid w:val="00AD52DA"/>
    <w:rsid w:val="00AD5AEC"/>
    <w:rsid w:val="00AD6109"/>
    <w:rsid w:val="00AD6A03"/>
    <w:rsid w:val="00AD6AD6"/>
    <w:rsid w:val="00AD7149"/>
    <w:rsid w:val="00AD73AC"/>
    <w:rsid w:val="00AD7681"/>
    <w:rsid w:val="00AD7CF9"/>
    <w:rsid w:val="00AE0497"/>
    <w:rsid w:val="00AE0AFF"/>
    <w:rsid w:val="00AE0E95"/>
    <w:rsid w:val="00AE0FD3"/>
    <w:rsid w:val="00AE10E0"/>
    <w:rsid w:val="00AE123C"/>
    <w:rsid w:val="00AE163F"/>
    <w:rsid w:val="00AE1907"/>
    <w:rsid w:val="00AE2557"/>
    <w:rsid w:val="00AE268D"/>
    <w:rsid w:val="00AE2A6C"/>
    <w:rsid w:val="00AE349B"/>
    <w:rsid w:val="00AE3680"/>
    <w:rsid w:val="00AE3970"/>
    <w:rsid w:val="00AE3BBC"/>
    <w:rsid w:val="00AE4A3E"/>
    <w:rsid w:val="00AE4DE3"/>
    <w:rsid w:val="00AE4F0B"/>
    <w:rsid w:val="00AE4F7E"/>
    <w:rsid w:val="00AE4FA0"/>
    <w:rsid w:val="00AE5234"/>
    <w:rsid w:val="00AE5586"/>
    <w:rsid w:val="00AE55E3"/>
    <w:rsid w:val="00AE5AAD"/>
    <w:rsid w:val="00AE5B66"/>
    <w:rsid w:val="00AE5B95"/>
    <w:rsid w:val="00AE6289"/>
    <w:rsid w:val="00AE6377"/>
    <w:rsid w:val="00AE66AF"/>
    <w:rsid w:val="00AE6915"/>
    <w:rsid w:val="00AE6AB6"/>
    <w:rsid w:val="00AE6E2D"/>
    <w:rsid w:val="00AE6EF7"/>
    <w:rsid w:val="00AE74BD"/>
    <w:rsid w:val="00AE752E"/>
    <w:rsid w:val="00AE791B"/>
    <w:rsid w:val="00AE7950"/>
    <w:rsid w:val="00AE79EA"/>
    <w:rsid w:val="00AE7A81"/>
    <w:rsid w:val="00AE7C7A"/>
    <w:rsid w:val="00AF1100"/>
    <w:rsid w:val="00AF11BC"/>
    <w:rsid w:val="00AF1D2B"/>
    <w:rsid w:val="00AF1DCD"/>
    <w:rsid w:val="00AF20E7"/>
    <w:rsid w:val="00AF219C"/>
    <w:rsid w:val="00AF23AD"/>
    <w:rsid w:val="00AF2922"/>
    <w:rsid w:val="00AF32EB"/>
    <w:rsid w:val="00AF360F"/>
    <w:rsid w:val="00AF39E6"/>
    <w:rsid w:val="00AF3AC6"/>
    <w:rsid w:val="00AF3EDD"/>
    <w:rsid w:val="00AF40C7"/>
    <w:rsid w:val="00AF430E"/>
    <w:rsid w:val="00AF4404"/>
    <w:rsid w:val="00AF4911"/>
    <w:rsid w:val="00AF4A27"/>
    <w:rsid w:val="00AF4C06"/>
    <w:rsid w:val="00AF4E72"/>
    <w:rsid w:val="00AF517E"/>
    <w:rsid w:val="00AF5230"/>
    <w:rsid w:val="00AF548C"/>
    <w:rsid w:val="00AF550A"/>
    <w:rsid w:val="00AF5563"/>
    <w:rsid w:val="00AF6F24"/>
    <w:rsid w:val="00AF7035"/>
    <w:rsid w:val="00AF73FD"/>
    <w:rsid w:val="00AF7624"/>
    <w:rsid w:val="00B00204"/>
    <w:rsid w:val="00B0022D"/>
    <w:rsid w:val="00B0067B"/>
    <w:rsid w:val="00B008A4"/>
    <w:rsid w:val="00B00BA5"/>
    <w:rsid w:val="00B00C9A"/>
    <w:rsid w:val="00B01864"/>
    <w:rsid w:val="00B01C69"/>
    <w:rsid w:val="00B02018"/>
    <w:rsid w:val="00B0218B"/>
    <w:rsid w:val="00B025F3"/>
    <w:rsid w:val="00B02622"/>
    <w:rsid w:val="00B02A80"/>
    <w:rsid w:val="00B02EAA"/>
    <w:rsid w:val="00B02EFC"/>
    <w:rsid w:val="00B03167"/>
    <w:rsid w:val="00B035AD"/>
    <w:rsid w:val="00B03795"/>
    <w:rsid w:val="00B03A42"/>
    <w:rsid w:val="00B03B81"/>
    <w:rsid w:val="00B03ED5"/>
    <w:rsid w:val="00B04DC1"/>
    <w:rsid w:val="00B05267"/>
    <w:rsid w:val="00B054B5"/>
    <w:rsid w:val="00B05A20"/>
    <w:rsid w:val="00B05D60"/>
    <w:rsid w:val="00B06A9F"/>
    <w:rsid w:val="00B06F0D"/>
    <w:rsid w:val="00B06F65"/>
    <w:rsid w:val="00B07B87"/>
    <w:rsid w:val="00B10173"/>
    <w:rsid w:val="00B116E2"/>
    <w:rsid w:val="00B11743"/>
    <w:rsid w:val="00B11D14"/>
    <w:rsid w:val="00B122EC"/>
    <w:rsid w:val="00B12444"/>
    <w:rsid w:val="00B12CFC"/>
    <w:rsid w:val="00B1367B"/>
    <w:rsid w:val="00B13ABC"/>
    <w:rsid w:val="00B13DAE"/>
    <w:rsid w:val="00B1403E"/>
    <w:rsid w:val="00B142DD"/>
    <w:rsid w:val="00B14389"/>
    <w:rsid w:val="00B144D6"/>
    <w:rsid w:val="00B1456C"/>
    <w:rsid w:val="00B14F52"/>
    <w:rsid w:val="00B14FA2"/>
    <w:rsid w:val="00B1514B"/>
    <w:rsid w:val="00B1515E"/>
    <w:rsid w:val="00B15350"/>
    <w:rsid w:val="00B155D1"/>
    <w:rsid w:val="00B1575B"/>
    <w:rsid w:val="00B15842"/>
    <w:rsid w:val="00B16122"/>
    <w:rsid w:val="00B16E5C"/>
    <w:rsid w:val="00B17348"/>
    <w:rsid w:val="00B17574"/>
    <w:rsid w:val="00B1765F"/>
    <w:rsid w:val="00B17E33"/>
    <w:rsid w:val="00B20379"/>
    <w:rsid w:val="00B203E5"/>
    <w:rsid w:val="00B204EC"/>
    <w:rsid w:val="00B206B3"/>
    <w:rsid w:val="00B207F6"/>
    <w:rsid w:val="00B20B27"/>
    <w:rsid w:val="00B20DAE"/>
    <w:rsid w:val="00B21F87"/>
    <w:rsid w:val="00B220D4"/>
    <w:rsid w:val="00B221BF"/>
    <w:rsid w:val="00B221FC"/>
    <w:rsid w:val="00B225AB"/>
    <w:rsid w:val="00B228E7"/>
    <w:rsid w:val="00B22CBC"/>
    <w:rsid w:val="00B22D00"/>
    <w:rsid w:val="00B23284"/>
    <w:rsid w:val="00B23678"/>
    <w:rsid w:val="00B23F0F"/>
    <w:rsid w:val="00B240DB"/>
    <w:rsid w:val="00B24D1C"/>
    <w:rsid w:val="00B255E9"/>
    <w:rsid w:val="00B25628"/>
    <w:rsid w:val="00B259C6"/>
    <w:rsid w:val="00B25B5A"/>
    <w:rsid w:val="00B2605A"/>
    <w:rsid w:val="00B26457"/>
    <w:rsid w:val="00B26964"/>
    <w:rsid w:val="00B26C0A"/>
    <w:rsid w:val="00B2717B"/>
    <w:rsid w:val="00B27275"/>
    <w:rsid w:val="00B27415"/>
    <w:rsid w:val="00B27DDE"/>
    <w:rsid w:val="00B302AF"/>
    <w:rsid w:val="00B309BB"/>
    <w:rsid w:val="00B30ACD"/>
    <w:rsid w:val="00B312DB"/>
    <w:rsid w:val="00B3175F"/>
    <w:rsid w:val="00B31ABE"/>
    <w:rsid w:val="00B31B83"/>
    <w:rsid w:val="00B31E12"/>
    <w:rsid w:val="00B32323"/>
    <w:rsid w:val="00B32A8E"/>
    <w:rsid w:val="00B33A6C"/>
    <w:rsid w:val="00B33F21"/>
    <w:rsid w:val="00B3429E"/>
    <w:rsid w:val="00B34516"/>
    <w:rsid w:val="00B351ED"/>
    <w:rsid w:val="00B356BC"/>
    <w:rsid w:val="00B35959"/>
    <w:rsid w:val="00B359EC"/>
    <w:rsid w:val="00B36265"/>
    <w:rsid w:val="00B36EC9"/>
    <w:rsid w:val="00B37236"/>
    <w:rsid w:val="00B37490"/>
    <w:rsid w:val="00B3750A"/>
    <w:rsid w:val="00B37957"/>
    <w:rsid w:val="00B405EF"/>
    <w:rsid w:val="00B40B00"/>
    <w:rsid w:val="00B40D99"/>
    <w:rsid w:val="00B4216D"/>
    <w:rsid w:val="00B42489"/>
    <w:rsid w:val="00B429C7"/>
    <w:rsid w:val="00B42C66"/>
    <w:rsid w:val="00B42FB3"/>
    <w:rsid w:val="00B43719"/>
    <w:rsid w:val="00B43767"/>
    <w:rsid w:val="00B43B0B"/>
    <w:rsid w:val="00B43DA9"/>
    <w:rsid w:val="00B43E4B"/>
    <w:rsid w:val="00B43FBC"/>
    <w:rsid w:val="00B44217"/>
    <w:rsid w:val="00B443B4"/>
    <w:rsid w:val="00B4470A"/>
    <w:rsid w:val="00B44DFE"/>
    <w:rsid w:val="00B45207"/>
    <w:rsid w:val="00B4550B"/>
    <w:rsid w:val="00B457B3"/>
    <w:rsid w:val="00B4651E"/>
    <w:rsid w:val="00B467EE"/>
    <w:rsid w:val="00B468DA"/>
    <w:rsid w:val="00B46ADA"/>
    <w:rsid w:val="00B46CCD"/>
    <w:rsid w:val="00B478CB"/>
    <w:rsid w:val="00B51AE2"/>
    <w:rsid w:val="00B51AFC"/>
    <w:rsid w:val="00B51B16"/>
    <w:rsid w:val="00B51BC8"/>
    <w:rsid w:val="00B51EF9"/>
    <w:rsid w:val="00B524E1"/>
    <w:rsid w:val="00B52B32"/>
    <w:rsid w:val="00B52B95"/>
    <w:rsid w:val="00B536B0"/>
    <w:rsid w:val="00B53878"/>
    <w:rsid w:val="00B539CD"/>
    <w:rsid w:val="00B53C32"/>
    <w:rsid w:val="00B53EED"/>
    <w:rsid w:val="00B54099"/>
    <w:rsid w:val="00B54B8E"/>
    <w:rsid w:val="00B54BDE"/>
    <w:rsid w:val="00B55512"/>
    <w:rsid w:val="00B55C4B"/>
    <w:rsid w:val="00B55CDB"/>
    <w:rsid w:val="00B55E95"/>
    <w:rsid w:val="00B5628E"/>
    <w:rsid w:val="00B568DB"/>
    <w:rsid w:val="00B5718E"/>
    <w:rsid w:val="00B572BA"/>
    <w:rsid w:val="00B5738A"/>
    <w:rsid w:val="00B577E3"/>
    <w:rsid w:val="00B57A4B"/>
    <w:rsid w:val="00B57A8B"/>
    <w:rsid w:val="00B57B3E"/>
    <w:rsid w:val="00B57CDD"/>
    <w:rsid w:val="00B57E0B"/>
    <w:rsid w:val="00B606CF"/>
    <w:rsid w:val="00B60A08"/>
    <w:rsid w:val="00B60AF8"/>
    <w:rsid w:val="00B60DBE"/>
    <w:rsid w:val="00B612AB"/>
    <w:rsid w:val="00B61DBF"/>
    <w:rsid w:val="00B62313"/>
    <w:rsid w:val="00B62699"/>
    <w:rsid w:val="00B626D7"/>
    <w:rsid w:val="00B62EEE"/>
    <w:rsid w:val="00B631C4"/>
    <w:rsid w:val="00B63566"/>
    <w:rsid w:val="00B63CD1"/>
    <w:rsid w:val="00B6455B"/>
    <w:rsid w:val="00B64685"/>
    <w:rsid w:val="00B649F3"/>
    <w:rsid w:val="00B64E0C"/>
    <w:rsid w:val="00B64F5B"/>
    <w:rsid w:val="00B64FB0"/>
    <w:rsid w:val="00B6526E"/>
    <w:rsid w:val="00B6527B"/>
    <w:rsid w:val="00B6560F"/>
    <w:rsid w:val="00B65767"/>
    <w:rsid w:val="00B6588E"/>
    <w:rsid w:val="00B658B6"/>
    <w:rsid w:val="00B65DCE"/>
    <w:rsid w:val="00B663D6"/>
    <w:rsid w:val="00B66782"/>
    <w:rsid w:val="00B667BE"/>
    <w:rsid w:val="00B66B8B"/>
    <w:rsid w:val="00B66D94"/>
    <w:rsid w:val="00B678B7"/>
    <w:rsid w:val="00B67BD5"/>
    <w:rsid w:val="00B67F36"/>
    <w:rsid w:val="00B703E0"/>
    <w:rsid w:val="00B7131A"/>
    <w:rsid w:val="00B71A55"/>
    <w:rsid w:val="00B71FDB"/>
    <w:rsid w:val="00B72177"/>
    <w:rsid w:val="00B72506"/>
    <w:rsid w:val="00B72ABD"/>
    <w:rsid w:val="00B72C56"/>
    <w:rsid w:val="00B72D11"/>
    <w:rsid w:val="00B72DD1"/>
    <w:rsid w:val="00B72F9E"/>
    <w:rsid w:val="00B73BA9"/>
    <w:rsid w:val="00B73D0B"/>
    <w:rsid w:val="00B74221"/>
    <w:rsid w:val="00B74713"/>
    <w:rsid w:val="00B74BD2"/>
    <w:rsid w:val="00B754F8"/>
    <w:rsid w:val="00B7567A"/>
    <w:rsid w:val="00B75691"/>
    <w:rsid w:val="00B75956"/>
    <w:rsid w:val="00B75EDF"/>
    <w:rsid w:val="00B75EF2"/>
    <w:rsid w:val="00B767B2"/>
    <w:rsid w:val="00B76BED"/>
    <w:rsid w:val="00B76C7C"/>
    <w:rsid w:val="00B76CDB"/>
    <w:rsid w:val="00B76DDA"/>
    <w:rsid w:val="00B76E03"/>
    <w:rsid w:val="00B76F7E"/>
    <w:rsid w:val="00B8179C"/>
    <w:rsid w:val="00B819F0"/>
    <w:rsid w:val="00B820C6"/>
    <w:rsid w:val="00B820D9"/>
    <w:rsid w:val="00B827D5"/>
    <w:rsid w:val="00B82AF8"/>
    <w:rsid w:val="00B835A4"/>
    <w:rsid w:val="00B83691"/>
    <w:rsid w:val="00B83709"/>
    <w:rsid w:val="00B837EB"/>
    <w:rsid w:val="00B84A77"/>
    <w:rsid w:val="00B84EF1"/>
    <w:rsid w:val="00B84F9E"/>
    <w:rsid w:val="00B851A0"/>
    <w:rsid w:val="00B8526F"/>
    <w:rsid w:val="00B8587B"/>
    <w:rsid w:val="00B85E7C"/>
    <w:rsid w:val="00B866E6"/>
    <w:rsid w:val="00B86B16"/>
    <w:rsid w:val="00B86B7C"/>
    <w:rsid w:val="00B871A8"/>
    <w:rsid w:val="00B87468"/>
    <w:rsid w:val="00B87735"/>
    <w:rsid w:val="00B90C3F"/>
    <w:rsid w:val="00B90D69"/>
    <w:rsid w:val="00B91436"/>
    <w:rsid w:val="00B916B2"/>
    <w:rsid w:val="00B91A79"/>
    <w:rsid w:val="00B9246C"/>
    <w:rsid w:val="00B92EA8"/>
    <w:rsid w:val="00B930E9"/>
    <w:rsid w:val="00B933B8"/>
    <w:rsid w:val="00B939AF"/>
    <w:rsid w:val="00B93AB6"/>
    <w:rsid w:val="00B94129"/>
    <w:rsid w:val="00B941D5"/>
    <w:rsid w:val="00B94850"/>
    <w:rsid w:val="00B94CEE"/>
    <w:rsid w:val="00B95216"/>
    <w:rsid w:val="00B9586F"/>
    <w:rsid w:val="00B95FDE"/>
    <w:rsid w:val="00B961CB"/>
    <w:rsid w:val="00B96BED"/>
    <w:rsid w:val="00BA0226"/>
    <w:rsid w:val="00BA07BB"/>
    <w:rsid w:val="00BA0C41"/>
    <w:rsid w:val="00BA1068"/>
    <w:rsid w:val="00BA1357"/>
    <w:rsid w:val="00BA14E7"/>
    <w:rsid w:val="00BA16B0"/>
    <w:rsid w:val="00BA2AD5"/>
    <w:rsid w:val="00BA2B9C"/>
    <w:rsid w:val="00BA3296"/>
    <w:rsid w:val="00BA3851"/>
    <w:rsid w:val="00BA3C6E"/>
    <w:rsid w:val="00BA4035"/>
    <w:rsid w:val="00BA45AD"/>
    <w:rsid w:val="00BA4F7C"/>
    <w:rsid w:val="00BA5160"/>
    <w:rsid w:val="00BA565D"/>
    <w:rsid w:val="00BA5C78"/>
    <w:rsid w:val="00BA5DED"/>
    <w:rsid w:val="00BA68FC"/>
    <w:rsid w:val="00BA69C9"/>
    <w:rsid w:val="00BA70B0"/>
    <w:rsid w:val="00BA73CC"/>
    <w:rsid w:val="00BA76F2"/>
    <w:rsid w:val="00BA7C29"/>
    <w:rsid w:val="00BA7DDF"/>
    <w:rsid w:val="00BA7F7C"/>
    <w:rsid w:val="00BB03D2"/>
    <w:rsid w:val="00BB0A12"/>
    <w:rsid w:val="00BB0A33"/>
    <w:rsid w:val="00BB126C"/>
    <w:rsid w:val="00BB1BE7"/>
    <w:rsid w:val="00BB1DBD"/>
    <w:rsid w:val="00BB2633"/>
    <w:rsid w:val="00BB2713"/>
    <w:rsid w:val="00BB2850"/>
    <w:rsid w:val="00BB2BC8"/>
    <w:rsid w:val="00BB3137"/>
    <w:rsid w:val="00BB35BC"/>
    <w:rsid w:val="00BB360C"/>
    <w:rsid w:val="00BB3844"/>
    <w:rsid w:val="00BB46E3"/>
    <w:rsid w:val="00BB478F"/>
    <w:rsid w:val="00BB49A9"/>
    <w:rsid w:val="00BB4A51"/>
    <w:rsid w:val="00BB5112"/>
    <w:rsid w:val="00BB5292"/>
    <w:rsid w:val="00BB54FE"/>
    <w:rsid w:val="00BB5912"/>
    <w:rsid w:val="00BB5D20"/>
    <w:rsid w:val="00BB5EC0"/>
    <w:rsid w:val="00BB6BBB"/>
    <w:rsid w:val="00BB6FB5"/>
    <w:rsid w:val="00BB72F0"/>
    <w:rsid w:val="00BB7626"/>
    <w:rsid w:val="00BB7D51"/>
    <w:rsid w:val="00BC11F1"/>
    <w:rsid w:val="00BC121F"/>
    <w:rsid w:val="00BC1B85"/>
    <w:rsid w:val="00BC1DB3"/>
    <w:rsid w:val="00BC1DD6"/>
    <w:rsid w:val="00BC1E4B"/>
    <w:rsid w:val="00BC204C"/>
    <w:rsid w:val="00BC2454"/>
    <w:rsid w:val="00BC25D6"/>
    <w:rsid w:val="00BC279B"/>
    <w:rsid w:val="00BC33EE"/>
    <w:rsid w:val="00BC3B6A"/>
    <w:rsid w:val="00BC3CD0"/>
    <w:rsid w:val="00BC3F15"/>
    <w:rsid w:val="00BC3F31"/>
    <w:rsid w:val="00BC408B"/>
    <w:rsid w:val="00BC467A"/>
    <w:rsid w:val="00BC4B47"/>
    <w:rsid w:val="00BC4B4F"/>
    <w:rsid w:val="00BC516A"/>
    <w:rsid w:val="00BC5357"/>
    <w:rsid w:val="00BC555D"/>
    <w:rsid w:val="00BC597D"/>
    <w:rsid w:val="00BC6055"/>
    <w:rsid w:val="00BC60DD"/>
    <w:rsid w:val="00BC6362"/>
    <w:rsid w:val="00BC65EE"/>
    <w:rsid w:val="00BC66B0"/>
    <w:rsid w:val="00BC680C"/>
    <w:rsid w:val="00BC6E0D"/>
    <w:rsid w:val="00BC782D"/>
    <w:rsid w:val="00BC7A0E"/>
    <w:rsid w:val="00BD0019"/>
    <w:rsid w:val="00BD00E2"/>
    <w:rsid w:val="00BD0107"/>
    <w:rsid w:val="00BD06C2"/>
    <w:rsid w:val="00BD084F"/>
    <w:rsid w:val="00BD0AC8"/>
    <w:rsid w:val="00BD1120"/>
    <w:rsid w:val="00BD16AB"/>
    <w:rsid w:val="00BD17E9"/>
    <w:rsid w:val="00BD1F20"/>
    <w:rsid w:val="00BD202A"/>
    <w:rsid w:val="00BD2410"/>
    <w:rsid w:val="00BD241D"/>
    <w:rsid w:val="00BD29DA"/>
    <w:rsid w:val="00BD2A8C"/>
    <w:rsid w:val="00BD3160"/>
    <w:rsid w:val="00BD3258"/>
    <w:rsid w:val="00BD45D7"/>
    <w:rsid w:val="00BD4C93"/>
    <w:rsid w:val="00BD52C7"/>
    <w:rsid w:val="00BD52FF"/>
    <w:rsid w:val="00BD55E4"/>
    <w:rsid w:val="00BD5762"/>
    <w:rsid w:val="00BD6132"/>
    <w:rsid w:val="00BD633F"/>
    <w:rsid w:val="00BD6369"/>
    <w:rsid w:val="00BD6950"/>
    <w:rsid w:val="00BD69C9"/>
    <w:rsid w:val="00BD6F9A"/>
    <w:rsid w:val="00BD716E"/>
    <w:rsid w:val="00BD7C66"/>
    <w:rsid w:val="00BD7CB7"/>
    <w:rsid w:val="00BD7E26"/>
    <w:rsid w:val="00BD7E2C"/>
    <w:rsid w:val="00BD7F84"/>
    <w:rsid w:val="00BE04AB"/>
    <w:rsid w:val="00BE0C74"/>
    <w:rsid w:val="00BE0E21"/>
    <w:rsid w:val="00BE15C0"/>
    <w:rsid w:val="00BE17EF"/>
    <w:rsid w:val="00BE1C52"/>
    <w:rsid w:val="00BE1D88"/>
    <w:rsid w:val="00BE1EB9"/>
    <w:rsid w:val="00BE273D"/>
    <w:rsid w:val="00BE2C78"/>
    <w:rsid w:val="00BE2F21"/>
    <w:rsid w:val="00BE31F5"/>
    <w:rsid w:val="00BE3657"/>
    <w:rsid w:val="00BE4053"/>
    <w:rsid w:val="00BE4B86"/>
    <w:rsid w:val="00BE4EBF"/>
    <w:rsid w:val="00BE4FED"/>
    <w:rsid w:val="00BE5A6C"/>
    <w:rsid w:val="00BE5C47"/>
    <w:rsid w:val="00BE63EA"/>
    <w:rsid w:val="00BE65BD"/>
    <w:rsid w:val="00BE6838"/>
    <w:rsid w:val="00BE7672"/>
    <w:rsid w:val="00BE7850"/>
    <w:rsid w:val="00BF0235"/>
    <w:rsid w:val="00BF066A"/>
    <w:rsid w:val="00BF0770"/>
    <w:rsid w:val="00BF0AC0"/>
    <w:rsid w:val="00BF0BD0"/>
    <w:rsid w:val="00BF0C52"/>
    <w:rsid w:val="00BF137C"/>
    <w:rsid w:val="00BF1FB0"/>
    <w:rsid w:val="00BF20B4"/>
    <w:rsid w:val="00BF35B1"/>
    <w:rsid w:val="00BF365C"/>
    <w:rsid w:val="00BF3900"/>
    <w:rsid w:val="00BF482C"/>
    <w:rsid w:val="00BF4A14"/>
    <w:rsid w:val="00BF52DB"/>
    <w:rsid w:val="00BF6981"/>
    <w:rsid w:val="00BF7A3A"/>
    <w:rsid w:val="00BF7AD4"/>
    <w:rsid w:val="00C00448"/>
    <w:rsid w:val="00C018D3"/>
    <w:rsid w:val="00C018E9"/>
    <w:rsid w:val="00C01CF3"/>
    <w:rsid w:val="00C028DF"/>
    <w:rsid w:val="00C02AAA"/>
    <w:rsid w:val="00C02BBD"/>
    <w:rsid w:val="00C02D3C"/>
    <w:rsid w:val="00C02E62"/>
    <w:rsid w:val="00C02E81"/>
    <w:rsid w:val="00C0356E"/>
    <w:rsid w:val="00C0382B"/>
    <w:rsid w:val="00C04476"/>
    <w:rsid w:val="00C04540"/>
    <w:rsid w:val="00C0536F"/>
    <w:rsid w:val="00C058DA"/>
    <w:rsid w:val="00C05AAA"/>
    <w:rsid w:val="00C05AAB"/>
    <w:rsid w:val="00C05C14"/>
    <w:rsid w:val="00C07279"/>
    <w:rsid w:val="00C073F5"/>
    <w:rsid w:val="00C073FF"/>
    <w:rsid w:val="00C0762D"/>
    <w:rsid w:val="00C07B16"/>
    <w:rsid w:val="00C10D9E"/>
    <w:rsid w:val="00C11078"/>
    <w:rsid w:val="00C1144F"/>
    <w:rsid w:val="00C11663"/>
    <w:rsid w:val="00C11BD6"/>
    <w:rsid w:val="00C1210E"/>
    <w:rsid w:val="00C1233A"/>
    <w:rsid w:val="00C1264A"/>
    <w:rsid w:val="00C12981"/>
    <w:rsid w:val="00C12BD3"/>
    <w:rsid w:val="00C12E93"/>
    <w:rsid w:val="00C1328C"/>
    <w:rsid w:val="00C13771"/>
    <w:rsid w:val="00C139A6"/>
    <w:rsid w:val="00C141EA"/>
    <w:rsid w:val="00C141F0"/>
    <w:rsid w:val="00C142FA"/>
    <w:rsid w:val="00C14339"/>
    <w:rsid w:val="00C1479D"/>
    <w:rsid w:val="00C1531F"/>
    <w:rsid w:val="00C15A67"/>
    <w:rsid w:val="00C167AF"/>
    <w:rsid w:val="00C16EFF"/>
    <w:rsid w:val="00C17773"/>
    <w:rsid w:val="00C17797"/>
    <w:rsid w:val="00C17955"/>
    <w:rsid w:val="00C17B46"/>
    <w:rsid w:val="00C17B60"/>
    <w:rsid w:val="00C206BF"/>
    <w:rsid w:val="00C207B0"/>
    <w:rsid w:val="00C20FF3"/>
    <w:rsid w:val="00C21965"/>
    <w:rsid w:val="00C21AEA"/>
    <w:rsid w:val="00C21AF8"/>
    <w:rsid w:val="00C21D83"/>
    <w:rsid w:val="00C21F0F"/>
    <w:rsid w:val="00C21FF4"/>
    <w:rsid w:val="00C2206F"/>
    <w:rsid w:val="00C2210A"/>
    <w:rsid w:val="00C22428"/>
    <w:rsid w:val="00C22FDA"/>
    <w:rsid w:val="00C23240"/>
    <w:rsid w:val="00C2326B"/>
    <w:rsid w:val="00C23C17"/>
    <w:rsid w:val="00C24739"/>
    <w:rsid w:val="00C2484A"/>
    <w:rsid w:val="00C24C1F"/>
    <w:rsid w:val="00C24C5D"/>
    <w:rsid w:val="00C250CC"/>
    <w:rsid w:val="00C253A5"/>
    <w:rsid w:val="00C25943"/>
    <w:rsid w:val="00C25B0D"/>
    <w:rsid w:val="00C25CCB"/>
    <w:rsid w:val="00C25E23"/>
    <w:rsid w:val="00C26033"/>
    <w:rsid w:val="00C263E2"/>
    <w:rsid w:val="00C264FD"/>
    <w:rsid w:val="00C26C24"/>
    <w:rsid w:val="00C27054"/>
    <w:rsid w:val="00C27937"/>
    <w:rsid w:val="00C30BC3"/>
    <w:rsid w:val="00C3111E"/>
    <w:rsid w:val="00C3146F"/>
    <w:rsid w:val="00C31611"/>
    <w:rsid w:val="00C31EAF"/>
    <w:rsid w:val="00C3209D"/>
    <w:rsid w:val="00C32191"/>
    <w:rsid w:val="00C32539"/>
    <w:rsid w:val="00C3299F"/>
    <w:rsid w:val="00C33753"/>
    <w:rsid w:val="00C33828"/>
    <w:rsid w:val="00C33CF7"/>
    <w:rsid w:val="00C340E2"/>
    <w:rsid w:val="00C346F2"/>
    <w:rsid w:val="00C3558B"/>
    <w:rsid w:val="00C355F2"/>
    <w:rsid w:val="00C357D8"/>
    <w:rsid w:val="00C357FC"/>
    <w:rsid w:val="00C35B42"/>
    <w:rsid w:val="00C36564"/>
    <w:rsid w:val="00C370A5"/>
    <w:rsid w:val="00C374CC"/>
    <w:rsid w:val="00C37875"/>
    <w:rsid w:val="00C37A8C"/>
    <w:rsid w:val="00C37FF0"/>
    <w:rsid w:val="00C408DA"/>
    <w:rsid w:val="00C40B7C"/>
    <w:rsid w:val="00C41218"/>
    <w:rsid w:val="00C41BA2"/>
    <w:rsid w:val="00C42043"/>
    <w:rsid w:val="00C4229B"/>
    <w:rsid w:val="00C42835"/>
    <w:rsid w:val="00C42ABC"/>
    <w:rsid w:val="00C42B10"/>
    <w:rsid w:val="00C42E4D"/>
    <w:rsid w:val="00C434BC"/>
    <w:rsid w:val="00C434F5"/>
    <w:rsid w:val="00C436A5"/>
    <w:rsid w:val="00C43819"/>
    <w:rsid w:val="00C4392C"/>
    <w:rsid w:val="00C43D29"/>
    <w:rsid w:val="00C43EE4"/>
    <w:rsid w:val="00C44293"/>
    <w:rsid w:val="00C44A50"/>
    <w:rsid w:val="00C44D69"/>
    <w:rsid w:val="00C44FD4"/>
    <w:rsid w:val="00C450FC"/>
    <w:rsid w:val="00C45701"/>
    <w:rsid w:val="00C457E7"/>
    <w:rsid w:val="00C45967"/>
    <w:rsid w:val="00C45D31"/>
    <w:rsid w:val="00C45DDD"/>
    <w:rsid w:val="00C46587"/>
    <w:rsid w:val="00C46F80"/>
    <w:rsid w:val="00C474A7"/>
    <w:rsid w:val="00C5017E"/>
    <w:rsid w:val="00C50B21"/>
    <w:rsid w:val="00C50BA0"/>
    <w:rsid w:val="00C5104E"/>
    <w:rsid w:val="00C512FF"/>
    <w:rsid w:val="00C5174E"/>
    <w:rsid w:val="00C51FCF"/>
    <w:rsid w:val="00C522BD"/>
    <w:rsid w:val="00C52368"/>
    <w:rsid w:val="00C525BD"/>
    <w:rsid w:val="00C5360B"/>
    <w:rsid w:val="00C53825"/>
    <w:rsid w:val="00C53A3C"/>
    <w:rsid w:val="00C53BD8"/>
    <w:rsid w:val="00C53E32"/>
    <w:rsid w:val="00C53E7C"/>
    <w:rsid w:val="00C549C8"/>
    <w:rsid w:val="00C54CE1"/>
    <w:rsid w:val="00C5507A"/>
    <w:rsid w:val="00C5572D"/>
    <w:rsid w:val="00C5601B"/>
    <w:rsid w:val="00C560E3"/>
    <w:rsid w:val="00C5611C"/>
    <w:rsid w:val="00C563E1"/>
    <w:rsid w:val="00C57250"/>
    <w:rsid w:val="00C572C6"/>
    <w:rsid w:val="00C57313"/>
    <w:rsid w:val="00C57680"/>
    <w:rsid w:val="00C603E9"/>
    <w:rsid w:val="00C607FC"/>
    <w:rsid w:val="00C60B26"/>
    <w:rsid w:val="00C60E5C"/>
    <w:rsid w:val="00C6123A"/>
    <w:rsid w:val="00C61702"/>
    <w:rsid w:val="00C61859"/>
    <w:rsid w:val="00C618D0"/>
    <w:rsid w:val="00C61CF1"/>
    <w:rsid w:val="00C62101"/>
    <w:rsid w:val="00C623DA"/>
    <w:rsid w:val="00C6265C"/>
    <w:rsid w:val="00C62774"/>
    <w:rsid w:val="00C62931"/>
    <w:rsid w:val="00C632AB"/>
    <w:rsid w:val="00C6336B"/>
    <w:rsid w:val="00C638F5"/>
    <w:rsid w:val="00C63DC9"/>
    <w:rsid w:val="00C64053"/>
    <w:rsid w:val="00C64176"/>
    <w:rsid w:val="00C644AE"/>
    <w:rsid w:val="00C64742"/>
    <w:rsid w:val="00C64E93"/>
    <w:rsid w:val="00C64ED8"/>
    <w:rsid w:val="00C661E5"/>
    <w:rsid w:val="00C6641E"/>
    <w:rsid w:val="00C665FC"/>
    <w:rsid w:val="00C6675C"/>
    <w:rsid w:val="00C66B6B"/>
    <w:rsid w:val="00C67A88"/>
    <w:rsid w:val="00C70348"/>
    <w:rsid w:val="00C709D5"/>
    <w:rsid w:val="00C70B39"/>
    <w:rsid w:val="00C71246"/>
    <w:rsid w:val="00C7172F"/>
    <w:rsid w:val="00C717F0"/>
    <w:rsid w:val="00C72877"/>
    <w:rsid w:val="00C7292A"/>
    <w:rsid w:val="00C73017"/>
    <w:rsid w:val="00C7346B"/>
    <w:rsid w:val="00C73798"/>
    <w:rsid w:val="00C73BBB"/>
    <w:rsid w:val="00C742A7"/>
    <w:rsid w:val="00C74433"/>
    <w:rsid w:val="00C748FB"/>
    <w:rsid w:val="00C74CC2"/>
    <w:rsid w:val="00C74D16"/>
    <w:rsid w:val="00C74F31"/>
    <w:rsid w:val="00C751B8"/>
    <w:rsid w:val="00C75346"/>
    <w:rsid w:val="00C7638D"/>
    <w:rsid w:val="00C76839"/>
    <w:rsid w:val="00C768D9"/>
    <w:rsid w:val="00C7718B"/>
    <w:rsid w:val="00C772F5"/>
    <w:rsid w:val="00C7756A"/>
    <w:rsid w:val="00C77753"/>
    <w:rsid w:val="00C77A91"/>
    <w:rsid w:val="00C8012F"/>
    <w:rsid w:val="00C803C0"/>
    <w:rsid w:val="00C80802"/>
    <w:rsid w:val="00C80D82"/>
    <w:rsid w:val="00C80DDA"/>
    <w:rsid w:val="00C81753"/>
    <w:rsid w:val="00C8190F"/>
    <w:rsid w:val="00C81BA3"/>
    <w:rsid w:val="00C81F31"/>
    <w:rsid w:val="00C82493"/>
    <w:rsid w:val="00C826D9"/>
    <w:rsid w:val="00C827ED"/>
    <w:rsid w:val="00C832C6"/>
    <w:rsid w:val="00C836A8"/>
    <w:rsid w:val="00C83897"/>
    <w:rsid w:val="00C83C71"/>
    <w:rsid w:val="00C83CB5"/>
    <w:rsid w:val="00C83D56"/>
    <w:rsid w:val="00C844A4"/>
    <w:rsid w:val="00C84608"/>
    <w:rsid w:val="00C84A0A"/>
    <w:rsid w:val="00C8559C"/>
    <w:rsid w:val="00C85DFA"/>
    <w:rsid w:val="00C85EE9"/>
    <w:rsid w:val="00C86043"/>
    <w:rsid w:val="00C866F4"/>
    <w:rsid w:val="00C86BBF"/>
    <w:rsid w:val="00C86C0F"/>
    <w:rsid w:val="00C87269"/>
    <w:rsid w:val="00C872D8"/>
    <w:rsid w:val="00C87765"/>
    <w:rsid w:val="00C87FF3"/>
    <w:rsid w:val="00C90A93"/>
    <w:rsid w:val="00C90BC6"/>
    <w:rsid w:val="00C90D35"/>
    <w:rsid w:val="00C916E8"/>
    <w:rsid w:val="00C9174E"/>
    <w:rsid w:val="00C917C9"/>
    <w:rsid w:val="00C91AAD"/>
    <w:rsid w:val="00C91E1B"/>
    <w:rsid w:val="00C91F66"/>
    <w:rsid w:val="00C9225D"/>
    <w:rsid w:val="00C92468"/>
    <w:rsid w:val="00C927A5"/>
    <w:rsid w:val="00C9299E"/>
    <w:rsid w:val="00C92B80"/>
    <w:rsid w:val="00C92D3C"/>
    <w:rsid w:val="00C92DF4"/>
    <w:rsid w:val="00C938B7"/>
    <w:rsid w:val="00C93F1E"/>
    <w:rsid w:val="00C94030"/>
    <w:rsid w:val="00C94209"/>
    <w:rsid w:val="00C942C9"/>
    <w:rsid w:val="00C944A3"/>
    <w:rsid w:val="00C94F0D"/>
    <w:rsid w:val="00C94FE5"/>
    <w:rsid w:val="00C95A19"/>
    <w:rsid w:val="00C9638F"/>
    <w:rsid w:val="00C966B1"/>
    <w:rsid w:val="00C968A4"/>
    <w:rsid w:val="00C96DCA"/>
    <w:rsid w:val="00C97083"/>
    <w:rsid w:val="00C97181"/>
    <w:rsid w:val="00C975E0"/>
    <w:rsid w:val="00C9783C"/>
    <w:rsid w:val="00C97ACE"/>
    <w:rsid w:val="00C97E2F"/>
    <w:rsid w:val="00C97F5C"/>
    <w:rsid w:val="00CA05EB"/>
    <w:rsid w:val="00CA0C5D"/>
    <w:rsid w:val="00CA0CA1"/>
    <w:rsid w:val="00CA0DE5"/>
    <w:rsid w:val="00CA1FDD"/>
    <w:rsid w:val="00CA23DD"/>
    <w:rsid w:val="00CA242E"/>
    <w:rsid w:val="00CA4225"/>
    <w:rsid w:val="00CA428E"/>
    <w:rsid w:val="00CA47DF"/>
    <w:rsid w:val="00CA4D60"/>
    <w:rsid w:val="00CA5569"/>
    <w:rsid w:val="00CA55A9"/>
    <w:rsid w:val="00CA57D0"/>
    <w:rsid w:val="00CA5E7F"/>
    <w:rsid w:val="00CA62A2"/>
    <w:rsid w:val="00CA6828"/>
    <w:rsid w:val="00CA7ED8"/>
    <w:rsid w:val="00CA7EE8"/>
    <w:rsid w:val="00CA7FE0"/>
    <w:rsid w:val="00CB02D2"/>
    <w:rsid w:val="00CB0325"/>
    <w:rsid w:val="00CB0A8C"/>
    <w:rsid w:val="00CB0AD5"/>
    <w:rsid w:val="00CB0C9C"/>
    <w:rsid w:val="00CB0FC1"/>
    <w:rsid w:val="00CB103A"/>
    <w:rsid w:val="00CB1791"/>
    <w:rsid w:val="00CB1871"/>
    <w:rsid w:val="00CB1B0F"/>
    <w:rsid w:val="00CB1DD0"/>
    <w:rsid w:val="00CB20DA"/>
    <w:rsid w:val="00CB233C"/>
    <w:rsid w:val="00CB2491"/>
    <w:rsid w:val="00CB24C8"/>
    <w:rsid w:val="00CB2C1B"/>
    <w:rsid w:val="00CB3C0B"/>
    <w:rsid w:val="00CB3F7D"/>
    <w:rsid w:val="00CB4262"/>
    <w:rsid w:val="00CB4636"/>
    <w:rsid w:val="00CB46EB"/>
    <w:rsid w:val="00CB4C46"/>
    <w:rsid w:val="00CB5976"/>
    <w:rsid w:val="00CB5B38"/>
    <w:rsid w:val="00CB6594"/>
    <w:rsid w:val="00CB6849"/>
    <w:rsid w:val="00CB70AA"/>
    <w:rsid w:val="00CB72CE"/>
    <w:rsid w:val="00CB782A"/>
    <w:rsid w:val="00CB7F10"/>
    <w:rsid w:val="00CC083F"/>
    <w:rsid w:val="00CC0B68"/>
    <w:rsid w:val="00CC0D5A"/>
    <w:rsid w:val="00CC10C6"/>
    <w:rsid w:val="00CC1230"/>
    <w:rsid w:val="00CC13A9"/>
    <w:rsid w:val="00CC21DF"/>
    <w:rsid w:val="00CC24D3"/>
    <w:rsid w:val="00CC29C8"/>
    <w:rsid w:val="00CC2A71"/>
    <w:rsid w:val="00CC3322"/>
    <w:rsid w:val="00CC362F"/>
    <w:rsid w:val="00CC3C2E"/>
    <w:rsid w:val="00CC435A"/>
    <w:rsid w:val="00CC4CD6"/>
    <w:rsid w:val="00CC4FF7"/>
    <w:rsid w:val="00CC559F"/>
    <w:rsid w:val="00CC57C9"/>
    <w:rsid w:val="00CC5974"/>
    <w:rsid w:val="00CC59B8"/>
    <w:rsid w:val="00CC5CB9"/>
    <w:rsid w:val="00CC5F3E"/>
    <w:rsid w:val="00CC7271"/>
    <w:rsid w:val="00CC7429"/>
    <w:rsid w:val="00CC76C2"/>
    <w:rsid w:val="00CC7B7D"/>
    <w:rsid w:val="00CC7C14"/>
    <w:rsid w:val="00CC7E53"/>
    <w:rsid w:val="00CD0C54"/>
    <w:rsid w:val="00CD15BD"/>
    <w:rsid w:val="00CD1949"/>
    <w:rsid w:val="00CD1DA8"/>
    <w:rsid w:val="00CD219C"/>
    <w:rsid w:val="00CD2AEA"/>
    <w:rsid w:val="00CD2D5A"/>
    <w:rsid w:val="00CD304E"/>
    <w:rsid w:val="00CD321B"/>
    <w:rsid w:val="00CD3449"/>
    <w:rsid w:val="00CD3C9D"/>
    <w:rsid w:val="00CD403A"/>
    <w:rsid w:val="00CD426B"/>
    <w:rsid w:val="00CD439A"/>
    <w:rsid w:val="00CD4AE5"/>
    <w:rsid w:val="00CD4B0D"/>
    <w:rsid w:val="00CD5B65"/>
    <w:rsid w:val="00CD5CA5"/>
    <w:rsid w:val="00CD6275"/>
    <w:rsid w:val="00CD656F"/>
    <w:rsid w:val="00CD69ED"/>
    <w:rsid w:val="00CD77FD"/>
    <w:rsid w:val="00CD7874"/>
    <w:rsid w:val="00CD7D1B"/>
    <w:rsid w:val="00CE07D0"/>
    <w:rsid w:val="00CE0AF9"/>
    <w:rsid w:val="00CE0BA4"/>
    <w:rsid w:val="00CE0E46"/>
    <w:rsid w:val="00CE15B4"/>
    <w:rsid w:val="00CE1F04"/>
    <w:rsid w:val="00CE2BA0"/>
    <w:rsid w:val="00CE2D0A"/>
    <w:rsid w:val="00CE3682"/>
    <w:rsid w:val="00CE390C"/>
    <w:rsid w:val="00CE3F00"/>
    <w:rsid w:val="00CE43ED"/>
    <w:rsid w:val="00CE4549"/>
    <w:rsid w:val="00CE49AB"/>
    <w:rsid w:val="00CE4EFD"/>
    <w:rsid w:val="00CE50EE"/>
    <w:rsid w:val="00CE589D"/>
    <w:rsid w:val="00CE5A4F"/>
    <w:rsid w:val="00CE6404"/>
    <w:rsid w:val="00CE6E10"/>
    <w:rsid w:val="00CE6E85"/>
    <w:rsid w:val="00CE706E"/>
    <w:rsid w:val="00CE7381"/>
    <w:rsid w:val="00CE76C9"/>
    <w:rsid w:val="00CE7F33"/>
    <w:rsid w:val="00CF073C"/>
    <w:rsid w:val="00CF08EB"/>
    <w:rsid w:val="00CF0A0C"/>
    <w:rsid w:val="00CF0D4B"/>
    <w:rsid w:val="00CF116E"/>
    <w:rsid w:val="00CF13E5"/>
    <w:rsid w:val="00CF19FB"/>
    <w:rsid w:val="00CF1C43"/>
    <w:rsid w:val="00CF1DE3"/>
    <w:rsid w:val="00CF2658"/>
    <w:rsid w:val="00CF26AD"/>
    <w:rsid w:val="00CF2872"/>
    <w:rsid w:val="00CF28DF"/>
    <w:rsid w:val="00CF2AD5"/>
    <w:rsid w:val="00CF2B73"/>
    <w:rsid w:val="00CF2C32"/>
    <w:rsid w:val="00CF2D31"/>
    <w:rsid w:val="00CF307C"/>
    <w:rsid w:val="00CF34ED"/>
    <w:rsid w:val="00CF38E7"/>
    <w:rsid w:val="00CF3C77"/>
    <w:rsid w:val="00CF40B9"/>
    <w:rsid w:val="00CF4101"/>
    <w:rsid w:val="00CF44AC"/>
    <w:rsid w:val="00CF45ED"/>
    <w:rsid w:val="00CF46F4"/>
    <w:rsid w:val="00CF47F1"/>
    <w:rsid w:val="00CF4D5D"/>
    <w:rsid w:val="00CF4FB1"/>
    <w:rsid w:val="00CF567B"/>
    <w:rsid w:val="00CF61CC"/>
    <w:rsid w:val="00CF6818"/>
    <w:rsid w:val="00CF6B08"/>
    <w:rsid w:val="00CF6C10"/>
    <w:rsid w:val="00CF6F1C"/>
    <w:rsid w:val="00CF7A8F"/>
    <w:rsid w:val="00CF7CE5"/>
    <w:rsid w:val="00D00600"/>
    <w:rsid w:val="00D00997"/>
    <w:rsid w:val="00D00A56"/>
    <w:rsid w:val="00D0111C"/>
    <w:rsid w:val="00D01C0A"/>
    <w:rsid w:val="00D01C3F"/>
    <w:rsid w:val="00D02501"/>
    <w:rsid w:val="00D02B5C"/>
    <w:rsid w:val="00D02C3C"/>
    <w:rsid w:val="00D02D05"/>
    <w:rsid w:val="00D031C8"/>
    <w:rsid w:val="00D03596"/>
    <w:rsid w:val="00D03E8C"/>
    <w:rsid w:val="00D03EF5"/>
    <w:rsid w:val="00D03F65"/>
    <w:rsid w:val="00D040F6"/>
    <w:rsid w:val="00D04182"/>
    <w:rsid w:val="00D04296"/>
    <w:rsid w:val="00D04313"/>
    <w:rsid w:val="00D04D2E"/>
    <w:rsid w:val="00D0510B"/>
    <w:rsid w:val="00D052EF"/>
    <w:rsid w:val="00D05667"/>
    <w:rsid w:val="00D056B6"/>
    <w:rsid w:val="00D05C9C"/>
    <w:rsid w:val="00D05CD0"/>
    <w:rsid w:val="00D05DF4"/>
    <w:rsid w:val="00D06287"/>
    <w:rsid w:val="00D066DA"/>
    <w:rsid w:val="00D07106"/>
    <w:rsid w:val="00D077EC"/>
    <w:rsid w:val="00D07A8F"/>
    <w:rsid w:val="00D07C03"/>
    <w:rsid w:val="00D07E55"/>
    <w:rsid w:val="00D07F26"/>
    <w:rsid w:val="00D10456"/>
    <w:rsid w:val="00D10480"/>
    <w:rsid w:val="00D10AEB"/>
    <w:rsid w:val="00D10F88"/>
    <w:rsid w:val="00D1133F"/>
    <w:rsid w:val="00D113E8"/>
    <w:rsid w:val="00D11575"/>
    <w:rsid w:val="00D11A01"/>
    <w:rsid w:val="00D11D58"/>
    <w:rsid w:val="00D133FD"/>
    <w:rsid w:val="00D135A4"/>
    <w:rsid w:val="00D139E9"/>
    <w:rsid w:val="00D13BD8"/>
    <w:rsid w:val="00D13D84"/>
    <w:rsid w:val="00D13E90"/>
    <w:rsid w:val="00D14046"/>
    <w:rsid w:val="00D141A4"/>
    <w:rsid w:val="00D14399"/>
    <w:rsid w:val="00D145B7"/>
    <w:rsid w:val="00D149D0"/>
    <w:rsid w:val="00D14F95"/>
    <w:rsid w:val="00D15109"/>
    <w:rsid w:val="00D151F1"/>
    <w:rsid w:val="00D153DA"/>
    <w:rsid w:val="00D1546A"/>
    <w:rsid w:val="00D15C1D"/>
    <w:rsid w:val="00D16040"/>
    <w:rsid w:val="00D160B5"/>
    <w:rsid w:val="00D164D5"/>
    <w:rsid w:val="00D168CB"/>
    <w:rsid w:val="00D16AFE"/>
    <w:rsid w:val="00D16C7D"/>
    <w:rsid w:val="00D16CB3"/>
    <w:rsid w:val="00D17822"/>
    <w:rsid w:val="00D17AC6"/>
    <w:rsid w:val="00D17DE5"/>
    <w:rsid w:val="00D17EF9"/>
    <w:rsid w:val="00D20509"/>
    <w:rsid w:val="00D20FA3"/>
    <w:rsid w:val="00D21740"/>
    <w:rsid w:val="00D21D1E"/>
    <w:rsid w:val="00D21DCC"/>
    <w:rsid w:val="00D21DCD"/>
    <w:rsid w:val="00D221A3"/>
    <w:rsid w:val="00D22511"/>
    <w:rsid w:val="00D22D06"/>
    <w:rsid w:val="00D23195"/>
    <w:rsid w:val="00D23403"/>
    <w:rsid w:val="00D23711"/>
    <w:rsid w:val="00D237FA"/>
    <w:rsid w:val="00D238BA"/>
    <w:rsid w:val="00D23A9B"/>
    <w:rsid w:val="00D240D5"/>
    <w:rsid w:val="00D2418C"/>
    <w:rsid w:val="00D242CB"/>
    <w:rsid w:val="00D246B8"/>
    <w:rsid w:val="00D2488E"/>
    <w:rsid w:val="00D249DC"/>
    <w:rsid w:val="00D25589"/>
    <w:rsid w:val="00D255AF"/>
    <w:rsid w:val="00D25F4E"/>
    <w:rsid w:val="00D262C0"/>
    <w:rsid w:val="00D267BF"/>
    <w:rsid w:val="00D27234"/>
    <w:rsid w:val="00D275E6"/>
    <w:rsid w:val="00D2773E"/>
    <w:rsid w:val="00D2776D"/>
    <w:rsid w:val="00D27AE3"/>
    <w:rsid w:val="00D27C1C"/>
    <w:rsid w:val="00D27D42"/>
    <w:rsid w:val="00D3034F"/>
    <w:rsid w:val="00D303A7"/>
    <w:rsid w:val="00D3068D"/>
    <w:rsid w:val="00D31334"/>
    <w:rsid w:val="00D31633"/>
    <w:rsid w:val="00D31712"/>
    <w:rsid w:val="00D32920"/>
    <w:rsid w:val="00D32D9D"/>
    <w:rsid w:val="00D32F4D"/>
    <w:rsid w:val="00D333EA"/>
    <w:rsid w:val="00D33592"/>
    <w:rsid w:val="00D33EEE"/>
    <w:rsid w:val="00D33F0A"/>
    <w:rsid w:val="00D34056"/>
    <w:rsid w:val="00D3411D"/>
    <w:rsid w:val="00D342D7"/>
    <w:rsid w:val="00D345A6"/>
    <w:rsid w:val="00D34BAD"/>
    <w:rsid w:val="00D3527C"/>
    <w:rsid w:val="00D3551B"/>
    <w:rsid w:val="00D35756"/>
    <w:rsid w:val="00D35833"/>
    <w:rsid w:val="00D36385"/>
    <w:rsid w:val="00D364EC"/>
    <w:rsid w:val="00D36DE2"/>
    <w:rsid w:val="00D370C3"/>
    <w:rsid w:val="00D372EB"/>
    <w:rsid w:val="00D3732E"/>
    <w:rsid w:val="00D3755B"/>
    <w:rsid w:val="00D3758F"/>
    <w:rsid w:val="00D37F38"/>
    <w:rsid w:val="00D37F91"/>
    <w:rsid w:val="00D4082B"/>
    <w:rsid w:val="00D40F9D"/>
    <w:rsid w:val="00D41125"/>
    <w:rsid w:val="00D413A6"/>
    <w:rsid w:val="00D4146A"/>
    <w:rsid w:val="00D416FF"/>
    <w:rsid w:val="00D41A6E"/>
    <w:rsid w:val="00D41C35"/>
    <w:rsid w:val="00D42052"/>
    <w:rsid w:val="00D422D3"/>
    <w:rsid w:val="00D42723"/>
    <w:rsid w:val="00D42947"/>
    <w:rsid w:val="00D42BF0"/>
    <w:rsid w:val="00D43260"/>
    <w:rsid w:val="00D43D91"/>
    <w:rsid w:val="00D4424A"/>
    <w:rsid w:val="00D4430C"/>
    <w:rsid w:val="00D44396"/>
    <w:rsid w:val="00D445EE"/>
    <w:rsid w:val="00D44917"/>
    <w:rsid w:val="00D44EA4"/>
    <w:rsid w:val="00D45595"/>
    <w:rsid w:val="00D459ED"/>
    <w:rsid w:val="00D45C4F"/>
    <w:rsid w:val="00D46139"/>
    <w:rsid w:val="00D463B4"/>
    <w:rsid w:val="00D46A15"/>
    <w:rsid w:val="00D46BE7"/>
    <w:rsid w:val="00D4739F"/>
    <w:rsid w:val="00D473D3"/>
    <w:rsid w:val="00D476E5"/>
    <w:rsid w:val="00D47889"/>
    <w:rsid w:val="00D47BDA"/>
    <w:rsid w:val="00D47DB0"/>
    <w:rsid w:val="00D50380"/>
    <w:rsid w:val="00D50535"/>
    <w:rsid w:val="00D50676"/>
    <w:rsid w:val="00D507FF"/>
    <w:rsid w:val="00D50BE5"/>
    <w:rsid w:val="00D5189A"/>
    <w:rsid w:val="00D519A5"/>
    <w:rsid w:val="00D51F6E"/>
    <w:rsid w:val="00D52869"/>
    <w:rsid w:val="00D52A3F"/>
    <w:rsid w:val="00D53C00"/>
    <w:rsid w:val="00D545A5"/>
    <w:rsid w:val="00D54EDC"/>
    <w:rsid w:val="00D54F31"/>
    <w:rsid w:val="00D55F57"/>
    <w:rsid w:val="00D5648F"/>
    <w:rsid w:val="00D56625"/>
    <w:rsid w:val="00D56865"/>
    <w:rsid w:val="00D56A87"/>
    <w:rsid w:val="00D56E9B"/>
    <w:rsid w:val="00D5706A"/>
    <w:rsid w:val="00D5743F"/>
    <w:rsid w:val="00D5763D"/>
    <w:rsid w:val="00D57BD2"/>
    <w:rsid w:val="00D57D3B"/>
    <w:rsid w:val="00D57D98"/>
    <w:rsid w:val="00D60531"/>
    <w:rsid w:val="00D60D40"/>
    <w:rsid w:val="00D60DF2"/>
    <w:rsid w:val="00D610F9"/>
    <w:rsid w:val="00D6187A"/>
    <w:rsid w:val="00D61CDB"/>
    <w:rsid w:val="00D62041"/>
    <w:rsid w:val="00D6207E"/>
    <w:rsid w:val="00D626E1"/>
    <w:rsid w:val="00D62B8C"/>
    <w:rsid w:val="00D6301D"/>
    <w:rsid w:val="00D63361"/>
    <w:rsid w:val="00D63573"/>
    <w:rsid w:val="00D639BB"/>
    <w:rsid w:val="00D63C6D"/>
    <w:rsid w:val="00D63C83"/>
    <w:rsid w:val="00D63CAD"/>
    <w:rsid w:val="00D63D6C"/>
    <w:rsid w:val="00D63FE4"/>
    <w:rsid w:val="00D64924"/>
    <w:rsid w:val="00D64EF5"/>
    <w:rsid w:val="00D65140"/>
    <w:rsid w:val="00D6526C"/>
    <w:rsid w:val="00D65804"/>
    <w:rsid w:val="00D65886"/>
    <w:rsid w:val="00D65DAB"/>
    <w:rsid w:val="00D65F72"/>
    <w:rsid w:val="00D6642B"/>
    <w:rsid w:val="00D6672A"/>
    <w:rsid w:val="00D66B29"/>
    <w:rsid w:val="00D66EB7"/>
    <w:rsid w:val="00D67688"/>
    <w:rsid w:val="00D676F1"/>
    <w:rsid w:val="00D6798A"/>
    <w:rsid w:val="00D67A0B"/>
    <w:rsid w:val="00D67B24"/>
    <w:rsid w:val="00D67BFA"/>
    <w:rsid w:val="00D7051A"/>
    <w:rsid w:val="00D708C6"/>
    <w:rsid w:val="00D710C4"/>
    <w:rsid w:val="00D7154F"/>
    <w:rsid w:val="00D715AA"/>
    <w:rsid w:val="00D716D3"/>
    <w:rsid w:val="00D72A2D"/>
    <w:rsid w:val="00D72A44"/>
    <w:rsid w:val="00D72CFF"/>
    <w:rsid w:val="00D7307A"/>
    <w:rsid w:val="00D735AD"/>
    <w:rsid w:val="00D737C4"/>
    <w:rsid w:val="00D73BB0"/>
    <w:rsid w:val="00D73CD4"/>
    <w:rsid w:val="00D74B29"/>
    <w:rsid w:val="00D753C8"/>
    <w:rsid w:val="00D76C10"/>
    <w:rsid w:val="00D76EBC"/>
    <w:rsid w:val="00D7716A"/>
    <w:rsid w:val="00D77BB1"/>
    <w:rsid w:val="00D77D11"/>
    <w:rsid w:val="00D8012C"/>
    <w:rsid w:val="00D80C34"/>
    <w:rsid w:val="00D8118A"/>
    <w:rsid w:val="00D815F0"/>
    <w:rsid w:val="00D81717"/>
    <w:rsid w:val="00D81A44"/>
    <w:rsid w:val="00D81CB6"/>
    <w:rsid w:val="00D82560"/>
    <w:rsid w:val="00D82762"/>
    <w:rsid w:val="00D83160"/>
    <w:rsid w:val="00D83220"/>
    <w:rsid w:val="00D83349"/>
    <w:rsid w:val="00D83A85"/>
    <w:rsid w:val="00D83F60"/>
    <w:rsid w:val="00D84E42"/>
    <w:rsid w:val="00D8537F"/>
    <w:rsid w:val="00D85510"/>
    <w:rsid w:val="00D85D54"/>
    <w:rsid w:val="00D85EDD"/>
    <w:rsid w:val="00D85FAB"/>
    <w:rsid w:val="00D86224"/>
    <w:rsid w:val="00D8642D"/>
    <w:rsid w:val="00D86AFE"/>
    <w:rsid w:val="00D86C28"/>
    <w:rsid w:val="00D874C5"/>
    <w:rsid w:val="00D876BC"/>
    <w:rsid w:val="00D87A47"/>
    <w:rsid w:val="00D87E83"/>
    <w:rsid w:val="00D90556"/>
    <w:rsid w:val="00D906EF"/>
    <w:rsid w:val="00D90CDA"/>
    <w:rsid w:val="00D910C6"/>
    <w:rsid w:val="00D91B5B"/>
    <w:rsid w:val="00D91BA4"/>
    <w:rsid w:val="00D91D6A"/>
    <w:rsid w:val="00D91FE5"/>
    <w:rsid w:val="00D92541"/>
    <w:rsid w:val="00D92A32"/>
    <w:rsid w:val="00D930F6"/>
    <w:rsid w:val="00D93AAE"/>
    <w:rsid w:val="00D93F46"/>
    <w:rsid w:val="00D9413F"/>
    <w:rsid w:val="00D943C0"/>
    <w:rsid w:val="00D944CB"/>
    <w:rsid w:val="00D947DC"/>
    <w:rsid w:val="00D9492C"/>
    <w:rsid w:val="00D950FB"/>
    <w:rsid w:val="00D9542B"/>
    <w:rsid w:val="00D959C5"/>
    <w:rsid w:val="00D9656D"/>
    <w:rsid w:val="00DA00B7"/>
    <w:rsid w:val="00DA04B4"/>
    <w:rsid w:val="00DA0B28"/>
    <w:rsid w:val="00DA0FFC"/>
    <w:rsid w:val="00DA11DE"/>
    <w:rsid w:val="00DA1918"/>
    <w:rsid w:val="00DA1BC3"/>
    <w:rsid w:val="00DA2544"/>
    <w:rsid w:val="00DA2833"/>
    <w:rsid w:val="00DA28AA"/>
    <w:rsid w:val="00DA2A03"/>
    <w:rsid w:val="00DA2FB4"/>
    <w:rsid w:val="00DA3D77"/>
    <w:rsid w:val="00DA45CE"/>
    <w:rsid w:val="00DA4E25"/>
    <w:rsid w:val="00DA50CF"/>
    <w:rsid w:val="00DA54C3"/>
    <w:rsid w:val="00DA571E"/>
    <w:rsid w:val="00DA5D97"/>
    <w:rsid w:val="00DA608E"/>
    <w:rsid w:val="00DA6130"/>
    <w:rsid w:val="00DA6142"/>
    <w:rsid w:val="00DA63C6"/>
    <w:rsid w:val="00DA6466"/>
    <w:rsid w:val="00DA6807"/>
    <w:rsid w:val="00DA6A97"/>
    <w:rsid w:val="00DA6BD2"/>
    <w:rsid w:val="00DA6F4E"/>
    <w:rsid w:val="00DA72B2"/>
    <w:rsid w:val="00DA7582"/>
    <w:rsid w:val="00DA777E"/>
    <w:rsid w:val="00DA7900"/>
    <w:rsid w:val="00DA7C23"/>
    <w:rsid w:val="00DA7D0E"/>
    <w:rsid w:val="00DA7EB0"/>
    <w:rsid w:val="00DA7F1E"/>
    <w:rsid w:val="00DB0097"/>
    <w:rsid w:val="00DB05B9"/>
    <w:rsid w:val="00DB0A01"/>
    <w:rsid w:val="00DB13E5"/>
    <w:rsid w:val="00DB14DF"/>
    <w:rsid w:val="00DB16FB"/>
    <w:rsid w:val="00DB19F4"/>
    <w:rsid w:val="00DB1BF1"/>
    <w:rsid w:val="00DB1F21"/>
    <w:rsid w:val="00DB2210"/>
    <w:rsid w:val="00DB2DA2"/>
    <w:rsid w:val="00DB2F3F"/>
    <w:rsid w:val="00DB327C"/>
    <w:rsid w:val="00DB380E"/>
    <w:rsid w:val="00DB398E"/>
    <w:rsid w:val="00DB3B14"/>
    <w:rsid w:val="00DB4949"/>
    <w:rsid w:val="00DB531E"/>
    <w:rsid w:val="00DB667D"/>
    <w:rsid w:val="00DB71AD"/>
    <w:rsid w:val="00DB7654"/>
    <w:rsid w:val="00DB778E"/>
    <w:rsid w:val="00DB77D5"/>
    <w:rsid w:val="00DB77EA"/>
    <w:rsid w:val="00DB7AB1"/>
    <w:rsid w:val="00DB7C26"/>
    <w:rsid w:val="00DC046B"/>
    <w:rsid w:val="00DC0CED"/>
    <w:rsid w:val="00DC1369"/>
    <w:rsid w:val="00DC172E"/>
    <w:rsid w:val="00DC1DF3"/>
    <w:rsid w:val="00DC3036"/>
    <w:rsid w:val="00DC442A"/>
    <w:rsid w:val="00DC449C"/>
    <w:rsid w:val="00DC4CA7"/>
    <w:rsid w:val="00DC4D36"/>
    <w:rsid w:val="00DC4ED7"/>
    <w:rsid w:val="00DC5708"/>
    <w:rsid w:val="00DC5CCF"/>
    <w:rsid w:val="00DC5F48"/>
    <w:rsid w:val="00DC5FDC"/>
    <w:rsid w:val="00DC5FE8"/>
    <w:rsid w:val="00DC63CB"/>
    <w:rsid w:val="00DC649A"/>
    <w:rsid w:val="00DC650E"/>
    <w:rsid w:val="00DC6882"/>
    <w:rsid w:val="00DC74BA"/>
    <w:rsid w:val="00DC7BD4"/>
    <w:rsid w:val="00DC7D31"/>
    <w:rsid w:val="00DD0222"/>
    <w:rsid w:val="00DD03FB"/>
    <w:rsid w:val="00DD0576"/>
    <w:rsid w:val="00DD05D3"/>
    <w:rsid w:val="00DD0A25"/>
    <w:rsid w:val="00DD183A"/>
    <w:rsid w:val="00DD18A9"/>
    <w:rsid w:val="00DD1B7C"/>
    <w:rsid w:val="00DD1D76"/>
    <w:rsid w:val="00DD21C0"/>
    <w:rsid w:val="00DD256C"/>
    <w:rsid w:val="00DD26DC"/>
    <w:rsid w:val="00DD2759"/>
    <w:rsid w:val="00DD3773"/>
    <w:rsid w:val="00DD39DB"/>
    <w:rsid w:val="00DD3A86"/>
    <w:rsid w:val="00DD3D04"/>
    <w:rsid w:val="00DD4090"/>
    <w:rsid w:val="00DD472F"/>
    <w:rsid w:val="00DD4D6D"/>
    <w:rsid w:val="00DD5817"/>
    <w:rsid w:val="00DD5C1A"/>
    <w:rsid w:val="00DD5EF7"/>
    <w:rsid w:val="00DD6385"/>
    <w:rsid w:val="00DD63C7"/>
    <w:rsid w:val="00DD6403"/>
    <w:rsid w:val="00DD69CB"/>
    <w:rsid w:val="00DD6A7A"/>
    <w:rsid w:val="00DD6A9A"/>
    <w:rsid w:val="00DD6B29"/>
    <w:rsid w:val="00DD6FE5"/>
    <w:rsid w:val="00DD74F8"/>
    <w:rsid w:val="00DD76B4"/>
    <w:rsid w:val="00DD7912"/>
    <w:rsid w:val="00DE051C"/>
    <w:rsid w:val="00DE0D5C"/>
    <w:rsid w:val="00DE0D5D"/>
    <w:rsid w:val="00DE0ED0"/>
    <w:rsid w:val="00DE16A0"/>
    <w:rsid w:val="00DE1B9E"/>
    <w:rsid w:val="00DE1DB6"/>
    <w:rsid w:val="00DE251F"/>
    <w:rsid w:val="00DE2A60"/>
    <w:rsid w:val="00DE2EBC"/>
    <w:rsid w:val="00DE3609"/>
    <w:rsid w:val="00DE3A67"/>
    <w:rsid w:val="00DE3C68"/>
    <w:rsid w:val="00DE3FB0"/>
    <w:rsid w:val="00DE462D"/>
    <w:rsid w:val="00DE587A"/>
    <w:rsid w:val="00DE6426"/>
    <w:rsid w:val="00DE6EC8"/>
    <w:rsid w:val="00DE71DB"/>
    <w:rsid w:val="00DE7355"/>
    <w:rsid w:val="00DE742A"/>
    <w:rsid w:val="00DE75A9"/>
    <w:rsid w:val="00DE7EF2"/>
    <w:rsid w:val="00DF02A9"/>
    <w:rsid w:val="00DF03A5"/>
    <w:rsid w:val="00DF08E9"/>
    <w:rsid w:val="00DF0A5F"/>
    <w:rsid w:val="00DF10F5"/>
    <w:rsid w:val="00DF12F8"/>
    <w:rsid w:val="00DF13A9"/>
    <w:rsid w:val="00DF2340"/>
    <w:rsid w:val="00DF257A"/>
    <w:rsid w:val="00DF2B1F"/>
    <w:rsid w:val="00DF2DAF"/>
    <w:rsid w:val="00DF3132"/>
    <w:rsid w:val="00DF3399"/>
    <w:rsid w:val="00DF3D28"/>
    <w:rsid w:val="00DF4158"/>
    <w:rsid w:val="00DF47A2"/>
    <w:rsid w:val="00DF4ABD"/>
    <w:rsid w:val="00DF4BE1"/>
    <w:rsid w:val="00DF503E"/>
    <w:rsid w:val="00DF57A6"/>
    <w:rsid w:val="00DF580C"/>
    <w:rsid w:val="00DF590E"/>
    <w:rsid w:val="00DF5B3B"/>
    <w:rsid w:val="00DF5FF5"/>
    <w:rsid w:val="00DF61BC"/>
    <w:rsid w:val="00DF6535"/>
    <w:rsid w:val="00DF65A7"/>
    <w:rsid w:val="00DF681E"/>
    <w:rsid w:val="00DF6BD4"/>
    <w:rsid w:val="00DF6D75"/>
    <w:rsid w:val="00DF6E55"/>
    <w:rsid w:val="00DF70BB"/>
    <w:rsid w:val="00DF7849"/>
    <w:rsid w:val="00E00459"/>
    <w:rsid w:val="00E00C89"/>
    <w:rsid w:val="00E00CFA"/>
    <w:rsid w:val="00E00E75"/>
    <w:rsid w:val="00E0111D"/>
    <w:rsid w:val="00E014D3"/>
    <w:rsid w:val="00E01955"/>
    <w:rsid w:val="00E01A67"/>
    <w:rsid w:val="00E01E6B"/>
    <w:rsid w:val="00E0215F"/>
    <w:rsid w:val="00E022E0"/>
    <w:rsid w:val="00E023F2"/>
    <w:rsid w:val="00E02B20"/>
    <w:rsid w:val="00E02E62"/>
    <w:rsid w:val="00E0303E"/>
    <w:rsid w:val="00E03419"/>
    <w:rsid w:val="00E038E6"/>
    <w:rsid w:val="00E04990"/>
    <w:rsid w:val="00E05279"/>
    <w:rsid w:val="00E0535B"/>
    <w:rsid w:val="00E0583F"/>
    <w:rsid w:val="00E05F33"/>
    <w:rsid w:val="00E06033"/>
    <w:rsid w:val="00E07005"/>
    <w:rsid w:val="00E072AC"/>
    <w:rsid w:val="00E07808"/>
    <w:rsid w:val="00E0795A"/>
    <w:rsid w:val="00E07EF1"/>
    <w:rsid w:val="00E10A86"/>
    <w:rsid w:val="00E10AF6"/>
    <w:rsid w:val="00E11405"/>
    <w:rsid w:val="00E11559"/>
    <w:rsid w:val="00E11F80"/>
    <w:rsid w:val="00E121AC"/>
    <w:rsid w:val="00E1226E"/>
    <w:rsid w:val="00E125DF"/>
    <w:rsid w:val="00E12BD4"/>
    <w:rsid w:val="00E1375A"/>
    <w:rsid w:val="00E1376F"/>
    <w:rsid w:val="00E13923"/>
    <w:rsid w:val="00E13CE2"/>
    <w:rsid w:val="00E1417D"/>
    <w:rsid w:val="00E14652"/>
    <w:rsid w:val="00E15359"/>
    <w:rsid w:val="00E1583B"/>
    <w:rsid w:val="00E15AD6"/>
    <w:rsid w:val="00E15EE6"/>
    <w:rsid w:val="00E16F1F"/>
    <w:rsid w:val="00E176CA"/>
    <w:rsid w:val="00E1791A"/>
    <w:rsid w:val="00E17E9A"/>
    <w:rsid w:val="00E20208"/>
    <w:rsid w:val="00E204EE"/>
    <w:rsid w:val="00E205F2"/>
    <w:rsid w:val="00E211A0"/>
    <w:rsid w:val="00E21200"/>
    <w:rsid w:val="00E21500"/>
    <w:rsid w:val="00E21559"/>
    <w:rsid w:val="00E21617"/>
    <w:rsid w:val="00E22170"/>
    <w:rsid w:val="00E22A5F"/>
    <w:rsid w:val="00E22EEB"/>
    <w:rsid w:val="00E23F84"/>
    <w:rsid w:val="00E245AF"/>
    <w:rsid w:val="00E24A4F"/>
    <w:rsid w:val="00E25223"/>
    <w:rsid w:val="00E25A53"/>
    <w:rsid w:val="00E25CA6"/>
    <w:rsid w:val="00E262BA"/>
    <w:rsid w:val="00E26589"/>
    <w:rsid w:val="00E26B8F"/>
    <w:rsid w:val="00E279A9"/>
    <w:rsid w:val="00E27AD6"/>
    <w:rsid w:val="00E27CC0"/>
    <w:rsid w:val="00E27DB3"/>
    <w:rsid w:val="00E30094"/>
    <w:rsid w:val="00E30132"/>
    <w:rsid w:val="00E3032D"/>
    <w:rsid w:val="00E30CCE"/>
    <w:rsid w:val="00E30EA1"/>
    <w:rsid w:val="00E3100D"/>
    <w:rsid w:val="00E31868"/>
    <w:rsid w:val="00E31AD7"/>
    <w:rsid w:val="00E31AF9"/>
    <w:rsid w:val="00E32056"/>
    <w:rsid w:val="00E325C9"/>
    <w:rsid w:val="00E327A8"/>
    <w:rsid w:val="00E3303C"/>
    <w:rsid w:val="00E33B00"/>
    <w:rsid w:val="00E34198"/>
    <w:rsid w:val="00E34459"/>
    <w:rsid w:val="00E34ABD"/>
    <w:rsid w:val="00E34DB0"/>
    <w:rsid w:val="00E35632"/>
    <w:rsid w:val="00E35681"/>
    <w:rsid w:val="00E36001"/>
    <w:rsid w:val="00E36407"/>
    <w:rsid w:val="00E36754"/>
    <w:rsid w:val="00E368AD"/>
    <w:rsid w:val="00E36FE0"/>
    <w:rsid w:val="00E373C8"/>
    <w:rsid w:val="00E37CB5"/>
    <w:rsid w:val="00E40176"/>
    <w:rsid w:val="00E4055D"/>
    <w:rsid w:val="00E407C6"/>
    <w:rsid w:val="00E40E7D"/>
    <w:rsid w:val="00E41512"/>
    <w:rsid w:val="00E418B8"/>
    <w:rsid w:val="00E41B8A"/>
    <w:rsid w:val="00E41BCB"/>
    <w:rsid w:val="00E42ABC"/>
    <w:rsid w:val="00E43185"/>
    <w:rsid w:val="00E437EC"/>
    <w:rsid w:val="00E43C9A"/>
    <w:rsid w:val="00E44145"/>
    <w:rsid w:val="00E44663"/>
    <w:rsid w:val="00E44D46"/>
    <w:rsid w:val="00E45145"/>
    <w:rsid w:val="00E4525E"/>
    <w:rsid w:val="00E45D37"/>
    <w:rsid w:val="00E45E43"/>
    <w:rsid w:val="00E46970"/>
    <w:rsid w:val="00E477AA"/>
    <w:rsid w:val="00E47B7D"/>
    <w:rsid w:val="00E50273"/>
    <w:rsid w:val="00E503DE"/>
    <w:rsid w:val="00E503ED"/>
    <w:rsid w:val="00E50BF8"/>
    <w:rsid w:val="00E510B7"/>
    <w:rsid w:val="00E51763"/>
    <w:rsid w:val="00E517E1"/>
    <w:rsid w:val="00E52D75"/>
    <w:rsid w:val="00E5331B"/>
    <w:rsid w:val="00E53334"/>
    <w:rsid w:val="00E53572"/>
    <w:rsid w:val="00E53935"/>
    <w:rsid w:val="00E539FA"/>
    <w:rsid w:val="00E53B66"/>
    <w:rsid w:val="00E543FC"/>
    <w:rsid w:val="00E554DD"/>
    <w:rsid w:val="00E555E5"/>
    <w:rsid w:val="00E55645"/>
    <w:rsid w:val="00E5597E"/>
    <w:rsid w:val="00E560AD"/>
    <w:rsid w:val="00E56317"/>
    <w:rsid w:val="00E566CB"/>
    <w:rsid w:val="00E56B92"/>
    <w:rsid w:val="00E56BB6"/>
    <w:rsid w:val="00E5705F"/>
    <w:rsid w:val="00E57491"/>
    <w:rsid w:val="00E576CC"/>
    <w:rsid w:val="00E600F7"/>
    <w:rsid w:val="00E6010A"/>
    <w:rsid w:val="00E60EB0"/>
    <w:rsid w:val="00E61106"/>
    <w:rsid w:val="00E614A4"/>
    <w:rsid w:val="00E61F1A"/>
    <w:rsid w:val="00E625A5"/>
    <w:rsid w:val="00E628E5"/>
    <w:rsid w:val="00E630BA"/>
    <w:rsid w:val="00E63461"/>
    <w:rsid w:val="00E6361E"/>
    <w:rsid w:val="00E63BE3"/>
    <w:rsid w:val="00E6411B"/>
    <w:rsid w:val="00E6428F"/>
    <w:rsid w:val="00E6448B"/>
    <w:rsid w:val="00E65668"/>
    <w:rsid w:val="00E65A22"/>
    <w:rsid w:val="00E65CBC"/>
    <w:rsid w:val="00E66CB2"/>
    <w:rsid w:val="00E67850"/>
    <w:rsid w:val="00E7000B"/>
    <w:rsid w:val="00E70233"/>
    <w:rsid w:val="00E709EC"/>
    <w:rsid w:val="00E70F18"/>
    <w:rsid w:val="00E713F5"/>
    <w:rsid w:val="00E717E2"/>
    <w:rsid w:val="00E718D2"/>
    <w:rsid w:val="00E7270E"/>
    <w:rsid w:val="00E727E4"/>
    <w:rsid w:val="00E729AA"/>
    <w:rsid w:val="00E72EF5"/>
    <w:rsid w:val="00E7303F"/>
    <w:rsid w:val="00E7307F"/>
    <w:rsid w:val="00E7370C"/>
    <w:rsid w:val="00E73CC6"/>
    <w:rsid w:val="00E741EE"/>
    <w:rsid w:val="00E74C4A"/>
    <w:rsid w:val="00E75179"/>
    <w:rsid w:val="00E75E47"/>
    <w:rsid w:val="00E7601E"/>
    <w:rsid w:val="00E7677A"/>
    <w:rsid w:val="00E76C25"/>
    <w:rsid w:val="00E771FE"/>
    <w:rsid w:val="00E776C6"/>
    <w:rsid w:val="00E7784D"/>
    <w:rsid w:val="00E778C6"/>
    <w:rsid w:val="00E77909"/>
    <w:rsid w:val="00E77F2D"/>
    <w:rsid w:val="00E77F4B"/>
    <w:rsid w:val="00E801FA"/>
    <w:rsid w:val="00E80FF5"/>
    <w:rsid w:val="00E811A3"/>
    <w:rsid w:val="00E81472"/>
    <w:rsid w:val="00E81611"/>
    <w:rsid w:val="00E821D1"/>
    <w:rsid w:val="00E82249"/>
    <w:rsid w:val="00E82DCB"/>
    <w:rsid w:val="00E82E0A"/>
    <w:rsid w:val="00E8347F"/>
    <w:rsid w:val="00E85034"/>
    <w:rsid w:val="00E852FE"/>
    <w:rsid w:val="00E862BC"/>
    <w:rsid w:val="00E8686D"/>
    <w:rsid w:val="00E86DEA"/>
    <w:rsid w:val="00E87027"/>
    <w:rsid w:val="00E87400"/>
    <w:rsid w:val="00E876B5"/>
    <w:rsid w:val="00E87950"/>
    <w:rsid w:val="00E87B02"/>
    <w:rsid w:val="00E87F33"/>
    <w:rsid w:val="00E87FD9"/>
    <w:rsid w:val="00E900D2"/>
    <w:rsid w:val="00E9038B"/>
    <w:rsid w:val="00E90654"/>
    <w:rsid w:val="00E9073E"/>
    <w:rsid w:val="00E90AC7"/>
    <w:rsid w:val="00E90EA6"/>
    <w:rsid w:val="00E90F96"/>
    <w:rsid w:val="00E91529"/>
    <w:rsid w:val="00E918AD"/>
    <w:rsid w:val="00E92281"/>
    <w:rsid w:val="00E924D0"/>
    <w:rsid w:val="00E92A9D"/>
    <w:rsid w:val="00E93066"/>
    <w:rsid w:val="00E93380"/>
    <w:rsid w:val="00E933A4"/>
    <w:rsid w:val="00E9396E"/>
    <w:rsid w:val="00E94191"/>
    <w:rsid w:val="00E94708"/>
    <w:rsid w:val="00E9488A"/>
    <w:rsid w:val="00E94A5D"/>
    <w:rsid w:val="00E94F10"/>
    <w:rsid w:val="00E9555E"/>
    <w:rsid w:val="00E956E6"/>
    <w:rsid w:val="00E95760"/>
    <w:rsid w:val="00E9613F"/>
    <w:rsid w:val="00E964E5"/>
    <w:rsid w:val="00E96575"/>
    <w:rsid w:val="00E9672B"/>
    <w:rsid w:val="00E970A5"/>
    <w:rsid w:val="00E978DA"/>
    <w:rsid w:val="00E97A77"/>
    <w:rsid w:val="00E97C76"/>
    <w:rsid w:val="00E97E9E"/>
    <w:rsid w:val="00EA053D"/>
    <w:rsid w:val="00EA0713"/>
    <w:rsid w:val="00EA138C"/>
    <w:rsid w:val="00EA13EA"/>
    <w:rsid w:val="00EA1729"/>
    <w:rsid w:val="00EA1861"/>
    <w:rsid w:val="00EA1F3A"/>
    <w:rsid w:val="00EA2350"/>
    <w:rsid w:val="00EA25F5"/>
    <w:rsid w:val="00EA28DD"/>
    <w:rsid w:val="00EA44B1"/>
    <w:rsid w:val="00EA4A3A"/>
    <w:rsid w:val="00EA532B"/>
    <w:rsid w:val="00EA53F9"/>
    <w:rsid w:val="00EA56FC"/>
    <w:rsid w:val="00EA58F0"/>
    <w:rsid w:val="00EA5DE5"/>
    <w:rsid w:val="00EA5EBB"/>
    <w:rsid w:val="00EA5F2C"/>
    <w:rsid w:val="00EA5FA0"/>
    <w:rsid w:val="00EA665B"/>
    <w:rsid w:val="00EA6897"/>
    <w:rsid w:val="00EA68EF"/>
    <w:rsid w:val="00EA6923"/>
    <w:rsid w:val="00EA6C94"/>
    <w:rsid w:val="00EA6E2E"/>
    <w:rsid w:val="00EA7188"/>
    <w:rsid w:val="00EA7201"/>
    <w:rsid w:val="00EA730D"/>
    <w:rsid w:val="00EA775E"/>
    <w:rsid w:val="00EA7A68"/>
    <w:rsid w:val="00EB02CA"/>
    <w:rsid w:val="00EB02DD"/>
    <w:rsid w:val="00EB0918"/>
    <w:rsid w:val="00EB0A51"/>
    <w:rsid w:val="00EB0C0E"/>
    <w:rsid w:val="00EB1C69"/>
    <w:rsid w:val="00EB1C75"/>
    <w:rsid w:val="00EB1CD3"/>
    <w:rsid w:val="00EB2291"/>
    <w:rsid w:val="00EB24A2"/>
    <w:rsid w:val="00EB2B9B"/>
    <w:rsid w:val="00EB2D87"/>
    <w:rsid w:val="00EB3403"/>
    <w:rsid w:val="00EB37D6"/>
    <w:rsid w:val="00EB3C2E"/>
    <w:rsid w:val="00EB433A"/>
    <w:rsid w:val="00EB443E"/>
    <w:rsid w:val="00EB4642"/>
    <w:rsid w:val="00EB53F7"/>
    <w:rsid w:val="00EB54AC"/>
    <w:rsid w:val="00EB5E31"/>
    <w:rsid w:val="00EB5ED9"/>
    <w:rsid w:val="00EB64EE"/>
    <w:rsid w:val="00EB6513"/>
    <w:rsid w:val="00EB653B"/>
    <w:rsid w:val="00EB65B8"/>
    <w:rsid w:val="00EB6B73"/>
    <w:rsid w:val="00EB6D64"/>
    <w:rsid w:val="00EB6F06"/>
    <w:rsid w:val="00EB73F3"/>
    <w:rsid w:val="00EB76CB"/>
    <w:rsid w:val="00EB7F50"/>
    <w:rsid w:val="00EB7FC0"/>
    <w:rsid w:val="00EC03D9"/>
    <w:rsid w:val="00EC0496"/>
    <w:rsid w:val="00EC0C7F"/>
    <w:rsid w:val="00EC0D78"/>
    <w:rsid w:val="00EC10F1"/>
    <w:rsid w:val="00EC12F9"/>
    <w:rsid w:val="00EC16EB"/>
    <w:rsid w:val="00EC1B68"/>
    <w:rsid w:val="00EC22DC"/>
    <w:rsid w:val="00EC2BD6"/>
    <w:rsid w:val="00EC3307"/>
    <w:rsid w:val="00EC33F2"/>
    <w:rsid w:val="00EC36AC"/>
    <w:rsid w:val="00EC5583"/>
    <w:rsid w:val="00EC5597"/>
    <w:rsid w:val="00EC55BD"/>
    <w:rsid w:val="00EC62B4"/>
    <w:rsid w:val="00EC6A97"/>
    <w:rsid w:val="00EC7933"/>
    <w:rsid w:val="00EC7CDD"/>
    <w:rsid w:val="00EC7DE0"/>
    <w:rsid w:val="00ED0044"/>
    <w:rsid w:val="00ED017E"/>
    <w:rsid w:val="00ED01AE"/>
    <w:rsid w:val="00ED0B5D"/>
    <w:rsid w:val="00ED109F"/>
    <w:rsid w:val="00ED11F1"/>
    <w:rsid w:val="00ED1CF3"/>
    <w:rsid w:val="00ED21F8"/>
    <w:rsid w:val="00ED282D"/>
    <w:rsid w:val="00ED296B"/>
    <w:rsid w:val="00ED2D55"/>
    <w:rsid w:val="00ED2D9D"/>
    <w:rsid w:val="00ED2DC4"/>
    <w:rsid w:val="00ED2F91"/>
    <w:rsid w:val="00ED3011"/>
    <w:rsid w:val="00ED30B5"/>
    <w:rsid w:val="00ED3779"/>
    <w:rsid w:val="00ED4C45"/>
    <w:rsid w:val="00ED5111"/>
    <w:rsid w:val="00ED593D"/>
    <w:rsid w:val="00ED5A00"/>
    <w:rsid w:val="00ED5F3F"/>
    <w:rsid w:val="00ED61FB"/>
    <w:rsid w:val="00ED66F9"/>
    <w:rsid w:val="00ED6F06"/>
    <w:rsid w:val="00ED708D"/>
    <w:rsid w:val="00ED7BF0"/>
    <w:rsid w:val="00EE01A9"/>
    <w:rsid w:val="00EE0364"/>
    <w:rsid w:val="00EE0BC3"/>
    <w:rsid w:val="00EE0D6A"/>
    <w:rsid w:val="00EE1143"/>
    <w:rsid w:val="00EE1243"/>
    <w:rsid w:val="00EE1322"/>
    <w:rsid w:val="00EE13E4"/>
    <w:rsid w:val="00EE19A4"/>
    <w:rsid w:val="00EE1A25"/>
    <w:rsid w:val="00EE1A39"/>
    <w:rsid w:val="00EE1BAF"/>
    <w:rsid w:val="00EE1E7A"/>
    <w:rsid w:val="00EE1F8E"/>
    <w:rsid w:val="00EE24A5"/>
    <w:rsid w:val="00EE2721"/>
    <w:rsid w:val="00EE2BB6"/>
    <w:rsid w:val="00EE2DF2"/>
    <w:rsid w:val="00EE3369"/>
    <w:rsid w:val="00EE349E"/>
    <w:rsid w:val="00EE34DC"/>
    <w:rsid w:val="00EE3D49"/>
    <w:rsid w:val="00EE4184"/>
    <w:rsid w:val="00EE4C17"/>
    <w:rsid w:val="00EE57C8"/>
    <w:rsid w:val="00EE58BE"/>
    <w:rsid w:val="00EE5DDA"/>
    <w:rsid w:val="00EE5E70"/>
    <w:rsid w:val="00EE5E90"/>
    <w:rsid w:val="00EE60EA"/>
    <w:rsid w:val="00EE6150"/>
    <w:rsid w:val="00EE6262"/>
    <w:rsid w:val="00EE6450"/>
    <w:rsid w:val="00EE64D6"/>
    <w:rsid w:val="00EE65FC"/>
    <w:rsid w:val="00EE689F"/>
    <w:rsid w:val="00EE69E6"/>
    <w:rsid w:val="00EE6B22"/>
    <w:rsid w:val="00EE6EE9"/>
    <w:rsid w:val="00EE71EE"/>
    <w:rsid w:val="00EE7664"/>
    <w:rsid w:val="00EE76C9"/>
    <w:rsid w:val="00EE7735"/>
    <w:rsid w:val="00EE7E90"/>
    <w:rsid w:val="00EF0212"/>
    <w:rsid w:val="00EF02A5"/>
    <w:rsid w:val="00EF08AE"/>
    <w:rsid w:val="00EF0A9C"/>
    <w:rsid w:val="00EF0A9E"/>
    <w:rsid w:val="00EF0BEF"/>
    <w:rsid w:val="00EF0EFE"/>
    <w:rsid w:val="00EF105E"/>
    <w:rsid w:val="00EF126C"/>
    <w:rsid w:val="00EF145F"/>
    <w:rsid w:val="00EF1626"/>
    <w:rsid w:val="00EF192E"/>
    <w:rsid w:val="00EF2535"/>
    <w:rsid w:val="00EF293B"/>
    <w:rsid w:val="00EF2A58"/>
    <w:rsid w:val="00EF2B6D"/>
    <w:rsid w:val="00EF2C2A"/>
    <w:rsid w:val="00EF2C9D"/>
    <w:rsid w:val="00EF2E25"/>
    <w:rsid w:val="00EF300C"/>
    <w:rsid w:val="00EF3174"/>
    <w:rsid w:val="00EF3DEA"/>
    <w:rsid w:val="00EF3F06"/>
    <w:rsid w:val="00EF40AB"/>
    <w:rsid w:val="00EF41F0"/>
    <w:rsid w:val="00EF4619"/>
    <w:rsid w:val="00EF49C3"/>
    <w:rsid w:val="00EF6107"/>
    <w:rsid w:val="00EF6118"/>
    <w:rsid w:val="00EF7269"/>
    <w:rsid w:val="00EF764E"/>
    <w:rsid w:val="00EF78ED"/>
    <w:rsid w:val="00EF79A2"/>
    <w:rsid w:val="00F00B2B"/>
    <w:rsid w:val="00F01210"/>
    <w:rsid w:val="00F014CF"/>
    <w:rsid w:val="00F019D6"/>
    <w:rsid w:val="00F01F01"/>
    <w:rsid w:val="00F024A4"/>
    <w:rsid w:val="00F02647"/>
    <w:rsid w:val="00F027FD"/>
    <w:rsid w:val="00F02A7F"/>
    <w:rsid w:val="00F036EF"/>
    <w:rsid w:val="00F0380B"/>
    <w:rsid w:val="00F04E2A"/>
    <w:rsid w:val="00F04E9E"/>
    <w:rsid w:val="00F04F09"/>
    <w:rsid w:val="00F051B3"/>
    <w:rsid w:val="00F05388"/>
    <w:rsid w:val="00F0562D"/>
    <w:rsid w:val="00F05FDC"/>
    <w:rsid w:val="00F06277"/>
    <w:rsid w:val="00F063CE"/>
    <w:rsid w:val="00F06529"/>
    <w:rsid w:val="00F06D90"/>
    <w:rsid w:val="00F0701E"/>
    <w:rsid w:val="00F07113"/>
    <w:rsid w:val="00F0717A"/>
    <w:rsid w:val="00F072D2"/>
    <w:rsid w:val="00F077B1"/>
    <w:rsid w:val="00F0783D"/>
    <w:rsid w:val="00F07CDF"/>
    <w:rsid w:val="00F105A0"/>
    <w:rsid w:val="00F1064F"/>
    <w:rsid w:val="00F1069B"/>
    <w:rsid w:val="00F110F8"/>
    <w:rsid w:val="00F114AD"/>
    <w:rsid w:val="00F117E8"/>
    <w:rsid w:val="00F11A40"/>
    <w:rsid w:val="00F12CF2"/>
    <w:rsid w:val="00F12EFD"/>
    <w:rsid w:val="00F13033"/>
    <w:rsid w:val="00F13149"/>
    <w:rsid w:val="00F1325E"/>
    <w:rsid w:val="00F13371"/>
    <w:rsid w:val="00F13372"/>
    <w:rsid w:val="00F1352D"/>
    <w:rsid w:val="00F13594"/>
    <w:rsid w:val="00F139C1"/>
    <w:rsid w:val="00F14610"/>
    <w:rsid w:val="00F14766"/>
    <w:rsid w:val="00F147ED"/>
    <w:rsid w:val="00F14887"/>
    <w:rsid w:val="00F14BA4"/>
    <w:rsid w:val="00F14EBD"/>
    <w:rsid w:val="00F14FE2"/>
    <w:rsid w:val="00F1500A"/>
    <w:rsid w:val="00F1594D"/>
    <w:rsid w:val="00F159ED"/>
    <w:rsid w:val="00F15ACB"/>
    <w:rsid w:val="00F15BC1"/>
    <w:rsid w:val="00F15C0B"/>
    <w:rsid w:val="00F1609A"/>
    <w:rsid w:val="00F1653E"/>
    <w:rsid w:val="00F1710E"/>
    <w:rsid w:val="00F17344"/>
    <w:rsid w:val="00F173C7"/>
    <w:rsid w:val="00F17F90"/>
    <w:rsid w:val="00F20523"/>
    <w:rsid w:val="00F20A75"/>
    <w:rsid w:val="00F213B4"/>
    <w:rsid w:val="00F214D3"/>
    <w:rsid w:val="00F21B5E"/>
    <w:rsid w:val="00F221EB"/>
    <w:rsid w:val="00F22534"/>
    <w:rsid w:val="00F22815"/>
    <w:rsid w:val="00F23136"/>
    <w:rsid w:val="00F233AC"/>
    <w:rsid w:val="00F2358E"/>
    <w:rsid w:val="00F24D4C"/>
    <w:rsid w:val="00F24E67"/>
    <w:rsid w:val="00F25062"/>
    <w:rsid w:val="00F252C0"/>
    <w:rsid w:val="00F25A02"/>
    <w:rsid w:val="00F25A4D"/>
    <w:rsid w:val="00F25CBB"/>
    <w:rsid w:val="00F26154"/>
    <w:rsid w:val="00F2698D"/>
    <w:rsid w:val="00F26D45"/>
    <w:rsid w:val="00F26E21"/>
    <w:rsid w:val="00F26E40"/>
    <w:rsid w:val="00F3043D"/>
    <w:rsid w:val="00F30512"/>
    <w:rsid w:val="00F306C1"/>
    <w:rsid w:val="00F30896"/>
    <w:rsid w:val="00F30B07"/>
    <w:rsid w:val="00F31887"/>
    <w:rsid w:val="00F32461"/>
    <w:rsid w:val="00F32A34"/>
    <w:rsid w:val="00F32A4D"/>
    <w:rsid w:val="00F3307D"/>
    <w:rsid w:val="00F334BD"/>
    <w:rsid w:val="00F336A4"/>
    <w:rsid w:val="00F33A73"/>
    <w:rsid w:val="00F33BF5"/>
    <w:rsid w:val="00F33F3E"/>
    <w:rsid w:val="00F342EF"/>
    <w:rsid w:val="00F3472C"/>
    <w:rsid w:val="00F3487F"/>
    <w:rsid w:val="00F34E2C"/>
    <w:rsid w:val="00F35089"/>
    <w:rsid w:val="00F351C8"/>
    <w:rsid w:val="00F35431"/>
    <w:rsid w:val="00F35B71"/>
    <w:rsid w:val="00F3629B"/>
    <w:rsid w:val="00F36539"/>
    <w:rsid w:val="00F36714"/>
    <w:rsid w:val="00F36908"/>
    <w:rsid w:val="00F36A73"/>
    <w:rsid w:val="00F37357"/>
    <w:rsid w:val="00F374AC"/>
    <w:rsid w:val="00F375D4"/>
    <w:rsid w:val="00F377BF"/>
    <w:rsid w:val="00F40A03"/>
    <w:rsid w:val="00F41142"/>
    <w:rsid w:val="00F41309"/>
    <w:rsid w:val="00F414E5"/>
    <w:rsid w:val="00F4168A"/>
    <w:rsid w:val="00F42654"/>
    <w:rsid w:val="00F429C4"/>
    <w:rsid w:val="00F43A3F"/>
    <w:rsid w:val="00F4420D"/>
    <w:rsid w:val="00F45094"/>
    <w:rsid w:val="00F46118"/>
    <w:rsid w:val="00F46841"/>
    <w:rsid w:val="00F46915"/>
    <w:rsid w:val="00F470FB"/>
    <w:rsid w:val="00F473AF"/>
    <w:rsid w:val="00F4753F"/>
    <w:rsid w:val="00F4792F"/>
    <w:rsid w:val="00F47B9A"/>
    <w:rsid w:val="00F50AC9"/>
    <w:rsid w:val="00F50AF7"/>
    <w:rsid w:val="00F50D45"/>
    <w:rsid w:val="00F51003"/>
    <w:rsid w:val="00F514E0"/>
    <w:rsid w:val="00F51BB4"/>
    <w:rsid w:val="00F51C1C"/>
    <w:rsid w:val="00F51CCC"/>
    <w:rsid w:val="00F52F0A"/>
    <w:rsid w:val="00F545A9"/>
    <w:rsid w:val="00F54748"/>
    <w:rsid w:val="00F547C8"/>
    <w:rsid w:val="00F54AE8"/>
    <w:rsid w:val="00F55057"/>
    <w:rsid w:val="00F55088"/>
    <w:rsid w:val="00F550EE"/>
    <w:rsid w:val="00F55424"/>
    <w:rsid w:val="00F563B3"/>
    <w:rsid w:val="00F566A3"/>
    <w:rsid w:val="00F578EB"/>
    <w:rsid w:val="00F604CB"/>
    <w:rsid w:val="00F60714"/>
    <w:rsid w:val="00F6078F"/>
    <w:rsid w:val="00F60B80"/>
    <w:rsid w:val="00F61A9B"/>
    <w:rsid w:val="00F61BEC"/>
    <w:rsid w:val="00F61C64"/>
    <w:rsid w:val="00F61DF8"/>
    <w:rsid w:val="00F62817"/>
    <w:rsid w:val="00F632EC"/>
    <w:rsid w:val="00F63799"/>
    <w:rsid w:val="00F63B91"/>
    <w:rsid w:val="00F64C45"/>
    <w:rsid w:val="00F64DED"/>
    <w:rsid w:val="00F655CF"/>
    <w:rsid w:val="00F657AB"/>
    <w:rsid w:val="00F65A5D"/>
    <w:rsid w:val="00F65BF0"/>
    <w:rsid w:val="00F65D59"/>
    <w:rsid w:val="00F6635F"/>
    <w:rsid w:val="00F664DC"/>
    <w:rsid w:val="00F66A5E"/>
    <w:rsid w:val="00F66E1A"/>
    <w:rsid w:val="00F6703F"/>
    <w:rsid w:val="00F67083"/>
    <w:rsid w:val="00F674BD"/>
    <w:rsid w:val="00F674F3"/>
    <w:rsid w:val="00F677DC"/>
    <w:rsid w:val="00F67A15"/>
    <w:rsid w:val="00F67A9A"/>
    <w:rsid w:val="00F67E7C"/>
    <w:rsid w:val="00F67F86"/>
    <w:rsid w:val="00F70307"/>
    <w:rsid w:val="00F70A5B"/>
    <w:rsid w:val="00F70E18"/>
    <w:rsid w:val="00F71F60"/>
    <w:rsid w:val="00F71F9A"/>
    <w:rsid w:val="00F72054"/>
    <w:rsid w:val="00F7222B"/>
    <w:rsid w:val="00F7242E"/>
    <w:rsid w:val="00F72661"/>
    <w:rsid w:val="00F72856"/>
    <w:rsid w:val="00F728BA"/>
    <w:rsid w:val="00F72B6E"/>
    <w:rsid w:val="00F72C56"/>
    <w:rsid w:val="00F72C6E"/>
    <w:rsid w:val="00F7343C"/>
    <w:rsid w:val="00F736BB"/>
    <w:rsid w:val="00F737CC"/>
    <w:rsid w:val="00F73860"/>
    <w:rsid w:val="00F739EC"/>
    <w:rsid w:val="00F74042"/>
    <w:rsid w:val="00F742A7"/>
    <w:rsid w:val="00F744E5"/>
    <w:rsid w:val="00F74B80"/>
    <w:rsid w:val="00F7518D"/>
    <w:rsid w:val="00F75864"/>
    <w:rsid w:val="00F75F88"/>
    <w:rsid w:val="00F75FEB"/>
    <w:rsid w:val="00F763FD"/>
    <w:rsid w:val="00F76444"/>
    <w:rsid w:val="00F764D1"/>
    <w:rsid w:val="00F76CF2"/>
    <w:rsid w:val="00F76EDE"/>
    <w:rsid w:val="00F771FA"/>
    <w:rsid w:val="00F803F8"/>
    <w:rsid w:val="00F804A6"/>
    <w:rsid w:val="00F80A63"/>
    <w:rsid w:val="00F80C93"/>
    <w:rsid w:val="00F80FB8"/>
    <w:rsid w:val="00F810CE"/>
    <w:rsid w:val="00F8136F"/>
    <w:rsid w:val="00F81701"/>
    <w:rsid w:val="00F81A2F"/>
    <w:rsid w:val="00F81A76"/>
    <w:rsid w:val="00F827DB"/>
    <w:rsid w:val="00F8381D"/>
    <w:rsid w:val="00F8382D"/>
    <w:rsid w:val="00F83DF7"/>
    <w:rsid w:val="00F8416C"/>
    <w:rsid w:val="00F841B3"/>
    <w:rsid w:val="00F847E7"/>
    <w:rsid w:val="00F84AED"/>
    <w:rsid w:val="00F84C31"/>
    <w:rsid w:val="00F84D92"/>
    <w:rsid w:val="00F850A1"/>
    <w:rsid w:val="00F8544A"/>
    <w:rsid w:val="00F85691"/>
    <w:rsid w:val="00F85E8F"/>
    <w:rsid w:val="00F85EDC"/>
    <w:rsid w:val="00F861B9"/>
    <w:rsid w:val="00F864CC"/>
    <w:rsid w:val="00F8665D"/>
    <w:rsid w:val="00F868B6"/>
    <w:rsid w:val="00F87274"/>
    <w:rsid w:val="00F87538"/>
    <w:rsid w:val="00F87614"/>
    <w:rsid w:val="00F8775E"/>
    <w:rsid w:val="00F902A2"/>
    <w:rsid w:val="00F9092D"/>
    <w:rsid w:val="00F90A92"/>
    <w:rsid w:val="00F9104E"/>
    <w:rsid w:val="00F91AB5"/>
    <w:rsid w:val="00F926A9"/>
    <w:rsid w:val="00F92F85"/>
    <w:rsid w:val="00F9330C"/>
    <w:rsid w:val="00F93523"/>
    <w:rsid w:val="00F93627"/>
    <w:rsid w:val="00F93C29"/>
    <w:rsid w:val="00F94346"/>
    <w:rsid w:val="00F94C14"/>
    <w:rsid w:val="00F94C49"/>
    <w:rsid w:val="00F9506D"/>
    <w:rsid w:val="00F950E2"/>
    <w:rsid w:val="00F95CB7"/>
    <w:rsid w:val="00F95D0F"/>
    <w:rsid w:val="00F96509"/>
    <w:rsid w:val="00F96CA0"/>
    <w:rsid w:val="00F96DDA"/>
    <w:rsid w:val="00F96DF9"/>
    <w:rsid w:val="00F96E19"/>
    <w:rsid w:val="00F97555"/>
    <w:rsid w:val="00F97A83"/>
    <w:rsid w:val="00F97B31"/>
    <w:rsid w:val="00F97BD3"/>
    <w:rsid w:val="00FA0520"/>
    <w:rsid w:val="00FA0882"/>
    <w:rsid w:val="00FA097D"/>
    <w:rsid w:val="00FA0B79"/>
    <w:rsid w:val="00FA0CA9"/>
    <w:rsid w:val="00FA0F6A"/>
    <w:rsid w:val="00FA13DE"/>
    <w:rsid w:val="00FA1848"/>
    <w:rsid w:val="00FA1A9F"/>
    <w:rsid w:val="00FA1B02"/>
    <w:rsid w:val="00FA2155"/>
    <w:rsid w:val="00FA231B"/>
    <w:rsid w:val="00FA2339"/>
    <w:rsid w:val="00FA242C"/>
    <w:rsid w:val="00FA24BB"/>
    <w:rsid w:val="00FA24FA"/>
    <w:rsid w:val="00FA24FD"/>
    <w:rsid w:val="00FA27CA"/>
    <w:rsid w:val="00FA2A54"/>
    <w:rsid w:val="00FA2F5C"/>
    <w:rsid w:val="00FA3032"/>
    <w:rsid w:val="00FA3052"/>
    <w:rsid w:val="00FA3468"/>
    <w:rsid w:val="00FA36C3"/>
    <w:rsid w:val="00FA3A86"/>
    <w:rsid w:val="00FA4221"/>
    <w:rsid w:val="00FA4C53"/>
    <w:rsid w:val="00FA5423"/>
    <w:rsid w:val="00FA57E4"/>
    <w:rsid w:val="00FA5CEF"/>
    <w:rsid w:val="00FA5CF9"/>
    <w:rsid w:val="00FA6008"/>
    <w:rsid w:val="00FA6422"/>
    <w:rsid w:val="00FA6928"/>
    <w:rsid w:val="00FA703A"/>
    <w:rsid w:val="00FA735A"/>
    <w:rsid w:val="00FA7BEC"/>
    <w:rsid w:val="00FB0DC4"/>
    <w:rsid w:val="00FB104C"/>
    <w:rsid w:val="00FB1345"/>
    <w:rsid w:val="00FB14E9"/>
    <w:rsid w:val="00FB160D"/>
    <w:rsid w:val="00FB1C8D"/>
    <w:rsid w:val="00FB2134"/>
    <w:rsid w:val="00FB297F"/>
    <w:rsid w:val="00FB3277"/>
    <w:rsid w:val="00FB3362"/>
    <w:rsid w:val="00FB3ABC"/>
    <w:rsid w:val="00FB3FC9"/>
    <w:rsid w:val="00FB44CB"/>
    <w:rsid w:val="00FB456A"/>
    <w:rsid w:val="00FB4686"/>
    <w:rsid w:val="00FB4741"/>
    <w:rsid w:val="00FB6162"/>
    <w:rsid w:val="00FB6569"/>
    <w:rsid w:val="00FB6A09"/>
    <w:rsid w:val="00FB6AA4"/>
    <w:rsid w:val="00FB6AB5"/>
    <w:rsid w:val="00FB6B3A"/>
    <w:rsid w:val="00FB6C86"/>
    <w:rsid w:val="00FB72E2"/>
    <w:rsid w:val="00FB780B"/>
    <w:rsid w:val="00FB7863"/>
    <w:rsid w:val="00FB78DF"/>
    <w:rsid w:val="00FB7C60"/>
    <w:rsid w:val="00FC009B"/>
    <w:rsid w:val="00FC014C"/>
    <w:rsid w:val="00FC0A61"/>
    <w:rsid w:val="00FC0A8C"/>
    <w:rsid w:val="00FC0D94"/>
    <w:rsid w:val="00FC1024"/>
    <w:rsid w:val="00FC120F"/>
    <w:rsid w:val="00FC1307"/>
    <w:rsid w:val="00FC183E"/>
    <w:rsid w:val="00FC1B8F"/>
    <w:rsid w:val="00FC1BBA"/>
    <w:rsid w:val="00FC1D3C"/>
    <w:rsid w:val="00FC1F03"/>
    <w:rsid w:val="00FC2086"/>
    <w:rsid w:val="00FC2573"/>
    <w:rsid w:val="00FC296F"/>
    <w:rsid w:val="00FC3CAE"/>
    <w:rsid w:val="00FC3DF4"/>
    <w:rsid w:val="00FC3F62"/>
    <w:rsid w:val="00FC4439"/>
    <w:rsid w:val="00FC49FB"/>
    <w:rsid w:val="00FC53EF"/>
    <w:rsid w:val="00FC56A9"/>
    <w:rsid w:val="00FC5A74"/>
    <w:rsid w:val="00FC5AD0"/>
    <w:rsid w:val="00FC5BA6"/>
    <w:rsid w:val="00FC6DC9"/>
    <w:rsid w:val="00FC6FA3"/>
    <w:rsid w:val="00FC7577"/>
    <w:rsid w:val="00FC79C6"/>
    <w:rsid w:val="00FC7B02"/>
    <w:rsid w:val="00FC7C37"/>
    <w:rsid w:val="00FC7EC5"/>
    <w:rsid w:val="00FD04AF"/>
    <w:rsid w:val="00FD04EF"/>
    <w:rsid w:val="00FD08E2"/>
    <w:rsid w:val="00FD0A76"/>
    <w:rsid w:val="00FD0C7E"/>
    <w:rsid w:val="00FD0D1D"/>
    <w:rsid w:val="00FD0F81"/>
    <w:rsid w:val="00FD10CB"/>
    <w:rsid w:val="00FD11D1"/>
    <w:rsid w:val="00FD12D2"/>
    <w:rsid w:val="00FD1D8B"/>
    <w:rsid w:val="00FD3291"/>
    <w:rsid w:val="00FD36EE"/>
    <w:rsid w:val="00FD3B4F"/>
    <w:rsid w:val="00FD3C4C"/>
    <w:rsid w:val="00FD44FF"/>
    <w:rsid w:val="00FD4790"/>
    <w:rsid w:val="00FD4D05"/>
    <w:rsid w:val="00FD53D2"/>
    <w:rsid w:val="00FD5BB4"/>
    <w:rsid w:val="00FD5DC2"/>
    <w:rsid w:val="00FD5FAE"/>
    <w:rsid w:val="00FD6EC3"/>
    <w:rsid w:val="00FD7048"/>
    <w:rsid w:val="00FD72D7"/>
    <w:rsid w:val="00FD7843"/>
    <w:rsid w:val="00FD787F"/>
    <w:rsid w:val="00FE05B2"/>
    <w:rsid w:val="00FE0A7B"/>
    <w:rsid w:val="00FE0FBA"/>
    <w:rsid w:val="00FE10DF"/>
    <w:rsid w:val="00FE1617"/>
    <w:rsid w:val="00FE1692"/>
    <w:rsid w:val="00FE19A5"/>
    <w:rsid w:val="00FE240A"/>
    <w:rsid w:val="00FE2531"/>
    <w:rsid w:val="00FE312E"/>
    <w:rsid w:val="00FE319C"/>
    <w:rsid w:val="00FE392C"/>
    <w:rsid w:val="00FE3AD3"/>
    <w:rsid w:val="00FE3C93"/>
    <w:rsid w:val="00FE3F08"/>
    <w:rsid w:val="00FE40CE"/>
    <w:rsid w:val="00FE4572"/>
    <w:rsid w:val="00FE46CA"/>
    <w:rsid w:val="00FE496A"/>
    <w:rsid w:val="00FE522B"/>
    <w:rsid w:val="00FE55F3"/>
    <w:rsid w:val="00FE62B8"/>
    <w:rsid w:val="00FE654E"/>
    <w:rsid w:val="00FE68D8"/>
    <w:rsid w:val="00FE6EAE"/>
    <w:rsid w:val="00FE6F23"/>
    <w:rsid w:val="00FE724D"/>
    <w:rsid w:val="00FE7C2C"/>
    <w:rsid w:val="00FF0144"/>
    <w:rsid w:val="00FF01F1"/>
    <w:rsid w:val="00FF0C89"/>
    <w:rsid w:val="00FF14CD"/>
    <w:rsid w:val="00FF1D6A"/>
    <w:rsid w:val="00FF1F08"/>
    <w:rsid w:val="00FF1F38"/>
    <w:rsid w:val="00FF1F79"/>
    <w:rsid w:val="00FF20C3"/>
    <w:rsid w:val="00FF2126"/>
    <w:rsid w:val="00FF28B4"/>
    <w:rsid w:val="00FF36DF"/>
    <w:rsid w:val="00FF3C1F"/>
    <w:rsid w:val="00FF432E"/>
    <w:rsid w:val="00FF462C"/>
    <w:rsid w:val="00FF485C"/>
    <w:rsid w:val="00FF5091"/>
    <w:rsid w:val="00FF5119"/>
    <w:rsid w:val="00FF5250"/>
    <w:rsid w:val="00FF5AA5"/>
    <w:rsid w:val="00FF6244"/>
    <w:rsid w:val="00FF6516"/>
    <w:rsid w:val="00FF6A10"/>
    <w:rsid w:val="00FF6ADF"/>
    <w:rsid w:val="00FF7337"/>
    <w:rsid w:val="00FF75B7"/>
    <w:rsid w:val="00FF75D9"/>
    <w:rsid w:val="00FF7689"/>
    <w:rsid w:val="00FF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7FBC3"/>
  <w15:chartTrackingRefBased/>
  <w15:docId w15:val="{028BCD71-03ED-4BDF-8C98-70080D53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MD"/>
    </w:rPr>
  </w:style>
  <w:style w:type="paragraph" w:styleId="Heading1">
    <w:name w:val="heading 1"/>
    <w:basedOn w:val="Normal"/>
    <w:next w:val="Normal"/>
    <w:link w:val="Heading1Char"/>
    <w:qFormat/>
    <w:rsid w:val="006049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Normal"/>
    <w:next w:val="Normal"/>
    <w:link w:val="Heading2Char"/>
    <w:unhideWhenUsed/>
    <w:qFormat/>
    <w:rsid w:val="006049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6049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049D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49D5"/>
    <w:rPr>
      <w:rFonts w:asciiTheme="majorHAnsi" w:eastAsiaTheme="majorEastAsia" w:hAnsiTheme="majorHAnsi" w:cstheme="majorBidi"/>
      <w:color w:val="2E74B5" w:themeColor="accent1" w:themeShade="BF"/>
      <w:sz w:val="32"/>
      <w:szCs w:val="32"/>
      <w:lang w:val="ro-MD"/>
    </w:rPr>
  </w:style>
  <w:style w:type="character" w:customStyle="1" w:styleId="Heading2Char">
    <w:name w:val="Heading 2 Char"/>
    <w:aliases w:val="H2 Char"/>
    <w:basedOn w:val="DefaultParagraphFont"/>
    <w:link w:val="Heading2"/>
    <w:uiPriority w:val="9"/>
    <w:rsid w:val="006049D5"/>
    <w:rPr>
      <w:rFonts w:asciiTheme="majorHAnsi" w:eastAsiaTheme="majorEastAsia" w:hAnsiTheme="majorHAnsi" w:cstheme="majorBidi"/>
      <w:color w:val="2E74B5" w:themeColor="accent1" w:themeShade="BF"/>
      <w:sz w:val="26"/>
      <w:szCs w:val="26"/>
      <w:lang w:val="ro-MD"/>
    </w:rPr>
  </w:style>
  <w:style w:type="character" w:customStyle="1" w:styleId="Heading3Char">
    <w:name w:val="Heading 3 Char"/>
    <w:basedOn w:val="DefaultParagraphFont"/>
    <w:link w:val="Heading3"/>
    <w:rsid w:val="006049D5"/>
    <w:rPr>
      <w:rFonts w:asciiTheme="majorHAnsi" w:eastAsiaTheme="majorEastAsia" w:hAnsiTheme="majorHAnsi" w:cstheme="majorBidi"/>
      <w:color w:val="1F4D78" w:themeColor="accent1" w:themeShade="7F"/>
      <w:sz w:val="24"/>
      <w:szCs w:val="24"/>
      <w:lang w:val="ro-MD"/>
    </w:rPr>
  </w:style>
  <w:style w:type="character" w:customStyle="1" w:styleId="Heading4Char">
    <w:name w:val="Heading 4 Char"/>
    <w:basedOn w:val="DefaultParagraphFont"/>
    <w:link w:val="Heading4"/>
    <w:uiPriority w:val="9"/>
    <w:rsid w:val="006049D5"/>
    <w:rPr>
      <w:rFonts w:asciiTheme="majorHAnsi" w:eastAsiaTheme="majorEastAsia" w:hAnsiTheme="majorHAnsi" w:cstheme="majorBidi"/>
      <w:i/>
      <w:iCs/>
      <w:color w:val="2E74B5" w:themeColor="accent1" w:themeShade="BF"/>
      <w:lang w:val="ro-MD"/>
    </w:rPr>
  </w:style>
  <w:style w:type="paragraph" w:styleId="FootnoteText">
    <w:name w:val="footnote text"/>
    <w:aliases w:val="Char,Знак1,Fußnote Char Char,Fußnote Char,Fußnote Char Car Char Char,Fußnote Char Car Char Char Char Char Char Char Char Char Char Char,Fußnote Char Car Char Char Char Char Char Char Char Char Char Char Char Char Char Char,fn,single space"/>
    <w:basedOn w:val="Normal"/>
    <w:link w:val="FootnoteTextChar"/>
    <w:uiPriority w:val="99"/>
    <w:unhideWhenUsed/>
    <w:qFormat/>
    <w:rsid w:val="006049D5"/>
    <w:pPr>
      <w:spacing w:after="0" w:line="240" w:lineRule="auto"/>
    </w:pPr>
    <w:rPr>
      <w:sz w:val="20"/>
      <w:szCs w:val="20"/>
    </w:rPr>
  </w:style>
  <w:style w:type="character" w:customStyle="1" w:styleId="FootnoteTextChar">
    <w:name w:val="Footnote Text Char"/>
    <w:aliases w:val="Char Char,Знак1 Char,Fußnote Char Char Char,Fußnote Char Char1,Fußnote Char Car Char Char Char,Fußnote Char Car Char Char Char Char Char Char Char Char Char Char Char,fn Char,single space Char"/>
    <w:basedOn w:val="DefaultParagraphFont"/>
    <w:link w:val="FootnoteText"/>
    <w:uiPriority w:val="99"/>
    <w:qFormat/>
    <w:rsid w:val="006049D5"/>
    <w:rPr>
      <w:sz w:val="20"/>
      <w:szCs w:val="20"/>
      <w:lang w:val="ro-MD"/>
    </w:rPr>
  </w:style>
  <w:style w:type="character" w:styleId="FootnoteReference">
    <w:name w:val="footnote reference"/>
    <w:aliases w:val="ftref,Times 10 Point,Exposant 3 Point,Footnote symbol,Footnote reference number,EN Footnote Reference,note TESI,16 Point,Superscript 6 Point,BVI fnr,Char Char1,FOOTNOTES Char1,fn Char1,single space Char1,ft Char1,Ref,fr,FR,Знак1 Char1"/>
    <w:basedOn w:val="DefaultParagraphFont"/>
    <w:link w:val="FNRefeCharChar"/>
    <w:uiPriority w:val="99"/>
    <w:unhideWhenUsed/>
    <w:qFormat/>
    <w:rsid w:val="006049D5"/>
    <w:rPr>
      <w:vertAlign w:val="superscript"/>
    </w:rPr>
  </w:style>
  <w:style w:type="paragraph" w:customStyle="1" w:styleId="FNRefeCharChar">
    <w:name w:val="FNRefe Char Char"/>
    <w:aliases w:val="BVI fnr Char Char, BVI fnr Char Char Char, BVI fnr Car Car Char Char Char,BVI fnr Car Char Char Char, BVI fnr Car Car Car Car Char Char Char Char Char,BVI fnr Char Char Char,BVI fnr Car Car Char Char Char"/>
    <w:basedOn w:val="Normal"/>
    <w:link w:val="FootnoteReference"/>
    <w:uiPriority w:val="99"/>
    <w:qFormat/>
    <w:rsid w:val="006049D5"/>
    <w:pPr>
      <w:spacing w:line="240" w:lineRule="exact"/>
    </w:pPr>
    <w:rPr>
      <w:vertAlign w:val="superscript"/>
      <w:lang w:val="en-US"/>
    </w:rPr>
  </w:style>
  <w:style w:type="character" w:customStyle="1" w:styleId="LegturInternet">
    <w:name w:val="Legătură Internet"/>
    <w:basedOn w:val="DefaultParagraphFont"/>
    <w:rsid w:val="006049D5"/>
    <w:rPr>
      <w:color w:val="0563C1"/>
      <w:u w:val="single"/>
    </w:rPr>
  </w:style>
  <w:style w:type="table" w:customStyle="1" w:styleId="TableGrid6">
    <w:name w:val="Table Grid6"/>
    <w:basedOn w:val="TableNormal"/>
    <w:next w:val="TableGrid"/>
    <w:uiPriority w:val="39"/>
    <w:rsid w:val="006049D5"/>
    <w:pPr>
      <w:spacing w:after="0" w:line="240" w:lineRule="auto"/>
    </w:pPr>
    <w:rPr>
      <w:lang w:val="ro-M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04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Scriptoria bullet points,Абзац списка1,strikethrough,standaard met opsomming,Bullets,References,Liste 1,List Paragraph nowy,Numbered List Paragraph,List Paragraph (numbered (a)),Medium Grid 1 - Accent 21,Dot pt,Stil3,3"/>
    <w:basedOn w:val="Normal"/>
    <w:link w:val="ListParagraphChar"/>
    <w:uiPriority w:val="34"/>
    <w:qFormat/>
    <w:rsid w:val="006049D5"/>
    <w:pPr>
      <w:ind w:left="720"/>
      <w:contextualSpacing/>
    </w:pPr>
  </w:style>
  <w:style w:type="character" w:customStyle="1" w:styleId="ListParagraphChar">
    <w:name w:val="List Paragraph Char"/>
    <w:aliases w:val="List Paragraph 1 Char,Scriptoria bullet points Char,Абзац списка1 Char,strikethrough Char,standaard met opsomming Char,Bullets Char,References Char,Liste 1 Char,List Paragraph nowy Char,Numbered List Paragraph Char,Dot pt Char,3 Char"/>
    <w:link w:val="ListParagraph"/>
    <w:uiPriority w:val="34"/>
    <w:qFormat/>
    <w:rsid w:val="006049D5"/>
    <w:rPr>
      <w:lang w:val="ro-MD"/>
    </w:rPr>
  </w:style>
  <w:style w:type="table" w:styleId="GridTable4-Accent5">
    <w:name w:val="Grid Table 4 Accent 5"/>
    <w:basedOn w:val="TableNormal"/>
    <w:uiPriority w:val="49"/>
    <w:rsid w:val="006049D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b">
    <w:name w:val="cb"/>
    <w:basedOn w:val="Normal"/>
    <w:rsid w:val="006049D5"/>
    <w:pPr>
      <w:spacing w:after="0" w:line="240" w:lineRule="auto"/>
      <w:jc w:val="center"/>
    </w:pPr>
    <w:rPr>
      <w:rFonts w:ascii="Times New Roman" w:eastAsia="Times New Roman" w:hAnsi="Times New Roman" w:cs="Times New Roman"/>
      <w:b/>
      <w:bCs/>
      <w:sz w:val="24"/>
      <w:szCs w:val="24"/>
      <w:lang w:val="en-US"/>
    </w:rPr>
  </w:style>
  <w:style w:type="character" w:styleId="Strong">
    <w:name w:val="Strong"/>
    <w:basedOn w:val="DefaultParagraphFont"/>
    <w:uiPriority w:val="22"/>
    <w:qFormat/>
    <w:rsid w:val="006049D5"/>
    <w:rPr>
      <w:b/>
      <w:bCs/>
    </w:rPr>
  </w:style>
  <w:style w:type="table" w:styleId="ListTable1Light-Accent5">
    <w:name w:val="List Table 1 Light Accent 5"/>
    <w:basedOn w:val="TableNormal"/>
    <w:uiPriority w:val="46"/>
    <w:rsid w:val="006049D5"/>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3">
    <w:name w:val="Grid Table 4 Accent 3"/>
    <w:basedOn w:val="TableNormal"/>
    <w:uiPriority w:val="49"/>
    <w:rsid w:val="006049D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t">
    <w:name w:val="tt"/>
    <w:basedOn w:val="Normal"/>
    <w:qFormat/>
    <w:rsid w:val="006049D5"/>
    <w:pPr>
      <w:spacing w:after="0" w:line="240" w:lineRule="auto"/>
      <w:jc w:val="center"/>
    </w:pPr>
    <w:rPr>
      <w:rFonts w:ascii="Times New Roman" w:eastAsia="Times New Roman" w:hAnsi="Times New Roman" w:cs="Times New Roman"/>
      <w:b/>
      <w:bCs/>
      <w:sz w:val="24"/>
      <w:szCs w:val="24"/>
      <w:lang w:val="en-US"/>
    </w:rPr>
  </w:style>
  <w:style w:type="paragraph" w:customStyle="1" w:styleId="cp">
    <w:name w:val="cp"/>
    <w:basedOn w:val="Normal"/>
    <w:rsid w:val="006049D5"/>
    <w:pPr>
      <w:spacing w:after="0" w:line="240" w:lineRule="auto"/>
      <w:jc w:val="center"/>
    </w:pPr>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604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9D5"/>
    <w:rPr>
      <w:lang w:val="ro-MD"/>
    </w:rPr>
  </w:style>
  <w:style w:type="paragraph" w:styleId="Footer">
    <w:name w:val="footer"/>
    <w:basedOn w:val="Normal"/>
    <w:link w:val="FooterChar"/>
    <w:uiPriority w:val="99"/>
    <w:unhideWhenUsed/>
    <w:rsid w:val="00604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9D5"/>
    <w:rPr>
      <w:lang w:val="ro-MD"/>
    </w:rPr>
  </w:style>
  <w:style w:type="paragraph" w:styleId="BalloonText">
    <w:name w:val="Balloon Text"/>
    <w:basedOn w:val="Normal"/>
    <w:link w:val="BalloonTextChar"/>
    <w:uiPriority w:val="99"/>
    <w:semiHidden/>
    <w:unhideWhenUsed/>
    <w:rsid w:val="00604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9D5"/>
    <w:rPr>
      <w:rFonts w:ascii="Segoe UI" w:hAnsi="Segoe UI" w:cs="Segoe UI"/>
      <w:sz w:val="18"/>
      <w:szCs w:val="18"/>
      <w:lang w:val="ro-MD"/>
    </w:rPr>
  </w:style>
  <w:style w:type="character" w:customStyle="1" w:styleId="Heading20">
    <w:name w:val="Heading #2_"/>
    <w:basedOn w:val="DefaultParagraphFont"/>
    <w:link w:val="Heading21"/>
    <w:rsid w:val="006049D5"/>
    <w:rPr>
      <w:rFonts w:ascii="Times New Roman" w:eastAsia="Times New Roman" w:hAnsi="Times New Roman" w:cs="Times New Roman"/>
      <w:b/>
      <w:bCs/>
      <w:sz w:val="28"/>
      <w:szCs w:val="28"/>
      <w:shd w:val="clear" w:color="auto" w:fill="FFFFFF"/>
    </w:rPr>
  </w:style>
  <w:style w:type="paragraph" w:customStyle="1" w:styleId="Heading21">
    <w:name w:val="Heading #2"/>
    <w:basedOn w:val="Normal"/>
    <w:link w:val="Heading20"/>
    <w:rsid w:val="006049D5"/>
    <w:pPr>
      <w:widowControl w:val="0"/>
      <w:shd w:val="clear" w:color="auto" w:fill="FFFFFF"/>
      <w:spacing w:before="300" w:after="640" w:line="310" w:lineRule="exact"/>
      <w:jc w:val="both"/>
      <w:outlineLvl w:val="1"/>
    </w:pPr>
    <w:rPr>
      <w:rFonts w:ascii="Times New Roman" w:eastAsia="Times New Roman" w:hAnsi="Times New Roman" w:cs="Times New Roman"/>
      <w:b/>
      <w:bCs/>
      <w:sz w:val="28"/>
      <w:szCs w:val="28"/>
      <w:lang w:val="en-US"/>
    </w:rPr>
  </w:style>
  <w:style w:type="character" w:customStyle="1" w:styleId="Bodytext2">
    <w:name w:val="Body text (2)_"/>
    <w:basedOn w:val="DefaultParagraphFont"/>
    <w:link w:val="Bodytext20"/>
    <w:rsid w:val="006049D5"/>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6049D5"/>
    <w:pPr>
      <w:widowControl w:val="0"/>
      <w:shd w:val="clear" w:color="auto" w:fill="FFFFFF"/>
      <w:spacing w:before="320" w:after="320" w:line="322" w:lineRule="exact"/>
      <w:jc w:val="both"/>
    </w:pPr>
    <w:rPr>
      <w:rFonts w:ascii="Times New Roman" w:eastAsia="Times New Roman" w:hAnsi="Times New Roman" w:cs="Times New Roman"/>
      <w:sz w:val="28"/>
      <w:szCs w:val="28"/>
      <w:lang w:val="en-US"/>
    </w:rPr>
  </w:style>
  <w:style w:type="paragraph" w:styleId="NormalWeb">
    <w:name w:val="Normal (Web)"/>
    <w:aliases w:val="Обычный (веб) Знак2,Обычный (веб) Знак1 Знак,Обычный (веб) Знак Знак Знак,Знак Знак Знак Знак,Знак Знак1 Знак,Обычный (веб) Знак Знак1,Знак Знак2,Текст сноски1,Текст сноски11,Char1,A Знак Знак,Текст сноски2"/>
    <w:basedOn w:val="Normal"/>
    <w:link w:val="NormalWebChar"/>
    <w:uiPriority w:val="99"/>
    <w:unhideWhenUsed/>
    <w:qFormat/>
    <w:rsid w:val="006049D5"/>
    <w:rPr>
      <w:rFonts w:ascii="Times New Roman" w:hAnsi="Times New Roman" w:cs="Times New Roman"/>
      <w:sz w:val="24"/>
      <w:szCs w:val="24"/>
    </w:rPr>
  </w:style>
  <w:style w:type="paragraph" w:styleId="Subtitle">
    <w:name w:val="Subtitle"/>
    <w:basedOn w:val="Normal"/>
    <w:next w:val="Normal"/>
    <w:link w:val="SubtitleChar"/>
    <w:uiPriority w:val="11"/>
    <w:qFormat/>
    <w:rsid w:val="006049D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049D5"/>
    <w:rPr>
      <w:rFonts w:eastAsiaTheme="minorEastAsia"/>
      <w:color w:val="5A5A5A" w:themeColor="text1" w:themeTint="A5"/>
      <w:spacing w:val="15"/>
      <w:lang w:val="ro-MD"/>
    </w:rPr>
  </w:style>
  <w:style w:type="table" w:styleId="GridTable3-Accent3">
    <w:name w:val="Grid Table 3 Accent 3"/>
    <w:basedOn w:val="TableNormal"/>
    <w:uiPriority w:val="48"/>
    <w:rsid w:val="006049D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
    <w:name w:val="Grid Table 3"/>
    <w:basedOn w:val="TableNormal"/>
    <w:uiPriority w:val="48"/>
    <w:rsid w:val="006049D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Hyperlink">
    <w:name w:val="Hyperlink"/>
    <w:basedOn w:val="DefaultParagraphFont"/>
    <w:uiPriority w:val="99"/>
    <w:unhideWhenUsed/>
    <w:rsid w:val="006049D5"/>
    <w:rPr>
      <w:color w:val="0000FF"/>
      <w:u w:val="single"/>
    </w:rPr>
  </w:style>
  <w:style w:type="numbering" w:customStyle="1" w:styleId="Style1">
    <w:name w:val="Style1"/>
    <w:uiPriority w:val="99"/>
    <w:rsid w:val="006049D5"/>
    <w:pPr>
      <w:numPr>
        <w:numId w:val="2"/>
      </w:numPr>
    </w:pPr>
  </w:style>
  <w:style w:type="numbering" w:customStyle="1" w:styleId="Style2">
    <w:name w:val="Style2"/>
    <w:uiPriority w:val="99"/>
    <w:rsid w:val="006049D5"/>
    <w:pPr>
      <w:numPr>
        <w:numId w:val="3"/>
      </w:numPr>
    </w:pPr>
  </w:style>
  <w:style w:type="character" w:styleId="Emphasis">
    <w:name w:val="Emphasis"/>
    <w:basedOn w:val="DefaultParagraphFont"/>
    <w:uiPriority w:val="20"/>
    <w:qFormat/>
    <w:rsid w:val="006049D5"/>
    <w:rPr>
      <w:i/>
      <w:iCs/>
    </w:rPr>
  </w:style>
  <w:style w:type="paragraph" w:styleId="TOCHeading">
    <w:name w:val="TOC Heading"/>
    <w:basedOn w:val="Heading1"/>
    <w:next w:val="Normal"/>
    <w:uiPriority w:val="39"/>
    <w:unhideWhenUsed/>
    <w:qFormat/>
    <w:rsid w:val="006049D5"/>
    <w:pPr>
      <w:outlineLvl w:val="9"/>
    </w:pPr>
    <w:rPr>
      <w:lang w:val="en-US"/>
    </w:rPr>
  </w:style>
  <w:style w:type="paragraph" w:styleId="TOC1">
    <w:name w:val="toc 1"/>
    <w:basedOn w:val="Normal"/>
    <w:next w:val="Normal"/>
    <w:autoRedefine/>
    <w:uiPriority w:val="39"/>
    <w:unhideWhenUsed/>
    <w:rsid w:val="001D6594"/>
    <w:pPr>
      <w:tabs>
        <w:tab w:val="left" w:pos="440"/>
        <w:tab w:val="right" w:leader="dot" w:pos="9345"/>
      </w:tabs>
      <w:spacing w:after="100"/>
    </w:pPr>
    <w:rPr>
      <w:rFonts w:eastAsia="Times New Roman" w:cstheme="majorHAnsi"/>
      <w:b/>
      <w:bCs/>
      <w:noProof/>
    </w:rPr>
  </w:style>
  <w:style w:type="paragraph" w:styleId="TOC3">
    <w:name w:val="toc 3"/>
    <w:basedOn w:val="Normal"/>
    <w:next w:val="Normal"/>
    <w:autoRedefine/>
    <w:uiPriority w:val="39"/>
    <w:unhideWhenUsed/>
    <w:rsid w:val="00556CAC"/>
    <w:pPr>
      <w:tabs>
        <w:tab w:val="left" w:pos="567"/>
        <w:tab w:val="left" w:pos="851"/>
        <w:tab w:val="right" w:leader="dot" w:pos="9345"/>
      </w:tabs>
      <w:spacing w:after="100"/>
      <w:ind w:left="284" w:right="49"/>
    </w:pPr>
    <w:rPr>
      <w:rFonts w:ascii="Times New Roman" w:eastAsia="Times New Roman" w:hAnsi="Times New Roman" w:cs="Times New Roman"/>
      <w:b/>
      <w:bCs/>
      <w:i/>
      <w:noProof/>
      <w:color w:val="1F4E79" w:themeColor="accent1" w:themeShade="80"/>
    </w:rPr>
  </w:style>
  <w:style w:type="paragraph" w:styleId="TOC2">
    <w:name w:val="toc 2"/>
    <w:basedOn w:val="Normal"/>
    <w:next w:val="Normal"/>
    <w:autoRedefine/>
    <w:uiPriority w:val="39"/>
    <w:unhideWhenUsed/>
    <w:rsid w:val="00917102"/>
    <w:pPr>
      <w:tabs>
        <w:tab w:val="left" w:pos="567"/>
        <w:tab w:val="right" w:leader="dot" w:pos="9345"/>
      </w:tabs>
      <w:spacing w:after="100"/>
      <w:ind w:left="220" w:right="180" w:hanging="78"/>
      <w:jc w:val="both"/>
    </w:pPr>
    <w:rPr>
      <w:rFonts w:asciiTheme="majorHAnsi" w:eastAsiaTheme="majorEastAsia" w:hAnsiTheme="majorHAnsi" w:cstheme="majorHAnsi"/>
      <w:b/>
      <w:bCs/>
      <w:noProof/>
    </w:rPr>
  </w:style>
  <w:style w:type="table" w:customStyle="1" w:styleId="1">
    <w:name w:val="Сетка таблицы1"/>
    <w:basedOn w:val="TableNormal"/>
    <w:next w:val="TableGrid"/>
    <w:uiPriority w:val="39"/>
    <w:rsid w:val="00604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6049D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6049D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ListTable7Colorful-Accent2">
    <w:name w:val="List Table 7 Colorful Accent 2"/>
    <w:basedOn w:val="TableNormal"/>
    <w:uiPriority w:val="52"/>
    <w:rsid w:val="006049D5"/>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5">
    <w:name w:val="Grid Table 2 Accent 5"/>
    <w:basedOn w:val="TableNormal"/>
    <w:uiPriority w:val="47"/>
    <w:rsid w:val="006049D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2">
    <w:name w:val="Grid Table 5 Dark Accent 2"/>
    <w:basedOn w:val="TableNormal"/>
    <w:uiPriority w:val="50"/>
    <w:rsid w:val="006049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2-Accent2">
    <w:name w:val="List Table 2 Accent 2"/>
    <w:basedOn w:val="TableNormal"/>
    <w:uiPriority w:val="47"/>
    <w:rsid w:val="006049D5"/>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10">
    <w:name w:val="Стиль1"/>
    <w:basedOn w:val="NormalWeb"/>
    <w:link w:val="11"/>
    <w:autoRedefine/>
    <w:qFormat/>
    <w:rsid w:val="006049D5"/>
    <w:pPr>
      <w:spacing w:after="0" w:line="240" w:lineRule="auto"/>
      <w:ind w:right="-1"/>
      <w:jc w:val="both"/>
    </w:pPr>
    <w:rPr>
      <w:rFonts w:asciiTheme="majorHAnsi" w:eastAsiaTheme="majorEastAsia" w:hAnsiTheme="majorHAnsi" w:cstheme="majorHAnsi"/>
      <w:sz w:val="16"/>
      <w:szCs w:val="16"/>
    </w:rPr>
  </w:style>
  <w:style w:type="character" w:customStyle="1" w:styleId="11">
    <w:name w:val="Стиль1 Знак"/>
    <w:basedOn w:val="DefaultParagraphFont"/>
    <w:link w:val="10"/>
    <w:rsid w:val="006049D5"/>
    <w:rPr>
      <w:rFonts w:asciiTheme="majorHAnsi" w:eastAsiaTheme="majorEastAsia" w:hAnsiTheme="majorHAnsi" w:cstheme="majorHAnsi"/>
      <w:sz w:val="16"/>
      <w:szCs w:val="16"/>
      <w:lang w:val="ro-MD"/>
    </w:rPr>
  </w:style>
  <w:style w:type="character" w:customStyle="1" w:styleId="Footnote">
    <w:name w:val="Footnote_"/>
    <w:basedOn w:val="DefaultParagraphFont"/>
    <w:link w:val="Footnote0"/>
    <w:rsid w:val="006049D5"/>
    <w:rPr>
      <w:rFonts w:ascii="Calibri" w:eastAsia="Calibri" w:hAnsi="Calibri" w:cs="Calibri"/>
      <w:sz w:val="20"/>
      <w:szCs w:val="20"/>
      <w:shd w:val="clear" w:color="auto" w:fill="FFFFFF"/>
    </w:rPr>
  </w:style>
  <w:style w:type="paragraph" w:customStyle="1" w:styleId="Footnote0">
    <w:name w:val="Footnote"/>
    <w:basedOn w:val="Normal"/>
    <w:link w:val="Footnote"/>
    <w:rsid w:val="006049D5"/>
    <w:pPr>
      <w:widowControl w:val="0"/>
      <w:shd w:val="clear" w:color="auto" w:fill="FFFFFF"/>
      <w:spacing w:after="0" w:line="192" w:lineRule="exact"/>
      <w:jc w:val="both"/>
    </w:pPr>
    <w:rPr>
      <w:rFonts w:ascii="Calibri" w:eastAsia="Calibri" w:hAnsi="Calibri" w:cs="Calibri"/>
      <w:sz w:val="20"/>
      <w:szCs w:val="20"/>
      <w:lang w:val="en-US"/>
    </w:rPr>
  </w:style>
  <w:style w:type="table" w:customStyle="1" w:styleId="TableGrid12">
    <w:name w:val="Table Grid12"/>
    <w:basedOn w:val="TableNormal"/>
    <w:next w:val="TableGrid"/>
    <w:uiPriority w:val="39"/>
    <w:rsid w:val="00A711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52E8"/>
    <w:rPr>
      <w:sz w:val="16"/>
      <w:szCs w:val="16"/>
    </w:rPr>
  </w:style>
  <w:style w:type="paragraph" w:styleId="CommentText">
    <w:name w:val="annotation text"/>
    <w:basedOn w:val="Normal"/>
    <w:link w:val="CommentTextChar"/>
    <w:uiPriority w:val="99"/>
    <w:semiHidden/>
    <w:unhideWhenUsed/>
    <w:rsid w:val="005C52E8"/>
    <w:pPr>
      <w:spacing w:line="240" w:lineRule="auto"/>
    </w:pPr>
    <w:rPr>
      <w:sz w:val="20"/>
      <w:szCs w:val="20"/>
    </w:rPr>
  </w:style>
  <w:style w:type="character" w:customStyle="1" w:styleId="CommentTextChar">
    <w:name w:val="Comment Text Char"/>
    <w:basedOn w:val="DefaultParagraphFont"/>
    <w:link w:val="CommentText"/>
    <w:uiPriority w:val="99"/>
    <w:semiHidden/>
    <w:rsid w:val="005C52E8"/>
    <w:rPr>
      <w:sz w:val="20"/>
      <w:szCs w:val="20"/>
      <w:lang w:val="ro-MD"/>
    </w:rPr>
  </w:style>
  <w:style w:type="paragraph" w:styleId="CommentSubject">
    <w:name w:val="annotation subject"/>
    <w:basedOn w:val="CommentText"/>
    <w:next w:val="CommentText"/>
    <w:link w:val="CommentSubjectChar"/>
    <w:uiPriority w:val="99"/>
    <w:semiHidden/>
    <w:unhideWhenUsed/>
    <w:rsid w:val="005C52E8"/>
    <w:rPr>
      <w:b/>
      <w:bCs/>
    </w:rPr>
  </w:style>
  <w:style w:type="character" w:customStyle="1" w:styleId="CommentSubjectChar">
    <w:name w:val="Comment Subject Char"/>
    <w:basedOn w:val="CommentTextChar"/>
    <w:link w:val="CommentSubject"/>
    <w:uiPriority w:val="99"/>
    <w:semiHidden/>
    <w:rsid w:val="005C52E8"/>
    <w:rPr>
      <w:b/>
      <w:bCs/>
      <w:sz w:val="20"/>
      <w:szCs w:val="20"/>
      <w:lang w:val="ro-MD"/>
    </w:rPr>
  </w:style>
  <w:style w:type="paragraph" w:styleId="Revision">
    <w:name w:val="Revision"/>
    <w:hidden/>
    <w:uiPriority w:val="99"/>
    <w:semiHidden/>
    <w:rsid w:val="001D7A01"/>
    <w:pPr>
      <w:spacing w:after="0" w:line="240" w:lineRule="auto"/>
    </w:pPr>
    <w:rPr>
      <w:lang w:val="ro-MD"/>
    </w:rPr>
  </w:style>
  <w:style w:type="table" w:styleId="GridTable4-Accent1">
    <w:name w:val="Grid Table 4 Accent 1"/>
    <w:basedOn w:val="TableNormal"/>
    <w:uiPriority w:val="49"/>
    <w:rsid w:val="00F657A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27547A"/>
    <w:rPr>
      <w:color w:val="954F72"/>
      <w:u w:val="single"/>
    </w:rPr>
  </w:style>
  <w:style w:type="paragraph" w:customStyle="1" w:styleId="msonormal0">
    <w:name w:val="msonormal"/>
    <w:basedOn w:val="Normal"/>
    <w:rsid w:val="002754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Normal"/>
    <w:rsid w:val="0027547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Calibri Light" w:eastAsia="Times New Roman" w:hAnsi="Calibri Light" w:cs="Calibri Light"/>
      <w:b/>
      <w:bCs/>
      <w:sz w:val="18"/>
      <w:szCs w:val="18"/>
      <w:lang w:val="en-US"/>
    </w:rPr>
  </w:style>
  <w:style w:type="paragraph" w:customStyle="1" w:styleId="xl64">
    <w:name w:val="xl64"/>
    <w:basedOn w:val="Normal"/>
    <w:rsid w:val="0027547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Calibri Light" w:eastAsia="Times New Roman" w:hAnsi="Calibri Light" w:cs="Calibri Light"/>
      <w:sz w:val="18"/>
      <w:szCs w:val="18"/>
      <w:lang w:val="en-US"/>
    </w:rPr>
  </w:style>
  <w:style w:type="paragraph" w:customStyle="1" w:styleId="xl65">
    <w:name w:val="xl65"/>
    <w:basedOn w:val="Normal"/>
    <w:rsid w:val="0027547A"/>
    <w:pPr>
      <w:spacing w:before="100" w:beforeAutospacing="1" w:after="100" w:afterAutospacing="1" w:line="240" w:lineRule="auto"/>
      <w:textAlignment w:val="top"/>
    </w:pPr>
    <w:rPr>
      <w:rFonts w:ascii="Calibri Light" w:eastAsia="Times New Roman" w:hAnsi="Calibri Light" w:cs="Calibri Light"/>
      <w:sz w:val="18"/>
      <w:szCs w:val="18"/>
      <w:lang w:val="en-US"/>
    </w:rPr>
  </w:style>
  <w:style w:type="paragraph" w:customStyle="1" w:styleId="xl66">
    <w:name w:val="xl66"/>
    <w:basedOn w:val="Normal"/>
    <w:rsid w:val="0027547A"/>
    <w:pPr>
      <w:spacing w:before="100" w:beforeAutospacing="1" w:after="100" w:afterAutospacing="1" w:line="240" w:lineRule="auto"/>
      <w:jc w:val="center"/>
      <w:textAlignment w:val="top"/>
    </w:pPr>
    <w:rPr>
      <w:rFonts w:ascii="Calibri Light" w:eastAsia="Times New Roman" w:hAnsi="Calibri Light" w:cs="Calibri Light"/>
      <w:sz w:val="18"/>
      <w:szCs w:val="18"/>
      <w:lang w:val="en-US"/>
    </w:rPr>
  </w:style>
  <w:style w:type="paragraph" w:customStyle="1" w:styleId="xl67">
    <w:name w:val="xl67"/>
    <w:basedOn w:val="Normal"/>
    <w:rsid w:val="0027547A"/>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Calibri Light" w:eastAsia="Times New Roman" w:hAnsi="Calibri Light" w:cs="Calibri Light"/>
      <w:sz w:val="18"/>
      <w:szCs w:val="18"/>
      <w:lang w:val="en-US"/>
    </w:rPr>
  </w:style>
  <w:style w:type="paragraph" w:customStyle="1" w:styleId="xl68">
    <w:name w:val="xl68"/>
    <w:basedOn w:val="Normal"/>
    <w:rsid w:val="0027547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Light" w:eastAsia="Times New Roman" w:hAnsi="Calibri Light" w:cs="Calibri Light"/>
      <w:b/>
      <w:bCs/>
      <w:sz w:val="18"/>
      <w:szCs w:val="18"/>
      <w:lang w:val="en-US"/>
    </w:rPr>
  </w:style>
  <w:style w:type="paragraph" w:customStyle="1" w:styleId="xl69">
    <w:name w:val="xl69"/>
    <w:basedOn w:val="Normal"/>
    <w:rsid w:val="0027547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Light" w:eastAsia="Times New Roman" w:hAnsi="Calibri Light" w:cs="Calibri Light"/>
      <w:sz w:val="18"/>
      <w:szCs w:val="18"/>
      <w:lang w:val="en-US"/>
    </w:rPr>
  </w:style>
  <w:style w:type="paragraph" w:customStyle="1" w:styleId="xl70">
    <w:name w:val="xl70"/>
    <w:basedOn w:val="Normal"/>
    <w:rsid w:val="0027547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Light" w:eastAsia="Times New Roman" w:hAnsi="Calibri Light" w:cs="Calibri Light"/>
      <w:sz w:val="18"/>
      <w:szCs w:val="18"/>
      <w:lang w:val="en-US"/>
    </w:rPr>
  </w:style>
  <w:style w:type="paragraph" w:customStyle="1" w:styleId="xl71">
    <w:name w:val="xl71"/>
    <w:basedOn w:val="Normal"/>
    <w:rsid w:val="0027547A"/>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Calibri Light" w:eastAsia="Times New Roman" w:hAnsi="Calibri Light" w:cs="Calibri Light"/>
      <w:b/>
      <w:bCs/>
      <w:sz w:val="18"/>
      <w:szCs w:val="18"/>
      <w:lang w:val="en-US"/>
    </w:rPr>
  </w:style>
  <w:style w:type="paragraph" w:customStyle="1" w:styleId="xl72">
    <w:name w:val="xl72"/>
    <w:basedOn w:val="Normal"/>
    <w:rsid w:val="0027547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Light" w:eastAsia="Times New Roman" w:hAnsi="Calibri Light" w:cs="Calibri Light"/>
      <w:sz w:val="18"/>
      <w:szCs w:val="18"/>
      <w:lang w:val="en-US"/>
    </w:rPr>
  </w:style>
  <w:style w:type="paragraph" w:customStyle="1" w:styleId="xl73">
    <w:name w:val="xl73"/>
    <w:basedOn w:val="Normal"/>
    <w:rsid w:val="0027547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Light" w:eastAsia="Times New Roman" w:hAnsi="Calibri Light" w:cs="Calibri Light"/>
      <w:b/>
      <w:bCs/>
      <w:sz w:val="18"/>
      <w:szCs w:val="18"/>
      <w:lang w:val="en-US"/>
    </w:rPr>
  </w:style>
  <w:style w:type="paragraph" w:customStyle="1" w:styleId="xl74">
    <w:name w:val="xl74"/>
    <w:basedOn w:val="Normal"/>
    <w:rsid w:val="0027547A"/>
    <w:pPr>
      <w:spacing w:before="100" w:beforeAutospacing="1" w:after="100" w:afterAutospacing="1" w:line="240" w:lineRule="auto"/>
      <w:textAlignment w:val="top"/>
    </w:pPr>
    <w:rPr>
      <w:rFonts w:ascii="Calibri Light" w:eastAsia="Times New Roman" w:hAnsi="Calibri Light" w:cs="Calibri Light"/>
      <w:sz w:val="18"/>
      <w:szCs w:val="18"/>
      <w:lang w:val="en-US"/>
    </w:rPr>
  </w:style>
  <w:style w:type="paragraph" w:customStyle="1" w:styleId="xl75">
    <w:name w:val="xl75"/>
    <w:basedOn w:val="Normal"/>
    <w:rsid w:val="0027547A"/>
    <w:pPr>
      <w:pBdr>
        <w:top w:val="single" w:sz="8" w:space="0" w:color="000000"/>
        <w:left w:val="single" w:sz="8" w:space="0" w:color="000000"/>
        <w:bottom w:val="single" w:sz="8" w:space="0" w:color="000000"/>
        <w:right w:val="single" w:sz="8" w:space="0" w:color="000000"/>
      </w:pBdr>
      <w:shd w:val="clear" w:color="000000" w:fill="D3D3D3"/>
      <w:spacing w:before="100" w:beforeAutospacing="1" w:after="100" w:afterAutospacing="1" w:line="240" w:lineRule="auto"/>
      <w:jc w:val="center"/>
      <w:textAlignment w:val="top"/>
    </w:pPr>
    <w:rPr>
      <w:rFonts w:ascii="Calibri Light" w:eastAsia="Times New Roman" w:hAnsi="Calibri Light" w:cs="Calibri Light"/>
      <w:b/>
      <w:bCs/>
      <w:sz w:val="18"/>
      <w:szCs w:val="18"/>
      <w:lang w:val="en-US"/>
    </w:rPr>
  </w:style>
  <w:style w:type="paragraph" w:customStyle="1" w:styleId="xl76">
    <w:name w:val="xl76"/>
    <w:basedOn w:val="Normal"/>
    <w:rsid w:val="0027547A"/>
    <w:pPr>
      <w:pBdr>
        <w:top w:val="single" w:sz="8" w:space="0" w:color="000000"/>
        <w:left w:val="single" w:sz="8" w:space="0" w:color="000000"/>
        <w:bottom w:val="single" w:sz="8" w:space="0" w:color="000000"/>
      </w:pBdr>
      <w:shd w:val="clear" w:color="000000" w:fill="D3D3D3"/>
      <w:spacing w:before="100" w:beforeAutospacing="1" w:after="100" w:afterAutospacing="1" w:line="240" w:lineRule="auto"/>
      <w:jc w:val="center"/>
      <w:textAlignment w:val="top"/>
    </w:pPr>
    <w:rPr>
      <w:rFonts w:ascii="Calibri Light" w:eastAsia="Times New Roman" w:hAnsi="Calibri Light" w:cs="Calibri Light"/>
      <w:b/>
      <w:bCs/>
      <w:sz w:val="18"/>
      <w:szCs w:val="18"/>
      <w:lang w:val="en-US"/>
    </w:rPr>
  </w:style>
  <w:style w:type="paragraph" w:customStyle="1" w:styleId="xl77">
    <w:name w:val="xl77"/>
    <w:basedOn w:val="Normal"/>
    <w:rsid w:val="0027547A"/>
    <w:pPr>
      <w:pBdr>
        <w:top w:val="single" w:sz="8" w:space="0" w:color="auto"/>
        <w:left w:val="single" w:sz="8" w:space="0" w:color="auto"/>
        <w:bottom w:val="single" w:sz="8" w:space="0" w:color="auto"/>
        <w:right w:val="single" w:sz="8" w:space="0" w:color="auto"/>
      </w:pBdr>
      <w:shd w:val="clear" w:color="000000" w:fill="D3D3D3"/>
      <w:spacing w:before="100" w:beforeAutospacing="1" w:after="100" w:afterAutospacing="1" w:line="240" w:lineRule="auto"/>
      <w:jc w:val="center"/>
      <w:textAlignment w:val="top"/>
    </w:pPr>
    <w:rPr>
      <w:rFonts w:ascii="Calibri Light" w:eastAsia="Times New Roman" w:hAnsi="Calibri Light" w:cs="Calibri Light"/>
      <w:b/>
      <w:bCs/>
      <w:sz w:val="18"/>
      <w:szCs w:val="18"/>
      <w:lang w:val="en-US"/>
    </w:rPr>
  </w:style>
  <w:style w:type="paragraph" w:customStyle="1" w:styleId="xl78">
    <w:name w:val="xl78"/>
    <w:basedOn w:val="Normal"/>
    <w:rsid w:val="0027547A"/>
    <w:pPr>
      <w:spacing w:before="100" w:beforeAutospacing="1" w:after="100" w:afterAutospacing="1" w:line="240" w:lineRule="auto"/>
      <w:jc w:val="center"/>
      <w:textAlignment w:val="top"/>
    </w:pPr>
    <w:rPr>
      <w:rFonts w:ascii="Calibri Light" w:eastAsia="Times New Roman" w:hAnsi="Calibri Light" w:cs="Calibri Light"/>
      <w:b/>
      <w:bCs/>
      <w:sz w:val="18"/>
      <w:szCs w:val="18"/>
      <w:lang w:val="en-US"/>
    </w:rPr>
  </w:style>
  <w:style w:type="paragraph" w:customStyle="1" w:styleId="xl79">
    <w:name w:val="xl79"/>
    <w:basedOn w:val="Normal"/>
    <w:rsid w:val="0027547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Light" w:eastAsia="Times New Roman" w:hAnsi="Calibri Light" w:cs="Calibri Light"/>
      <w:i/>
      <w:iCs/>
      <w:sz w:val="18"/>
      <w:szCs w:val="18"/>
      <w:lang w:val="en-US"/>
    </w:rPr>
  </w:style>
  <w:style w:type="paragraph" w:customStyle="1" w:styleId="xl80">
    <w:name w:val="xl80"/>
    <w:basedOn w:val="Normal"/>
    <w:rsid w:val="0027547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Light" w:eastAsia="Times New Roman" w:hAnsi="Calibri Light" w:cs="Calibri Light"/>
      <w:i/>
      <w:iCs/>
      <w:sz w:val="18"/>
      <w:szCs w:val="18"/>
      <w:lang w:val="en-US"/>
    </w:rPr>
  </w:style>
  <w:style w:type="paragraph" w:customStyle="1" w:styleId="xl81">
    <w:name w:val="xl81"/>
    <w:basedOn w:val="Normal"/>
    <w:rsid w:val="0027547A"/>
    <w:pPr>
      <w:spacing w:before="100" w:beforeAutospacing="1" w:after="100" w:afterAutospacing="1" w:line="240" w:lineRule="auto"/>
      <w:textAlignment w:val="top"/>
    </w:pPr>
    <w:rPr>
      <w:rFonts w:ascii="Calibri Light" w:eastAsia="Times New Roman" w:hAnsi="Calibri Light" w:cs="Calibri Light"/>
      <w:b/>
      <w:bCs/>
      <w:sz w:val="18"/>
      <w:szCs w:val="18"/>
      <w:lang w:val="en-US"/>
    </w:rPr>
  </w:style>
  <w:style w:type="paragraph" w:customStyle="1" w:styleId="xl82">
    <w:name w:val="xl82"/>
    <w:basedOn w:val="Normal"/>
    <w:rsid w:val="0027547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Calibri Light" w:eastAsia="Times New Roman" w:hAnsi="Calibri Light" w:cs="Calibri Light"/>
      <w:color w:val="FF0000"/>
      <w:sz w:val="18"/>
      <w:szCs w:val="18"/>
      <w:lang w:val="en-US"/>
    </w:rPr>
  </w:style>
  <w:style w:type="paragraph" w:customStyle="1" w:styleId="xl83">
    <w:name w:val="xl83"/>
    <w:basedOn w:val="Normal"/>
    <w:rsid w:val="0027547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Light" w:eastAsia="Times New Roman" w:hAnsi="Calibri Light" w:cs="Calibri Light"/>
      <w:color w:val="FF0000"/>
      <w:sz w:val="18"/>
      <w:szCs w:val="18"/>
      <w:lang w:val="en-US"/>
    </w:rPr>
  </w:style>
  <w:style w:type="paragraph" w:customStyle="1" w:styleId="xl84">
    <w:name w:val="xl84"/>
    <w:basedOn w:val="Normal"/>
    <w:rsid w:val="0027547A"/>
    <w:pPr>
      <w:spacing w:before="100" w:beforeAutospacing="1" w:after="100" w:afterAutospacing="1" w:line="240" w:lineRule="auto"/>
      <w:textAlignment w:val="top"/>
    </w:pPr>
    <w:rPr>
      <w:rFonts w:ascii="Calibri Light" w:eastAsia="Times New Roman" w:hAnsi="Calibri Light" w:cs="Calibri Light"/>
      <w:color w:val="FF0000"/>
      <w:sz w:val="18"/>
      <w:szCs w:val="18"/>
      <w:lang w:val="en-US"/>
    </w:rPr>
  </w:style>
  <w:style w:type="paragraph" w:customStyle="1" w:styleId="xl85">
    <w:name w:val="xl85"/>
    <w:basedOn w:val="Normal"/>
    <w:rsid w:val="0027547A"/>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Calibri Light" w:eastAsia="Times New Roman" w:hAnsi="Calibri Light" w:cs="Calibri Light"/>
      <w:b/>
      <w:bCs/>
      <w:sz w:val="18"/>
      <w:szCs w:val="18"/>
      <w:lang w:val="en-US"/>
    </w:rPr>
  </w:style>
  <w:style w:type="paragraph" w:customStyle="1" w:styleId="xl86">
    <w:name w:val="xl86"/>
    <w:basedOn w:val="Normal"/>
    <w:rsid w:val="0027547A"/>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Calibri Light" w:eastAsia="Times New Roman" w:hAnsi="Calibri Light" w:cs="Calibri Light"/>
      <w:color w:val="FF0000"/>
      <w:sz w:val="18"/>
      <w:szCs w:val="18"/>
      <w:lang w:val="en-US"/>
    </w:rPr>
  </w:style>
  <w:style w:type="paragraph" w:customStyle="1" w:styleId="xl87">
    <w:name w:val="xl87"/>
    <w:basedOn w:val="Normal"/>
    <w:rsid w:val="0027547A"/>
    <w:pPr>
      <w:pBdr>
        <w:top w:val="single" w:sz="8" w:space="0" w:color="000000"/>
        <w:left w:val="single" w:sz="8" w:space="0" w:color="000000"/>
      </w:pBdr>
      <w:spacing w:before="100" w:beforeAutospacing="1" w:after="100" w:afterAutospacing="1" w:line="240" w:lineRule="auto"/>
      <w:textAlignment w:val="top"/>
    </w:pPr>
    <w:rPr>
      <w:rFonts w:ascii="Calibri Light" w:eastAsia="Times New Roman" w:hAnsi="Calibri Light" w:cs="Calibri Light"/>
      <w:sz w:val="18"/>
      <w:szCs w:val="18"/>
      <w:lang w:val="en-US"/>
    </w:rPr>
  </w:style>
  <w:style w:type="paragraph" w:customStyle="1" w:styleId="xl88">
    <w:name w:val="xl88"/>
    <w:basedOn w:val="Normal"/>
    <w:rsid w:val="0027547A"/>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Calibri Light" w:eastAsia="Times New Roman" w:hAnsi="Calibri Light" w:cs="Calibri Light"/>
      <w:b/>
      <w:bCs/>
      <w:sz w:val="18"/>
      <w:szCs w:val="18"/>
      <w:lang w:val="en-US"/>
    </w:rPr>
  </w:style>
  <w:style w:type="paragraph" w:customStyle="1" w:styleId="xl89">
    <w:name w:val="xl89"/>
    <w:basedOn w:val="Normal"/>
    <w:rsid w:val="0027547A"/>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Calibri Light" w:eastAsia="Times New Roman" w:hAnsi="Calibri Light" w:cs="Calibri Light"/>
      <w:sz w:val="18"/>
      <w:szCs w:val="18"/>
      <w:lang w:val="en-US"/>
    </w:rPr>
  </w:style>
  <w:style w:type="paragraph" w:customStyle="1" w:styleId="xl90">
    <w:name w:val="xl90"/>
    <w:basedOn w:val="Normal"/>
    <w:rsid w:val="0027547A"/>
    <w:pPr>
      <w:pBdr>
        <w:top w:val="single" w:sz="8" w:space="0" w:color="000000"/>
        <w:left w:val="single" w:sz="8" w:space="0" w:color="000000"/>
      </w:pBdr>
      <w:shd w:val="clear" w:color="000000" w:fill="D3D3D3"/>
      <w:spacing w:before="100" w:beforeAutospacing="1" w:after="100" w:afterAutospacing="1" w:line="240" w:lineRule="auto"/>
      <w:jc w:val="center"/>
      <w:textAlignment w:val="top"/>
    </w:pPr>
    <w:rPr>
      <w:rFonts w:ascii="Calibri Light" w:eastAsia="Times New Roman" w:hAnsi="Calibri Light" w:cs="Calibri Light"/>
      <w:b/>
      <w:bCs/>
      <w:sz w:val="18"/>
      <w:szCs w:val="18"/>
      <w:lang w:val="en-US"/>
    </w:rPr>
  </w:style>
  <w:style w:type="paragraph" w:customStyle="1" w:styleId="xl91">
    <w:name w:val="xl91"/>
    <w:basedOn w:val="Normal"/>
    <w:rsid w:val="0027547A"/>
    <w:pPr>
      <w:pBdr>
        <w:top w:val="single" w:sz="8" w:space="0" w:color="auto"/>
        <w:left w:val="single" w:sz="8" w:space="0" w:color="auto"/>
        <w:right w:val="single" w:sz="8" w:space="0" w:color="auto"/>
      </w:pBdr>
      <w:shd w:val="clear" w:color="000000" w:fill="D3D3D3"/>
      <w:spacing w:before="100" w:beforeAutospacing="1" w:after="100" w:afterAutospacing="1" w:line="240" w:lineRule="auto"/>
      <w:jc w:val="center"/>
      <w:textAlignment w:val="top"/>
    </w:pPr>
    <w:rPr>
      <w:rFonts w:ascii="Calibri Light" w:eastAsia="Times New Roman" w:hAnsi="Calibri Light" w:cs="Calibri Light"/>
      <w:b/>
      <w:bCs/>
      <w:sz w:val="18"/>
      <w:szCs w:val="18"/>
      <w:lang w:val="en-US"/>
    </w:rPr>
  </w:style>
  <w:style w:type="paragraph" w:customStyle="1" w:styleId="xl92">
    <w:name w:val="xl92"/>
    <w:basedOn w:val="Normal"/>
    <w:rsid w:val="0027547A"/>
    <w:pPr>
      <w:pBdr>
        <w:top w:val="single" w:sz="8" w:space="0" w:color="auto"/>
        <w:left w:val="single" w:sz="8" w:space="0" w:color="auto"/>
        <w:right w:val="single" w:sz="8" w:space="0" w:color="auto"/>
      </w:pBdr>
      <w:shd w:val="clear" w:color="000000" w:fill="D3D3D3"/>
      <w:spacing w:before="100" w:beforeAutospacing="1" w:after="100" w:afterAutospacing="1" w:line="240" w:lineRule="auto"/>
      <w:jc w:val="center"/>
      <w:textAlignment w:val="top"/>
    </w:pPr>
    <w:rPr>
      <w:rFonts w:ascii="Calibri Light" w:eastAsia="Times New Roman" w:hAnsi="Calibri Light" w:cs="Calibri Light"/>
      <w:b/>
      <w:bCs/>
      <w:i/>
      <w:iCs/>
      <w:sz w:val="18"/>
      <w:szCs w:val="18"/>
      <w:lang w:val="en-US"/>
    </w:rPr>
  </w:style>
  <w:style w:type="paragraph" w:customStyle="1" w:styleId="xl93">
    <w:name w:val="xl93"/>
    <w:basedOn w:val="Normal"/>
    <w:rsid w:val="0027547A"/>
    <w:pPr>
      <w:pBdr>
        <w:top w:val="single" w:sz="8" w:space="0" w:color="auto"/>
        <w:left w:val="single" w:sz="8" w:space="0" w:color="auto"/>
        <w:right w:val="single" w:sz="8" w:space="0" w:color="auto"/>
      </w:pBdr>
      <w:shd w:val="clear" w:color="000000" w:fill="D0CECE"/>
      <w:spacing w:before="100" w:beforeAutospacing="1" w:after="100" w:afterAutospacing="1" w:line="240" w:lineRule="auto"/>
      <w:jc w:val="center"/>
      <w:textAlignment w:val="top"/>
    </w:pPr>
    <w:rPr>
      <w:rFonts w:ascii="Calibri Light" w:eastAsia="Times New Roman" w:hAnsi="Calibri Light" w:cs="Calibri Light"/>
      <w:b/>
      <w:bCs/>
      <w:i/>
      <w:iCs/>
      <w:sz w:val="18"/>
      <w:szCs w:val="18"/>
      <w:lang w:val="en-US"/>
    </w:rPr>
  </w:style>
  <w:style w:type="paragraph" w:customStyle="1" w:styleId="xl94">
    <w:name w:val="xl94"/>
    <w:basedOn w:val="Normal"/>
    <w:rsid w:val="0027547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Light" w:eastAsia="Times New Roman" w:hAnsi="Calibri Light" w:cs="Calibri Light"/>
      <w:color w:val="FF0000"/>
      <w:sz w:val="18"/>
      <w:szCs w:val="18"/>
      <w:lang w:val="en-US"/>
    </w:rPr>
  </w:style>
  <w:style w:type="paragraph" w:customStyle="1" w:styleId="xl95">
    <w:name w:val="xl95"/>
    <w:basedOn w:val="Normal"/>
    <w:rsid w:val="0027547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Light" w:eastAsia="Times New Roman" w:hAnsi="Calibri Light" w:cs="Calibri Light"/>
      <w:b/>
      <w:bCs/>
      <w:i/>
      <w:iCs/>
      <w:sz w:val="18"/>
      <w:szCs w:val="18"/>
      <w:lang w:val="en-US"/>
    </w:rPr>
  </w:style>
  <w:style w:type="paragraph" w:customStyle="1" w:styleId="xl96">
    <w:name w:val="xl96"/>
    <w:basedOn w:val="Normal"/>
    <w:rsid w:val="0027547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Light" w:eastAsia="Times New Roman" w:hAnsi="Calibri Light" w:cs="Calibri Light"/>
      <w:b/>
      <w:bCs/>
      <w:i/>
      <w:iCs/>
      <w:sz w:val="18"/>
      <w:szCs w:val="18"/>
      <w:lang w:val="en-US"/>
    </w:rPr>
  </w:style>
  <w:style w:type="paragraph" w:styleId="TOC4">
    <w:name w:val="toc 4"/>
    <w:basedOn w:val="Normal"/>
    <w:next w:val="Normal"/>
    <w:autoRedefine/>
    <w:uiPriority w:val="39"/>
    <w:unhideWhenUsed/>
    <w:rsid w:val="009B172C"/>
    <w:pPr>
      <w:spacing w:after="100"/>
      <w:ind w:left="660"/>
    </w:pPr>
    <w:rPr>
      <w:rFonts w:eastAsiaTheme="minorEastAsia"/>
      <w:lang w:val="en-US"/>
    </w:rPr>
  </w:style>
  <w:style w:type="paragraph" w:styleId="TOC5">
    <w:name w:val="toc 5"/>
    <w:basedOn w:val="Normal"/>
    <w:next w:val="Normal"/>
    <w:autoRedefine/>
    <w:uiPriority w:val="39"/>
    <w:unhideWhenUsed/>
    <w:rsid w:val="009B172C"/>
    <w:pPr>
      <w:spacing w:after="100"/>
      <w:ind w:left="880"/>
    </w:pPr>
    <w:rPr>
      <w:rFonts w:eastAsiaTheme="minorEastAsia"/>
      <w:lang w:val="en-US"/>
    </w:rPr>
  </w:style>
  <w:style w:type="paragraph" w:styleId="TOC6">
    <w:name w:val="toc 6"/>
    <w:basedOn w:val="Normal"/>
    <w:next w:val="Normal"/>
    <w:autoRedefine/>
    <w:uiPriority w:val="39"/>
    <w:unhideWhenUsed/>
    <w:rsid w:val="009B172C"/>
    <w:pPr>
      <w:spacing w:after="100"/>
      <w:ind w:left="1100"/>
    </w:pPr>
    <w:rPr>
      <w:rFonts w:eastAsiaTheme="minorEastAsia"/>
      <w:lang w:val="en-US"/>
    </w:rPr>
  </w:style>
  <w:style w:type="paragraph" w:styleId="TOC7">
    <w:name w:val="toc 7"/>
    <w:basedOn w:val="Normal"/>
    <w:next w:val="Normal"/>
    <w:autoRedefine/>
    <w:uiPriority w:val="39"/>
    <w:unhideWhenUsed/>
    <w:rsid w:val="009B172C"/>
    <w:pPr>
      <w:spacing w:after="100"/>
      <w:ind w:left="1320"/>
    </w:pPr>
    <w:rPr>
      <w:rFonts w:eastAsiaTheme="minorEastAsia"/>
      <w:lang w:val="en-US"/>
    </w:rPr>
  </w:style>
  <w:style w:type="paragraph" w:styleId="TOC8">
    <w:name w:val="toc 8"/>
    <w:basedOn w:val="Normal"/>
    <w:next w:val="Normal"/>
    <w:autoRedefine/>
    <w:uiPriority w:val="39"/>
    <w:unhideWhenUsed/>
    <w:rsid w:val="009B172C"/>
    <w:pPr>
      <w:spacing w:after="100"/>
      <w:ind w:left="1540"/>
    </w:pPr>
    <w:rPr>
      <w:rFonts w:eastAsiaTheme="minorEastAsia"/>
      <w:lang w:val="en-US"/>
    </w:rPr>
  </w:style>
  <w:style w:type="paragraph" w:styleId="TOC9">
    <w:name w:val="toc 9"/>
    <w:basedOn w:val="Normal"/>
    <w:next w:val="Normal"/>
    <w:autoRedefine/>
    <w:uiPriority w:val="39"/>
    <w:unhideWhenUsed/>
    <w:rsid w:val="009B172C"/>
    <w:pPr>
      <w:spacing w:after="100"/>
      <w:ind w:left="1760"/>
    </w:pPr>
    <w:rPr>
      <w:rFonts w:eastAsiaTheme="minorEastAsia"/>
      <w:lang w:val="en-US"/>
    </w:rPr>
  </w:style>
  <w:style w:type="character" w:customStyle="1" w:styleId="NormalWebChar">
    <w:name w:val="Normal (Web) Char"/>
    <w:aliases w:val="Обычный (веб) Знак2 Char,Обычный (веб) Знак1 Знак Char,Обычный (веб) Знак Знак Знак Char,Знак Знак Знак Знак Char,Знак Знак1 Знак Char,Обычный (веб) Знак Знак1 Char,Знак Знак2 Char,Текст сноски1 Char,Текст сноски11 Char,Char1 Char"/>
    <w:link w:val="NormalWeb"/>
    <w:uiPriority w:val="99"/>
    <w:rsid w:val="00C434BC"/>
    <w:rPr>
      <w:rFonts w:ascii="Times New Roman" w:hAnsi="Times New Roman" w:cs="Times New Roman"/>
      <w:sz w:val="24"/>
      <w:szCs w:val="24"/>
      <w:lang w:val="ro-MD"/>
    </w:rPr>
  </w:style>
  <w:style w:type="paragraph" w:customStyle="1" w:styleId="rg">
    <w:name w:val="rg"/>
    <w:basedOn w:val="Normal"/>
    <w:rsid w:val="00FD3C4C"/>
    <w:pPr>
      <w:spacing w:after="0" w:line="240" w:lineRule="auto"/>
      <w:jc w:val="right"/>
    </w:pPr>
    <w:rPr>
      <w:rFonts w:ascii="Times New Roman" w:eastAsia="Times New Roman" w:hAnsi="Times New Roman" w:cs="Times New Roman"/>
      <w:sz w:val="24"/>
      <w:szCs w:val="24"/>
      <w:lang w:val="en-US"/>
    </w:rPr>
  </w:style>
  <w:style w:type="paragraph" w:customStyle="1" w:styleId="cn">
    <w:name w:val="cn"/>
    <w:basedOn w:val="Normal"/>
    <w:qFormat/>
    <w:rsid w:val="004374DE"/>
    <w:pPr>
      <w:spacing w:after="0" w:line="240" w:lineRule="auto"/>
      <w:jc w:val="center"/>
    </w:pPr>
    <w:rPr>
      <w:rFonts w:ascii="Times New Roman" w:eastAsia="Times New Roman" w:hAnsi="Times New Roman" w:cs="Times New Roman"/>
      <w:sz w:val="24"/>
      <w:szCs w:val="24"/>
      <w:lang w:val="en-US"/>
    </w:rPr>
  </w:style>
  <w:style w:type="paragraph" w:customStyle="1" w:styleId="Normal11">
    <w:name w:val="Normal11"/>
    <w:rsid w:val="007070CA"/>
    <w:pPr>
      <w:spacing w:after="200" w:line="276" w:lineRule="auto"/>
    </w:pPr>
    <w:rPr>
      <w:rFonts w:ascii="Calibri" w:eastAsia="Times New Roman" w:hAnsi="Calibri" w:cs="Calibri"/>
      <w:color w:val="000000"/>
    </w:rPr>
  </w:style>
  <w:style w:type="character" w:customStyle="1" w:styleId="Bodytext285pt">
    <w:name w:val="Body text (2) + 8;5 pt"/>
    <w:basedOn w:val="Bodytext2"/>
    <w:rsid w:val="00DF6D75"/>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en-US" w:eastAsia="en-US" w:bidi="en-US"/>
    </w:rPr>
  </w:style>
  <w:style w:type="paragraph" w:customStyle="1" w:styleId="Default">
    <w:name w:val="Default"/>
    <w:rsid w:val="005451E5"/>
    <w:pPr>
      <w:autoSpaceDE w:val="0"/>
      <w:autoSpaceDN w:val="0"/>
      <w:adjustRightInd w:val="0"/>
      <w:spacing w:after="0" w:line="240" w:lineRule="auto"/>
    </w:pPr>
    <w:rPr>
      <w:rFonts w:ascii="Times New Roman" w:hAnsi="Times New Roman" w:cs="Times New Roman"/>
      <w:color w:val="000000"/>
      <w:sz w:val="24"/>
      <w:szCs w:val="24"/>
      <w:lang w:val="ro-MD"/>
    </w:rPr>
  </w:style>
  <w:style w:type="character" w:customStyle="1" w:styleId="apple-converted-space">
    <w:name w:val="apple-converted-space"/>
    <w:basedOn w:val="DefaultParagraphFont"/>
    <w:rsid w:val="004C5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3120">
      <w:bodyDiv w:val="1"/>
      <w:marLeft w:val="0"/>
      <w:marRight w:val="0"/>
      <w:marTop w:val="0"/>
      <w:marBottom w:val="0"/>
      <w:divBdr>
        <w:top w:val="none" w:sz="0" w:space="0" w:color="auto"/>
        <w:left w:val="none" w:sz="0" w:space="0" w:color="auto"/>
        <w:bottom w:val="none" w:sz="0" w:space="0" w:color="auto"/>
        <w:right w:val="none" w:sz="0" w:space="0" w:color="auto"/>
      </w:divBdr>
    </w:div>
    <w:div w:id="138152120">
      <w:bodyDiv w:val="1"/>
      <w:marLeft w:val="0"/>
      <w:marRight w:val="0"/>
      <w:marTop w:val="0"/>
      <w:marBottom w:val="0"/>
      <w:divBdr>
        <w:top w:val="none" w:sz="0" w:space="0" w:color="auto"/>
        <w:left w:val="none" w:sz="0" w:space="0" w:color="auto"/>
        <w:bottom w:val="none" w:sz="0" w:space="0" w:color="auto"/>
        <w:right w:val="none" w:sz="0" w:space="0" w:color="auto"/>
      </w:divBdr>
    </w:div>
    <w:div w:id="167138817">
      <w:bodyDiv w:val="1"/>
      <w:marLeft w:val="0"/>
      <w:marRight w:val="0"/>
      <w:marTop w:val="0"/>
      <w:marBottom w:val="0"/>
      <w:divBdr>
        <w:top w:val="none" w:sz="0" w:space="0" w:color="auto"/>
        <w:left w:val="none" w:sz="0" w:space="0" w:color="auto"/>
        <w:bottom w:val="none" w:sz="0" w:space="0" w:color="auto"/>
        <w:right w:val="none" w:sz="0" w:space="0" w:color="auto"/>
      </w:divBdr>
    </w:div>
    <w:div w:id="177429746">
      <w:bodyDiv w:val="1"/>
      <w:marLeft w:val="0"/>
      <w:marRight w:val="0"/>
      <w:marTop w:val="0"/>
      <w:marBottom w:val="0"/>
      <w:divBdr>
        <w:top w:val="none" w:sz="0" w:space="0" w:color="auto"/>
        <w:left w:val="none" w:sz="0" w:space="0" w:color="auto"/>
        <w:bottom w:val="none" w:sz="0" w:space="0" w:color="auto"/>
        <w:right w:val="none" w:sz="0" w:space="0" w:color="auto"/>
      </w:divBdr>
    </w:div>
    <w:div w:id="577861196">
      <w:bodyDiv w:val="1"/>
      <w:marLeft w:val="0"/>
      <w:marRight w:val="0"/>
      <w:marTop w:val="0"/>
      <w:marBottom w:val="0"/>
      <w:divBdr>
        <w:top w:val="none" w:sz="0" w:space="0" w:color="auto"/>
        <w:left w:val="none" w:sz="0" w:space="0" w:color="auto"/>
        <w:bottom w:val="none" w:sz="0" w:space="0" w:color="auto"/>
        <w:right w:val="none" w:sz="0" w:space="0" w:color="auto"/>
      </w:divBdr>
    </w:div>
    <w:div w:id="934747077">
      <w:bodyDiv w:val="1"/>
      <w:marLeft w:val="0"/>
      <w:marRight w:val="0"/>
      <w:marTop w:val="0"/>
      <w:marBottom w:val="0"/>
      <w:divBdr>
        <w:top w:val="none" w:sz="0" w:space="0" w:color="auto"/>
        <w:left w:val="none" w:sz="0" w:space="0" w:color="auto"/>
        <w:bottom w:val="none" w:sz="0" w:space="0" w:color="auto"/>
        <w:right w:val="none" w:sz="0" w:space="0" w:color="auto"/>
      </w:divBdr>
    </w:div>
    <w:div w:id="982542111">
      <w:bodyDiv w:val="1"/>
      <w:marLeft w:val="0"/>
      <w:marRight w:val="0"/>
      <w:marTop w:val="0"/>
      <w:marBottom w:val="0"/>
      <w:divBdr>
        <w:top w:val="none" w:sz="0" w:space="0" w:color="auto"/>
        <w:left w:val="none" w:sz="0" w:space="0" w:color="auto"/>
        <w:bottom w:val="none" w:sz="0" w:space="0" w:color="auto"/>
        <w:right w:val="none" w:sz="0" w:space="0" w:color="auto"/>
      </w:divBdr>
    </w:div>
    <w:div w:id="1371882793">
      <w:bodyDiv w:val="1"/>
      <w:marLeft w:val="0"/>
      <w:marRight w:val="0"/>
      <w:marTop w:val="0"/>
      <w:marBottom w:val="0"/>
      <w:divBdr>
        <w:top w:val="none" w:sz="0" w:space="0" w:color="auto"/>
        <w:left w:val="none" w:sz="0" w:space="0" w:color="auto"/>
        <w:bottom w:val="none" w:sz="0" w:space="0" w:color="auto"/>
        <w:right w:val="none" w:sz="0" w:space="0" w:color="auto"/>
      </w:divBdr>
    </w:div>
    <w:div w:id="1385368702">
      <w:bodyDiv w:val="1"/>
      <w:marLeft w:val="0"/>
      <w:marRight w:val="0"/>
      <w:marTop w:val="0"/>
      <w:marBottom w:val="0"/>
      <w:divBdr>
        <w:top w:val="none" w:sz="0" w:space="0" w:color="auto"/>
        <w:left w:val="none" w:sz="0" w:space="0" w:color="auto"/>
        <w:bottom w:val="none" w:sz="0" w:space="0" w:color="auto"/>
        <w:right w:val="none" w:sz="0" w:space="0" w:color="auto"/>
      </w:divBdr>
    </w:div>
    <w:div w:id="1549301944">
      <w:bodyDiv w:val="1"/>
      <w:marLeft w:val="0"/>
      <w:marRight w:val="0"/>
      <w:marTop w:val="0"/>
      <w:marBottom w:val="0"/>
      <w:divBdr>
        <w:top w:val="none" w:sz="0" w:space="0" w:color="auto"/>
        <w:left w:val="none" w:sz="0" w:space="0" w:color="auto"/>
        <w:bottom w:val="none" w:sz="0" w:space="0" w:color="auto"/>
        <w:right w:val="none" w:sz="0" w:space="0" w:color="auto"/>
      </w:divBdr>
    </w:div>
    <w:div w:id="1599023268">
      <w:bodyDiv w:val="1"/>
      <w:marLeft w:val="0"/>
      <w:marRight w:val="0"/>
      <w:marTop w:val="0"/>
      <w:marBottom w:val="0"/>
      <w:divBdr>
        <w:top w:val="none" w:sz="0" w:space="0" w:color="auto"/>
        <w:left w:val="none" w:sz="0" w:space="0" w:color="auto"/>
        <w:bottom w:val="none" w:sz="0" w:space="0" w:color="auto"/>
        <w:right w:val="none" w:sz="0" w:space="0" w:color="auto"/>
      </w:divBdr>
    </w:div>
    <w:div w:id="1638023128">
      <w:bodyDiv w:val="1"/>
      <w:marLeft w:val="0"/>
      <w:marRight w:val="0"/>
      <w:marTop w:val="0"/>
      <w:marBottom w:val="0"/>
      <w:divBdr>
        <w:top w:val="none" w:sz="0" w:space="0" w:color="auto"/>
        <w:left w:val="none" w:sz="0" w:space="0" w:color="auto"/>
        <w:bottom w:val="none" w:sz="0" w:space="0" w:color="auto"/>
        <w:right w:val="none" w:sz="0" w:space="0" w:color="auto"/>
      </w:divBdr>
    </w:div>
    <w:div w:id="1724865608">
      <w:bodyDiv w:val="1"/>
      <w:marLeft w:val="0"/>
      <w:marRight w:val="0"/>
      <w:marTop w:val="0"/>
      <w:marBottom w:val="0"/>
      <w:divBdr>
        <w:top w:val="none" w:sz="0" w:space="0" w:color="auto"/>
        <w:left w:val="none" w:sz="0" w:space="0" w:color="auto"/>
        <w:bottom w:val="none" w:sz="0" w:space="0" w:color="auto"/>
        <w:right w:val="none" w:sz="0" w:space="0" w:color="auto"/>
      </w:divBdr>
    </w:div>
    <w:div w:id="1910768918">
      <w:bodyDiv w:val="1"/>
      <w:marLeft w:val="0"/>
      <w:marRight w:val="0"/>
      <w:marTop w:val="0"/>
      <w:marBottom w:val="0"/>
      <w:divBdr>
        <w:top w:val="none" w:sz="0" w:space="0" w:color="auto"/>
        <w:left w:val="none" w:sz="0" w:space="0" w:color="auto"/>
        <w:bottom w:val="none" w:sz="0" w:space="0" w:color="auto"/>
        <w:right w:val="none" w:sz="0" w:space="0" w:color="auto"/>
      </w:divBdr>
    </w:div>
    <w:div w:id="1912038453">
      <w:bodyDiv w:val="1"/>
      <w:marLeft w:val="0"/>
      <w:marRight w:val="0"/>
      <w:marTop w:val="0"/>
      <w:marBottom w:val="0"/>
      <w:divBdr>
        <w:top w:val="none" w:sz="0" w:space="0" w:color="auto"/>
        <w:left w:val="none" w:sz="0" w:space="0" w:color="auto"/>
        <w:bottom w:val="none" w:sz="0" w:space="0" w:color="auto"/>
        <w:right w:val="none" w:sz="0" w:space="0" w:color="auto"/>
      </w:divBdr>
    </w:div>
    <w:div w:id="205314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lex:LPLP20110708133" TargetMode="External"/><Relationship Id="rId18" Type="http://schemas.openxmlformats.org/officeDocument/2006/relationships/hyperlink" Target="https://www.legis.md/cautare/getResults?doc_id=128924&amp;lang=ro" TargetMode="External"/><Relationship Id="rId26" Type="http://schemas.openxmlformats.org/officeDocument/2006/relationships/hyperlink" Target="lex:LPLP2012032959" TargetMode="External"/><Relationship Id="rId39" Type="http://schemas.openxmlformats.org/officeDocument/2006/relationships/hyperlink" Target="lex:LPLP20110708133" TargetMode="External"/><Relationship Id="rId21" Type="http://schemas.openxmlformats.org/officeDocument/2006/relationships/hyperlink" Target="lex:LPLP19941109273" TargetMode="External"/><Relationship Id="rId34" Type="http://schemas.openxmlformats.org/officeDocument/2006/relationships/hyperlink" Target="lex:LPLP200206061107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md/cautare/getResults?doc_id=128924&amp;lang=ro" TargetMode="External"/><Relationship Id="rId20" Type="http://schemas.openxmlformats.org/officeDocument/2006/relationships/hyperlink" Target="lex:LPLP2007032271" TargetMode="External"/><Relationship Id="rId29" Type="http://schemas.openxmlformats.org/officeDocument/2006/relationships/hyperlink" Target="lex:LPLP1999122375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lex:LPLP1994040739" TargetMode="External"/><Relationship Id="rId32" Type="http://schemas.openxmlformats.org/officeDocument/2006/relationships/hyperlink" Target="lex:LPLP20070726190" TargetMode="External"/><Relationship Id="rId37" Type="http://schemas.openxmlformats.org/officeDocument/2006/relationships/hyperlink" Target="lex:LPLP20041224443"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lex:LPLP19960402797" TargetMode="External"/><Relationship Id="rId28" Type="http://schemas.openxmlformats.org/officeDocument/2006/relationships/hyperlink" Target="lex:LPLP201602253" TargetMode="External"/><Relationship Id="rId36" Type="http://schemas.openxmlformats.org/officeDocument/2006/relationships/hyperlink" Target="lex:LPLP20081024218" TargetMode="External"/><Relationship Id="rId10" Type="http://schemas.openxmlformats.org/officeDocument/2006/relationships/hyperlink" Target="mailto:ccrm@ccrm.md" TargetMode="External"/><Relationship Id="rId19" Type="http://schemas.openxmlformats.org/officeDocument/2006/relationships/footer" Target="footer1.xml"/><Relationship Id="rId31" Type="http://schemas.openxmlformats.org/officeDocument/2006/relationships/hyperlink" Target="lex:LPLP200206061104" TargetMode="External"/><Relationship Id="rId4" Type="http://schemas.openxmlformats.org/officeDocument/2006/relationships/settings" Target="settings.xml"/><Relationship Id="rId9" Type="http://schemas.openxmlformats.org/officeDocument/2006/relationships/hyperlink" Target="http://www.ccrm.md" TargetMode="External"/><Relationship Id="rId14" Type="http://schemas.openxmlformats.org/officeDocument/2006/relationships/chart" Target="charts/chart1.xml"/><Relationship Id="rId22" Type="http://schemas.openxmlformats.org/officeDocument/2006/relationships/hyperlink" Target="lex:LPLP20071221294" TargetMode="External"/><Relationship Id="rId27" Type="http://schemas.openxmlformats.org/officeDocument/2006/relationships/hyperlink" Target="lex:LPLP20121227320" TargetMode="External"/><Relationship Id="rId30" Type="http://schemas.openxmlformats.org/officeDocument/2006/relationships/hyperlink" Target="lex:LPLP19950720544" TargetMode="External"/><Relationship Id="rId35" Type="http://schemas.openxmlformats.org/officeDocument/2006/relationships/hyperlink" Target="lex:LPLP20030530225"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lex:LPLP20110708133" TargetMode="External"/><Relationship Id="rId17" Type="http://schemas.openxmlformats.org/officeDocument/2006/relationships/hyperlink" Target="lex:LPLP2007032271" TargetMode="External"/><Relationship Id="rId25" Type="http://schemas.openxmlformats.org/officeDocument/2006/relationships/hyperlink" Target="lex:LPLP20110708133" TargetMode="External"/><Relationship Id="rId33" Type="http://schemas.openxmlformats.org/officeDocument/2006/relationships/hyperlink" Target="lex:LPLP20081127245" TargetMode="External"/><Relationship Id="rId38" Type="http://schemas.openxmlformats.org/officeDocument/2006/relationships/hyperlink" Target="lex:LPLP20030314122b"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lex:LPLP20110708133" TargetMode="External"/><Relationship Id="rId2" Type="http://schemas.openxmlformats.org/officeDocument/2006/relationships/hyperlink" Target="lex:LPLP20110708133" TargetMode="External"/><Relationship Id="rId1" Type="http://schemas.openxmlformats.org/officeDocument/2006/relationships/hyperlink" Target="lex:LPLP20110708133" TargetMode="External"/><Relationship Id="rId4" Type="http://schemas.openxmlformats.org/officeDocument/2006/relationships/hyperlink" Target="lex:LPLP2011070813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v_munteanu\Desktop\Mapa%20lucru%20VM\Diagram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v_munteanu\Desktop\Mapa%20lucru%20VM\&#1050;&#1085;&#1080;&#1075;&#107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100" baseline="0">
                <a:solidFill>
                  <a:sysClr val="windowText" lastClr="000000"/>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r>
              <a:rPr lang="ro-MD" sz="1200">
                <a:latin typeface="Times New Roman" panose="02020603050405020304" pitchFamily="18" charset="0"/>
                <a:cs typeface="Times New Roman" panose="02020603050405020304" pitchFamily="18" charset="0"/>
              </a:rPr>
              <a:t>Evoluția executării cheltuielilor pentru întreținerea</a:t>
            </a:r>
            <a:r>
              <a:rPr lang="ro-MD" sz="1200" baseline="0">
                <a:latin typeface="Times New Roman" panose="02020603050405020304" pitchFamily="18" charset="0"/>
                <a:cs typeface="Times New Roman" panose="02020603050405020304" pitchFamily="18" charset="0"/>
              </a:rPr>
              <a:t> CNPDCP în perioada 2018-2022 (mii lei)</a:t>
            </a:r>
            <a:r>
              <a:rPr lang="ro-MD" sz="1200">
                <a:latin typeface="Times New Roman" panose="02020603050405020304" pitchFamily="18" charset="0"/>
                <a:cs typeface="Times New Roman" panose="02020603050405020304" pitchFamily="18" charset="0"/>
              </a:rPr>
              <a:t> </a:t>
            </a:r>
            <a:endParaRPr lang="ru-MD" sz="1200">
              <a:latin typeface="Times New Roman" panose="02020603050405020304" pitchFamily="18" charset="0"/>
              <a:cs typeface="Times New Roman" panose="02020603050405020304" pitchFamily="18" charset="0"/>
            </a:endParaRPr>
          </a:p>
        </c:rich>
      </c:tx>
      <c:layout>
        <c:manualLayout>
          <c:xMode val="edge"/>
          <c:yMode val="edge"/>
          <c:x val="0.16902005466370967"/>
          <c:y val="2.5322919161044053E-3"/>
        </c:manualLayout>
      </c:layout>
      <c:overlay val="0"/>
      <c:spPr>
        <a:noFill/>
        <a:ln>
          <a:noFill/>
        </a:ln>
        <a:effectLst/>
      </c:spPr>
      <c:txPr>
        <a:bodyPr rot="0" spcFirstLastPara="1" vertOverflow="ellipsis" vert="horz" wrap="square" anchor="ctr" anchorCtr="1"/>
        <a:lstStyle/>
        <a:p>
          <a:pPr>
            <a:defRPr sz="1200" b="1" i="0" u="none" strike="noStrike" kern="1200" spc="100" baseline="0">
              <a:solidFill>
                <a:sysClr val="windowText" lastClr="000000"/>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30536943952116685"/>
          <c:y val="0.22656400502087637"/>
          <c:w val="0.69463056047883309"/>
          <c:h val="0.43255863941550188"/>
        </c:manualLayout>
      </c:layout>
      <c:barChart>
        <c:barDir val="col"/>
        <c:grouping val="clustered"/>
        <c:varyColors val="0"/>
        <c:ser>
          <c:idx val="0"/>
          <c:order val="0"/>
          <c:tx>
            <c:strRef>
              <c:f>Лист1!$A$2:$B$2</c:f>
              <c:strCache>
                <c:ptCount val="2"/>
                <c:pt idx="0">
                  <c:v>Aprobat </c:v>
                </c:pt>
              </c:strCache>
            </c:strRef>
          </c:tx>
          <c:spPr>
            <a:solidFill>
              <a:srgbClr val="00FF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Лист1!$C$1:$G$1</c:f>
              <c:numCache>
                <c:formatCode>General</c:formatCode>
                <c:ptCount val="5"/>
                <c:pt idx="0">
                  <c:v>2018</c:v>
                </c:pt>
                <c:pt idx="1">
                  <c:v>2019</c:v>
                </c:pt>
                <c:pt idx="2">
                  <c:v>2020</c:v>
                </c:pt>
                <c:pt idx="3">
                  <c:v>2021</c:v>
                </c:pt>
                <c:pt idx="4">
                  <c:v>2022</c:v>
                </c:pt>
              </c:numCache>
            </c:numRef>
          </c:cat>
          <c:val>
            <c:numRef>
              <c:f>Лист1!$C$2:$G$2</c:f>
              <c:numCache>
                <c:formatCode>General</c:formatCode>
                <c:ptCount val="5"/>
                <c:pt idx="0">
                  <c:v>8561.2000000000007</c:v>
                </c:pt>
                <c:pt idx="1">
                  <c:v>7665</c:v>
                </c:pt>
                <c:pt idx="2">
                  <c:v>7907</c:v>
                </c:pt>
                <c:pt idx="3">
                  <c:v>8093.4</c:v>
                </c:pt>
                <c:pt idx="4">
                  <c:v>9872.6</c:v>
                </c:pt>
              </c:numCache>
            </c:numRef>
          </c:val>
          <c:extLst>
            <c:ext xmlns:c16="http://schemas.microsoft.com/office/drawing/2014/chart" uri="{C3380CC4-5D6E-409C-BE32-E72D297353CC}">
              <c16:uniqueId val="{00000003-4C0E-4677-BB55-F62C76AFB637}"/>
            </c:ext>
          </c:extLst>
        </c:ser>
        <c:ser>
          <c:idx val="1"/>
          <c:order val="1"/>
          <c:tx>
            <c:strRef>
              <c:f>Лист1!$A$3:$B$3</c:f>
              <c:strCache>
                <c:ptCount val="2"/>
                <c:pt idx="0">
                  <c:v>Precizat</c:v>
                </c:pt>
              </c:strCache>
            </c:strRef>
          </c:tx>
          <c:spPr>
            <a:solidFill>
              <a:srgbClr val="FFFF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Лист1!$C$1:$G$1</c:f>
              <c:numCache>
                <c:formatCode>General</c:formatCode>
                <c:ptCount val="5"/>
                <c:pt idx="0">
                  <c:v>2018</c:v>
                </c:pt>
                <c:pt idx="1">
                  <c:v>2019</c:v>
                </c:pt>
                <c:pt idx="2">
                  <c:v>2020</c:v>
                </c:pt>
                <c:pt idx="3">
                  <c:v>2021</c:v>
                </c:pt>
                <c:pt idx="4">
                  <c:v>2022</c:v>
                </c:pt>
              </c:numCache>
            </c:numRef>
          </c:cat>
          <c:val>
            <c:numRef>
              <c:f>Лист1!$C$3:$G$3</c:f>
              <c:numCache>
                <c:formatCode>General</c:formatCode>
                <c:ptCount val="5"/>
                <c:pt idx="0">
                  <c:v>8583.7999999999993</c:v>
                </c:pt>
                <c:pt idx="1">
                  <c:v>7798.2</c:v>
                </c:pt>
                <c:pt idx="2">
                  <c:v>8385.9</c:v>
                </c:pt>
                <c:pt idx="3">
                  <c:v>9103</c:v>
                </c:pt>
                <c:pt idx="4">
                  <c:v>10201.6</c:v>
                </c:pt>
              </c:numCache>
            </c:numRef>
          </c:val>
          <c:extLst>
            <c:ext xmlns:c16="http://schemas.microsoft.com/office/drawing/2014/chart" uri="{C3380CC4-5D6E-409C-BE32-E72D297353CC}">
              <c16:uniqueId val="{00000006-4C0E-4677-BB55-F62C76AFB637}"/>
            </c:ext>
          </c:extLst>
        </c:ser>
        <c:ser>
          <c:idx val="2"/>
          <c:order val="2"/>
          <c:tx>
            <c:strRef>
              <c:f>Лист1!$A$4:$B$4</c:f>
              <c:strCache>
                <c:ptCount val="2"/>
                <c:pt idx="0">
                  <c:v>Executat în perioada de gestiune</c:v>
                </c:pt>
              </c:strCache>
            </c:strRef>
          </c:tx>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Лист1!$C$1:$G$1</c:f>
              <c:numCache>
                <c:formatCode>General</c:formatCode>
                <c:ptCount val="5"/>
                <c:pt idx="0">
                  <c:v>2018</c:v>
                </c:pt>
                <c:pt idx="1">
                  <c:v>2019</c:v>
                </c:pt>
                <c:pt idx="2">
                  <c:v>2020</c:v>
                </c:pt>
                <c:pt idx="3">
                  <c:v>2021</c:v>
                </c:pt>
                <c:pt idx="4">
                  <c:v>2022</c:v>
                </c:pt>
              </c:numCache>
            </c:numRef>
          </c:cat>
          <c:val>
            <c:numRef>
              <c:f>Лист1!$C$4:$G$4</c:f>
              <c:numCache>
                <c:formatCode>General</c:formatCode>
                <c:ptCount val="5"/>
                <c:pt idx="0">
                  <c:v>6294.8</c:v>
                </c:pt>
                <c:pt idx="1">
                  <c:v>6785.8</c:v>
                </c:pt>
                <c:pt idx="2">
                  <c:v>7583.3</c:v>
                </c:pt>
                <c:pt idx="3">
                  <c:v>8428.9</c:v>
                </c:pt>
                <c:pt idx="4">
                  <c:v>9137.6</c:v>
                </c:pt>
              </c:numCache>
            </c:numRef>
          </c:val>
          <c:extLst>
            <c:ext xmlns:c16="http://schemas.microsoft.com/office/drawing/2014/chart" uri="{C3380CC4-5D6E-409C-BE32-E72D297353CC}">
              <c16:uniqueId val="{0000000B-4C0E-4677-BB55-F62C76AFB637}"/>
            </c:ext>
          </c:extLst>
        </c:ser>
        <c:ser>
          <c:idx val="3"/>
          <c:order val="3"/>
          <c:tx>
            <c:strRef>
              <c:f>Лист1!$A$5:$B$5</c:f>
              <c:strCache>
                <c:ptCount val="2"/>
                <c:pt idx="0">
                  <c:v>Cheltuieli efective</c:v>
                </c:pt>
              </c:strCache>
            </c:strRef>
          </c:tx>
          <c:spPr>
            <a:solidFill>
              <a:srgbClr val="0000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Лист1!$C$1:$G$1</c:f>
              <c:numCache>
                <c:formatCode>General</c:formatCode>
                <c:ptCount val="5"/>
                <c:pt idx="0">
                  <c:v>2018</c:v>
                </c:pt>
                <c:pt idx="1">
                  <c:v>2019</c:v>
                </c:pt>
                <c:pt idx="2">
                  <c:v>2020</c:v>
                </c:pt>
                <c:pt idx="3">
                  <c:v>2021</c:v>
                </c:pt>
                <c:pt idx="4">
                  <c:v>2022</c:v>
                </c:pt>
              </c:numCache>
            </c:numRef>
          </c:cat>
          <c:val>
            <c:numRef>
              <c:f>Лист1!$C$5:$G$5</c:f>
              <c:numCache>
                <c:formatCode>General</c:formatCode>
                <c:ptCount val="5"/>
                <c:pt idx="0">
                  <c:v>6312.3</c:v>
                </c:pt>
                <c:pt idx="1">
                  <c:v>7408.5</c:v>
                </c:pt>
                <c:pt idx="2">
                  <c:v>8315.6</c:v>
                </c:pt>
                <c:pt idx="3">
                  <c:v>9120.4</c:v>
                </c:pt>
                <c:pt idx="4">
                  <c:v>9251.4</c:v>
                </c:pt>
              </c:numCache>
            </c:numRef>
          </c:val>
          <c:extLst>
            <c:ext xmlns:c16="http://schemas.microsoft.com/office/drawing/2014/chart" uri="{C3380CC4-5D6E-409C-BE32-E72D297353CC}">
              <c16:uniqueId val="{0000000E-4C0E-4677-BB55-F62C76AFB637}"/>
            </c:ext>
          </c:extLst>
        </c:ser>
        <c:dLbls>
          <c:showLegendKey val="0"/>
          <c:showVal val="0"/>
          <c:showCatName val="0"/>
          <c:showSerName val="0"/>
          <c:showPercent val="0"/>
          <c:showBubbleSize val="0"/>
        </c:dLbls>
        <c:gapWidth val="150"/>
        <c:axId val="939061664"/>
        <c:axId val="939056672"/>
      </c:barChart>
      <c:catAx>
        <c:axId val="93906166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939056672"/>
        <c:crosses val="autoZero"/>
        <c:auto val="1"/>
        <c:lblAlgn val="ctr"/>
        <c:lblOffset val="100"/>
        <c:noMultiLvlLbl val="0"/>
      </c:catAx>
      <c:valAx>
        <c:axId val="93905667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39061664"/>
        <c:crosses val="autoZero"/>
        <c:crossBetween val="between"/>
      </c:valAx>
      <c:dTable>
        <c:showHorzBorder val="1"/>
        <c:showVertBorder val="1"/>
        <c:showOutline val="1"/>
        <c:showKeys val="1"/>
        <c:spPr>
          <a:noFill/>
          <a:ln w="9525" cap="flat" cmpd="sng" algn="ctr">
            <a:solidFill>
              <a:schemeClr val="dk1"/>
            </a:solidFill>
            <a:prstDash val="dash"/>
            <a:round/>
            <a:headEnd type="none" w="med" len="med"/>
            <a:tailEnd type="none" w="med" len="med"/>
          </a:ln>
          <a:effectLst/>
        </c:spPr>
        <c:txPr>
          <a:bodyPr rot="0" spcFirstLastPara="1" vertOverflow="ellipsis" vert="horz" wrap="square" anchor="ctr" anchorCtr="1"/>
          <a:lstStyle/>
          <a:p>
            <a:pPr rtl="0">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Table>
      <c:spPr>
        <a:solidFill>
          <a:schemeClr val="accent5">
            <a:lumMod val="20000"/>
            <a:lumOff val="80000"/>
          </a:schemeClr>
        </a:solidFill>
        <a:ln>
          <a:noFill/>
        </a:ln>
        <a:effectLst/>
      </c:spPr>
    </c:plotArea>
    <c:plotVisOnly val="1"/>
    <c:dispBlanksAs val="gap"/>
    <c:showDLblsOverMax val="0"/>
  </c:chart>
  <c:spPr>
    <a:noFill/>
    <a:ln>
      <a:solidFill>
        <a:sysClr val="windowText" lastClr="000000"/>
      </a:solidFill>
    </a:ln>
    <a:effectLst/>
  </c:spPr>
  <c:txPr>
    <a:bodyPr/>
    <a:lstStyle/>
    <a:p>
      <a:pPr>
        <a:defRPr b="1">
          <a:solidFill>
            <a:sysClr val="windowText" lastClr="000000"/>
          </a:solidFill>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o-MD" sz="1200" b="1">
                <a:solidFill>
                  <a:sysClr val="windowText" lastClr="000000"/>
                </a:solidFill>
                <a:latin typeface="Times New Roman" panose="02020603050405020304" pitchFamily="18" charset="0"/>
                <a:cs typeface="Times New Roman" panose="02020603050405020304" pitchFamily="18" charset="0"/>
              </a:rPr>
              <a:t>Ponderea valorii p</a:t>
            </a:r>
            <a:r>
              <a:rPr lang="en-US" sz="1200" b="1">
                <a:solidFill>
                  <a:sysClr val="windowText" lastClr="000000"/>
                </a:solidFill>
                <a:latin typeface="Times New Roman" panose="02020603050405020304" pitchFamily="18" charset="0"/>
                <a:cs typeface="Times New Roman" panose="02020603050405020304" pitchFamily="18" charset="0"/>
              </a:rPr>
              <a:t>roceduril</a:t>
            </a:r>
            <a:r>
              <a:rPr lang="ro-MD" sz="1200" b="1">
                <a:solidFill>
                  <a:sysClr val="windowText" lastClr="000000"/>
                </a:solidFill>
                <a:latin typeface="Times New Roman" panose="02020603050405020304" pitchFamily="18" charset="0"/>
                <a:cs typeface="Times New Roman" panose="02020603050405020304" pitchFamily="18" charset="0"/>
              </a:rPr>
              <a:t>or de achiziții publice de mărfuri și servicii desfășurate de CNPDCP în anii 2018-2022 (6.512,0 mii lei) </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2445867228823035"/>
          <c:y val="8.2508250825082501E-3"/>
        </c:manualLayout>
      </c:layout>
      <c:overlay val="0"/>
      <c:spPr>
        <a:noFill/>
        <a:ln>
          <a:noFill/>
        </a:ln>
        <a:effectLst/>
      </c:spPr>
      <c:txPr>
        <a:bodyPr rot="0" spcFirstLastPara="1" vertOverflow="ellipsis" vert="horz" wrap="square" anchor="ctr" anchorCtr="1"/>
        <a:lstStyle/>
        <a:p>
          <a:pPr algn="ct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8.1928725112144274E-2"/>
          <c:y val="0.21206450756155484"/>
          <c:w val="0.90260849600559379"/>
          <c:h val="0.52377632483439573"/>
        </c:manualLayout>
      </c:layout>
      <c:barChart>
        <c:barDir val="col"/>
        <c:grouping val="clustered"/>
        <c:varyColors val="0"/>
        <c:ser>
          <c:idx val="0"/>
          <c:order val="0"/>
          <c:tx>
            <c:strRef>
              <c:f>Лист2!$C$1</c:f>
              <c:strCache>
                <c:ptCount val="1"/>
                <c:pt idx="0">
                  <c:v>Valoarea achizițiilor (mii lei) </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Лист2!$A$2:$B$5</c:f>
              <c:strCache>
                <c:ptCount val="4"/>
                <c:pt idx="0">
                  <c:v>Contracte de achiziții de valoare mică</c:v>
                </c:pt>
                <c:pt idx="1">
                  <c:v>Negociere fără publicarea unui anunț</c:v>
                </c:pt>
                <c:pt idx="2">
                  <c:v>Acord-cadru</c:v>
                </c:pt>
                <c:pt idx="3">
                  <c:v>Cererea ofertelor de prețuri</c:v>
                </c:pt>
              </c:strCache>
            </c:strRef>
          </c:cat>
          <c:val>
            <c:numRef>
              <c:f>Лист2!$C$2:$C$5</c:f>
              <c:numCache>
                <c:formatCode>General</c:formatCode>
                <c:ptCount val="4"/>
                <c:pt idx="0">
                  <c:v>5385.4</c:v>
                </c:pt>
                <c:pt idx="1">
                  <c:v>984.7</c:v>
                </c:pt>
                <c:pt idx="2">
                  <c:v>96.8</c:v>
                </c:pt>
                <c:pt idx="3">
                  <c:v>45.1</c:v>
                </c:pt>
              </c:numCache>
            </c:numRef>
          </c:val>
          <c:extLst>
            <c:ext xmlns:c16="http://schemas.microsoft.com/office/drawing/2014/chart" uri="{C3380CC4-5D6E-409C-BE32-E72D297353CC}">
              <c16:uniqueId val="{00000000-7601-4C1C-BF22-F409B0A9E67B}"/>
            </c:ext>
          </c:extLst>
        </c:ser>
        <c:dLbls>
          <c:showLegendKey val="0"/>
          <c:showVal val="0"/>
          <c:showCatName val="0"/>
          <c:showSerName val="0"/>
          <c:showPercent val="0"/>
          <c:showBubbleSize val="0"/>
        </c:dLbls>
        <c:gapWidth val="150"/>
        <c:axId val="608603184"/>
        <c:axId val="608604848"/>
      </c:barChart>
      <c:lineChart>
        <c:grouping val="standard"/>
        <c:varyColors val="0"/>
        <c:ser>
          <c:idx val="1"/>
          <c:order val="1"/>
          <c:tx>
            <c:strRef>
              <c:f>Лист2!$D$1</c:f>
              <c:strCache>
                <c:ptCount val="1"/>
                <c:pt idx="0">
                  <c:v>Numărul de contracte încheiate (unități)</c:v>
                </c:pt>
              </c:strCache>
            </c:strRef>
          </c:tx>
          <c:spPr>
            <a:ln w="28575" cap="rnd">
              <a:solidFill>
                <a:srgbClr val="002060"/>
              </a:solidFill>
              <a:round/>
            </a:ln>
            <a:effectLst/>
          </c:spPr>
          <c:marker>
            <c:symbol val="none"/>
          </c:marker>
          <c:dLbls>
            <c:dLbl>
              <c:idx val="0"/>
              <c:layout>
                <c:manualLayout>
                  <c:x val="-8.3333333333333332E-3"/>
                  <c:y val="-2.7777777777777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01-4C1C-BF22-F409B0A9E67B}"/>
                </c:ext>
              </c:extLst>
            </c:dLbl>
            <c:dLbl>
              <c:idx val="1"/>
              <c:layout>
                <c:manualLayout>
                  <c:x val="-1.2499999999999999E-2"/>
                  <c:y val="-2.3147965879265091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2.5222222222222222E-2"/>
                      <c:h val="6.3194444444444442E-2"/>
                    </c:manualLayout>
                  </c15:layout>
                </c:ext>
                <c:ext xmlns:c16="http://schemas.microsoft.com/office/drawing/2014/chart" uri="{C3380CC4-5D6E-409C-BE32-E72D297353CC}">
                  <c16:uniqueId val="{00000002-7601-4C1C-BF22-F409B0A9E67B}"/>
                </c:ext>
              </c:extLst>
            </c:dLbl>
            <c:dLbl>
              <c:idx val="2"/>
              <c:layout>
                <c:manualLayout>
                  <c:x val="-2.7777777777777779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01-4C1C-BF22-F409B0A9E67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Лист2!$A$2:$B$5</c:f>
              <c:strCache>
                <c:ptCount val="4"/>
                <c:pt idx="0">
                  <c:v>Contracte de achiziții de valoare mică</c:v>
                </c:pt>
                <c:pt idx="1">
                  <c:v>Negociere fără publicarea unui anunț</c:v>
                </c:pt>
                <c:pt idx="2">
                  <c:v>Acord-cadru</c:v>
                </c:pt>
                <c:pt idx="3">
                  <c:v>Cererea ofertelor de prețuri</c:v>
                </c:pt>
              </c:strCache>
            </c:strRef>
          </c:cat>
          <c:val>
            <c:numRef>
              <c:f>Лист2!$D$2:$D$5</c:f>
              <c:numCache>
                <c:formatCode>General</c:formatCode>
                <c:ptCount val="4"/>
                <c:pt idx="0">
                  <c:v>194</c:v>
                </c:pt>
                <c:pt idx="1">
                  <c:v>4</c:v>
                </c:pt>
                <c:pt idx="2">
                  <c:v>1</c:v>
                </c:pt>
                <c:pt idx="3">
                  <c:v>1</c:v>
                </c:pt>
              </c:numCache>
            </c:numRef>
          </c:val>
          <c:smooth val="0"/>
          <c:extLst>
            <c:ext xmlns:c16="http://schemas.microsoft.com/office/drawing/2014/chart" uri="{C3380CC4-5D6E-409C-BE32-E72D297353CC}">
              <c16:uniqueId val="{00000004-7601-4C1C-BF22-F409B0A9E67B}"/>
            </c:ext>
          </c:extLst>
        </c:ser>
        <c:dLbls>
          <c:showLegendKey val="0"/>
          <c:showVal val="0"/>
          <c:showCatName val="0"/>
          <c:showSerName val="0"/>
          <c:showPercent val="0"/>
          <c:showBubbleSize val="0"/>
        </c:dLbls>
        <c:marker val="1"/>
        <c:smooth val="0"/>
        <c:axId val="608603184"/>
        <c:axId val="608604848"/>
      </c:lineChart>
      <c:catAx>
        <c:axId val="60860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08604848"/>
        <c:crosses val="autoZero"/>
        <c:auto val="1"/>
        <c:lblAlgn val="ctr"/>
        <c:lblOffset val="100"/>
        <c:noMultiLvlLbl val="0"/>
      </c:catAx>
      <c:valAx>
        <c:axId val="608604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08603184"/>
        <c:crosses val="autoZero"/>
        <c:crossBetween val="between"/>
      </c:valAx>
      <c:spPr>
        <a:solidFill>
          <a:srgbClr val="00B0F0"/>
        </a:solid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2700"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D0753-E6F7-4C9C-9F8B-CD8A93D0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25960</Words>
  <Characters>147978</Characters>
  <Application>Microsoft Office Word</Application>
  <DocSecurity>0</DocSecurity>
  <Lines>1233</Lines>
  <Paragraphs>347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Frunze</dc:creator>
  <cp:keywords/>
  <dc:description/>
  <cp:lastModifiedBy>Paiu Eugenia</cp:lastModifiedBy>
  <cp:revision>2</cp:revision>
  <cp:lastPrinted>2024-02-05T12:06:00Z</cp:lastPrinted>
  <dcterms:created xsi:type="dcterms:W3CDTF">2024-02-05T13:28:00Z</dcterms:created>
  <dcterms:modified xsi:type="dcterms:W3CDTF">2024-02-05T13:28:00Z</dcterms:modified>
</cp:coreProperties>
</file>