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79801" w14:textId="4CA461EE" w:rsidR="00165BB4" w:rsidRPr="00B77294" w:rsidRDefault="00165BB4" w:rsidP="0054622A">
      <w:pPr>
        <w:pStyle w:val="cn"/>
        <w:spacing w:line="276" w:lineRule="auto"/>
        <w:jc w:val="left"/>
        <w:rPr>
          <w:b/>
          <w:bCs/>
          <w:lang w:val="ru-MD"/>
        </w:rPr>
      </w:pPr>
      <w:bookmarkStart w:id="0" w:name="_GoBack"/>
      <w:bookmarkEnd w:id="0"/>
      <w:r w:rsidRPr="00B77294">
        <w:rPr>
          <w:noProof/>
          <w:lang w:val="ru-RU" w:eastAsia="ru-RU"/>
        </w:rPr>
        <w:drawing>
          <wp:anchor distT="0" distB="0" distL="114300" distR="114300" simplePos="0" relativeHeight="251658240" behindDoc="0" locked="0" layoutInCell="1" allowOverlap="1" wp14:anchorId="2D49EDAD" wp14:editId="2368361F">
            <wp:simplePos x="0" y="0"/>
            <wp:positionH relativeFrom="column">
              <wp:posOffset>2784426</wp:posOffset>
            </wp:positionH>
            <wp:positionV relativeFrom="paragraph">
              <wp:posOffset>488</wp:posOffset>
            </wp:positionV>
            <wp:extent cx="628650" cy="704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04850"/>
                    </a:xfrm>
                    <a:prstGeom prst="rect">
                      <a:avLst/>
                    </a:prstGeom>
                    <a:noFill/>
                    <a:ln>
                      <a:noFill/>
                    </a:ln>
                  </pic:spPr>
                </pic:pic>
              </a:graphicData>
            </a:graphic>
          </wp:anchor>
        </w:drawing>
      </w:r>
      <w:r w:rsidR="003B57E4" w:rsidRPr="00B77294">
        <w:rPr>
          <w:lang w:val="ru-MD"/>
        </w:rPr>
        <w:br w:type="textWrapping" w:clear="all"/>
      </w:r>
    </w:p>
    <w:p w14:paraId="01DBFAFD" w14:textId="77777777" w:rsidR="0036416C" w:rsidRPr="00B77294" w:rsidRDefault="0036416C" w:rsidP="0036416C">
      <w:pPr>
        <w:pStyle w:val="cn"/>
        <w:jc w:val="right"/>
        <w:rPr>
          <w:rFonts w:asciiTheme="majorBidi" w:hAnsiTheme="majorBidi" w:cstheme="majorBidi"/>
          <w:b/>
          <w:u w:val="single"/>
          <w:lang w:val="ru-MD"/>
        </w:rPr>
      </w:pPr>
      <w:r w:rsidRPr="00B77294">
        <w:rPr>
          <w:rFonts w:asciiTheme="majorBidi" w:hAnsiTheme="majorBidi" w:cstheme="majorBidi"/>
          <w:b/>
          <w:u w:val="single"/>
          <w:lang w:val="ru-MD"/>
        </w:rPr>
        <w:t>ПЕРЕВОД</w:t>
      </w:r>
    </w:p>
    <w:p w14:paraId="6F386D6F" w14:textId="77777777" w:rsidR="0036416C" w:rsidRPr="00B77294" w:rsidRDefault="0036416C" w:rsidP="0036416C">
      <w:pPr>
        <w:pStyle w:val="cn"/>
        <w:rPr>
          <w:rFonts w:asciiTheme="majorBidi" w:hAnsiTheme="majorBidi" w:cstheme="majorBidi"/>
          <w:b/>
          <w:u w:val="single"/>
          <w:lang w:val="ru-MD"/>
        </w:rPr>
      </w:pPr>
    </w:p>
    <w:p w14:paraId="62CB3E00" w14:textId="77777777" w:rsidR="0036416C" w:rsidRPr="00B77294" w:rsidRDefault="0036416C" w:rsidP="0036416C">
      <w:pPr>
        <w:pStyle w:val="cn"/>
        <w:rPr>
          <w:rFonts w:asciiTheme="majorBidi" w:hAnsiTheme="majorBidi" w:cstheme="majorBidi"/>
          <w:bCs/>
          <w:sz w:val="32"/>
          <w:szCs w:val="32"/>
          <w:lang w:val="ru-MD"/>
        </w:rPr>
      </w:pPr>
      <w:r w:rsidRPr="00B77294">
        <w:rPr>
          <w:rFonts w:asciiTheme="majorBidi" w:hAnsiTheme="majorBidi" w:cstheme="majorBidi"/>
          <w:bCs/>
          <w:sz w:val="32"/>
          <w:szCs w:val="32"/>
          <w:lang w:val="ru-MD"/>
        </w:rPr>
        <w:t>СЧЕТНАЯ ПАЛАТА РЕСПУБЛИКИ МОЛДОВА</w:t>
      </w:r>
    </w:p>
    <w:p w14:paraId="2A166E87" w14:textId="77777777" w:rsidR="0036416C" w:rsidRPr="00B77294" w:rsidRDefault="0036416C" w:rsidP="0036416C">
      <w:pPr>
        <w:pStyle w:val="cn"/>
        <w:rPr>
          <w:rFonts w:asciiTheme="majorBidi" w:hAnsiTheme="majorBidi" w:cstheme="majorBidi"/>
          <w:bCs/>
          <w:lang w:val="ru-MD"/>
        </w:rPr>
      </w:pPr>
    </w:p>
    <w:p w14:paraId="399AF36E" w14:textId="61B13C9B" w:rsidR="0036416C" w:rsidRPr="00B77294" w:rsidRDefault="0036416C" w:rsidP="0036416C">
      <w:pPr>
        <w:pStyle w:val="cn"/>
        <w:rPr>
          <w:rFonts w:asciiTheme="majorBidi" w:hAnsiTheme="majorBidi" w:cstheme="majorBidi"/>
          <w:b/>
          <w:bCs/>
          <w:lang w:val="ru-MD"/>
        </w:rPr>
      </w:pPr>
      <w:r w:rsidRPr="00B77294">
        <w:rPr>
          <w:rFonts w:asciiTheme="majorBidi" w:hAnsiTheme="majorBidi" w:cstheme="majorBidi"/>
          <w:b/>
          <w:bCs/>
          <w:lang w:val="ru-MD"/>
        </w:rPr>
        <w:t>П О С Т А Н О В Л Е Н И Е №2</w:t>
      </w:r>
    </w:p>
    <w:p w14:paraId="08799A42" w14:textId="310C1C1A" w:rsidR="0036416C" w:rsidRPr="00B77294" w:rsidRDefault="0036416C" w:rsidP="0036416C">
      <w:pPr>
        <w:pStyle w:val="cn"/>
        <w:rPr>
          <w:rFonts w:asciiTheme="majorBidi" w:hAnsiTheme="majorBidi" w:cstheme="majorBidi"/>
          <w:bCs/>
          <w:lang w:val="ru-MD"/>
        </w:rPr>
      </w:pPr>
      <w:r w:rsidRPr="00B77294">
        <w:rPr>
          <w:rFonts w:asciiTheme="majorBidi" w:hAnsiTheme="majorBidi" w:cstheme="majorBidi"/>
          <w:bCs/>
          <w:lang w:val="ru-MD"/>
        </w:rPr>
        <w:t>от 30 января 2024 года</w:t>
      </w:r>
    </w:p>
    <w:p w14:paraId="594DC4BF" w14:textId="77777777" w:rsidR="0036416C" w:rsidRPr="00B77294" w:rsidRDefault="0036416C" w:rsidP="0054622A">
      <w:pPr>
        <w:pStyle w:val="cn"/>
        <w:spacing w:line="276" w:lineRule="auto"/>
        <w:jc w:val="left"/>
        <w:rPr>
          <w:b/>
          <w:bCs/>
          <w:lang w:val="ru-MD"/>
        </w:rPr>
      </w:pPr>
    </w:p>
    <w:p w14:paraId="3E6CF0BE" w14:textId="437E494C" w:rsidR="0036416C" w:rsidRPr="00B77294" w:rsidRDefault="0036416C" w:rsidP="00165BB4">
      <w:pPr>
        <w:spacing w:after="0" w:line="276" w:lineRule="auto"/>
        <w:jc w:val="center"/>
        <w:rPr>
          <w:rFonts w:eastAsia="Times New Roman"/>
          <w:b/>
          <w:bCs/>
          <w:color w:val="auto"/>
          <w:sz w:val="24"/>
          <w:szCs w:val="24"/>
          <w:lang w:val="ru-MD" w:eastAsia="ru-RU"/>
        </w:rPr>
      </w:pPr>
      <w:r w:rsidRPr="00B77294">
        <w:rPr>
          <w:rFonts w:eastAsia="Times New Roman"/>
          <w:b/>
          <w:bCs/>
          <w:color w:val="auto"/>
          <w:sz w:val="24"/>
          <w:szCs w:val="24"/>
          <w:lang w:val="ru-MD" w:eastAsia="ru-RU"/>
        </w:rPr>
        <w:t xml:space="preserve">по Отчету аудита соответствия деятельности Национального </w:t>
      </w:r>
      <w:r w:rsidR="00B77294">
        <w:rPr>
          <w:rFonts w:eastAsia="Times New Roman"/>
          <w:b/>
          <w:bCs/>
          <w:color w:val="auto"/>
          <w:sz w:val="24"/>
          <w:szCs w:val="24"/>
          <w:lang w:val="ru-MD" w:eastAsia="ru-RU"/>
        </w:rPr>
        <w:t>консилиума по установлению</w:t>
      </w:r>
      <w:r w:rsidRPr="00B77294">
        <w:rPr>
          <w:rFonts w:eastAsia="Times New Roman"/>
          <w:b/>
          <w:bCs/>
          <w:color w:val="auto"/>
          <w:sz w:val="24"/>
          <w:szCs w:val="24"/>
          <w:lang w:val="ru-MD" w:eastAsia="ru-RU"/>
        </w:rPr>
        <w:t xml:space="preserve"> ограничения возможностей и трудоспособности </w:t>
      </w:r>
    </w:p>
    <w:p w14:paraId="16926DE8" w14:textId="77777777" w:rsidR="00165BB4" w:rsidRPr="00B77294" w:rsidRDefault="00165BB4" w:rsidP="00165BB4">
      <w:pPr>
        <w:spacing w:after="0" w:line="276" w:lineRule="auto"/>
        <w:jc w:val="both"/>
        <w:rPr>
          <w:color w:val="auto"/>
          <w:sz w:val="24"/>
          <w:szCs w:val="24"/>
          <w:lang w:val="ru-MD"/>
        </w:rPr>
      </w:pPr>
    </w:p>
    <w:p w14:paraId="3723D320" w14:textId="0CD2713C" w:rsidR="006B73E9" w:rsidRPr="00B77294" w:rsidRDefault="0063187B" w:rsidP="006B73E9">
      <w:pPr>
        <w:spacing w:after="0" w:line="276" w:lineRule="auto"/>
        <w:ind w:firstLine="720"/>
        <w:jc w:val="both"/>
        <w:rPr>
          <w:color w:val="auto"/>
          <w:sz w:val="24"/>
          <w:szCs w:val="24"/>
          <w:lang w:val="ru-MD"/>
        </w:rPr>
      </w:pPr>
      <w:r w:rsidRPr="00B77294">
        <w:rPr>
          <w:color w:val="auto"/>
          <w:sz w:val="24"/>
          <w:szCs w:val="24"/>
          <w:lang w:val="ru-MD"/>
        </w:rPr>
        <w:t xml:space="preserve">Счетная палата, в присутствии г-на Алексея Бузу, министра Труда и социальной защиты; г-жи Стелы Пынзару, временно исполняющей обязанности директора Национального </w:t>
      </w:r>
      <w:r w:rsidR="00B77294">
        <w:rPr>
          <w:color w:val="auto"/>
          <w:sz w:val="24"/>
          <w:szCs w:val="24"/>
          <w:lang w:val="ru-MD"/>
        </w:rPr>
        <w:t>консилиума по установлению</w:t>
      </w:r>
      <w:r w:rsidRPr="00B77294">
        <w:rPr>
          <w:color w:val="auto"/>
          <w:sz w:val="24"/>
          <w:szCs w:val="24"/>
          <w:lang w:val="ru-MD"/>
        </w:rPr>
        <w:t xml:space="preserve"> ограничения возможностей и трудоспособности; г-жи Кристины Стойков, начальника Отдела бухгалтерского учета и планирования Национального </w:t>
      </w:r>
      <w:r w:rsidR="00B77294">
        <w:rPr>
          <w:color w:val="auto"/>
          <w:sz w:val="24"/>
          <w:szCs w:val="24"/>
          <w:lang w:val="ru-MD"/>
        </w:rPr>
        <w:t>консилиума по установлению</w:t>
      </w:r>
      <w:r w:rsidRPr="00B77294">
        <w:rPr>
          <w:color w:val="auto"/>
          <w:sz w:val="24"/>
          <w:szCs w:val="24"/>
          <w:lang w:val="ru-MD"/>
        </w:rPr>
        <w:t xml:space="preserve"> ограничения возможностей и трудоспособности; г-на Юрия Анточь, заместителя начальника Департамента регистрации транспортных средств и квалификации водителей Агентства публичных услуг; г-на Юрия Степанюка, начальника Управления таможенных доходов Таможенной службы; г-на Дмитрия Ницулеак, начальника Управления косвенных налогов и таможенного регулирования Главного управления налоговой и таможенной политики Министерства финансов; г-жи Корины Алекса, начальника Главного управления налоговой и таможенной политики Министерства финансов</w:t>
      </w:r>
      <w:r w:rsidR="006B73E9" w:rsidRPr="00B77294">
        <w:rPr>
          <w:color w:val="auto"/>
          <w:sz w:val="24"/>
          <w:szCs w:val="24"/>
          <w:lang w:val="ru-MD"/>
        </w:rPr>
        <w:t xml:space="preserve">, </w:t>
      </w:r>
      <w:r w:rsidRPr="00B77294">
        <w:rPr>
          <w:color w:val="auto"/>
          <w:sz w:val="24"/>
          <w:szCs w:val="24"/>
          <w:lang w:val="ru-MD"/>
        </w:rPr>
        <w:t>а также других ответственных лиц, в рамках видеозаседания, руководствуясь ст.3 (1) и ст.5 (1) a) Закона об организации и функционировании Счетной палаты Республики Молдова</w:t>
      </w:r>
      <w:r w:rsidRPr="00B77294">
        <w:rPr>
          <w:color w:val="auto"/>
          <w:sz w:val="24"/>
          <w:szCs w:val="24"/>
          <w:vertAlign w:val="superscript"/>
          <w:lang w:val="ru-MD"/>
        </w:rPr>
        <w:footnoteReference w:id="1"/>
      </w:r>
      <w:r w:rsidRPr="00B77294">
        <w:rPr>
          <w:color w:val="auto"/>
          <w:sz w:val="24"/>
          <w:szCs w:val="24"/>
          <w:lang w:val="ru-MD"/>
        </w:rPr>
        <w:t xml:space="preserve">, рассмотрела Отчет аудита соответствия </w:t>
      </w:r>
      <w:r w:rsidR="008F5692" w:rsidRPr="00B77294">
        <w:rPr>
          <w:color w:val="auto"/>
          <w:sz w:val="24"/>
          <w:szCs w:val="24"/>
          <w:lang w:val="ru-MD"/>
        </w:rPr>
        <w:t xml:space="preserve">деятельности Национального консилиума по </w:t>
      </w:r>
      <w:r w:rsidR="00475BDB" w:rsidRPr="00B77294">
        <w:rPr>
          <w:color w:val="auto"/>
          <w:sz w:val="24"/>
          <w:szCs w:val="24"/>
          <w:lang w:val="ru-MD"/>
        </w:rPr>
        <w:t>установ</w:t>
      </w:r>
      <w:r w:rsidR="008F5692" w:rsidRPr="00B77294">
        <w:rPr>
          <w:color w:val="auto"/>
          <w:sz w:val="24"/>
          <w:szCs w:val="24"/>
          <w:lang w:val="ru-MD"/>
        </w:rPr>
        <w:t>лению ограничения возможностей и трудоспособности</w:t>
      </w:r>
      <w:r w:rsidR="006B73E9" w:rsidRPr="00B77294">
        <w:rPr>
          <w:color w:val="auto"/>
          <w:sz w:val="24"/>
          <w:szCs w:val="24"/>
          <w:lang w:val="ru-MD"/>
        </w:rPr>
        <w:t xml:space="preserve">. </w:t>
      </w:r>
    </w:p>
    <w:p w14:paraId="29620D17" w14:textId="37E019FF" w:rsidR="00DC7BE9" w:rsidRPr="00B77294" w:rsidRDefault="00B93BF6" w:rsidP="006B73E9">
      <w:pPr>
        <w:spacing w:after="0" w:line="276" w:lineRule="auto"/>
        <w:ind w:firstLine="720"/>
        <w:jc w:val="both"/>
        <w:rPr>
          <w:rFonts w:eastAsia="Times New Roman"/>
          <w:color w:val="auto"/>
          <w:sz w:val="24"/>
          <w:szCs w:val="24"/>
          <w:lang w:val="ru-MD"/>
        </w:rPr>
      </w:pPr>
      <w:r w:rsidRPr="00B77294">
        <w:rPr>
          <w:rFonts w:asciiTheme="majorBidi" w:eastAsia="Times New Roman" w:hAnsiTheme="majorBidi" w:cstheme="majorBidi"/>
          <w:color w:val="auto"/>
          <w:sz w:val="24"/>
          <w:szCs w:val="24"/>
          <w:lang w:val="ru-MD"/>
        </w:rPr>
        <w:t xml:space="preserve">Миссия внешнего публичного аудита была проведена в соответствии с Программами аудиторской деятельности Счетной палаты на 2023 - </w:t>
      </w:r>
      <w:r w:rsidRPr="00B77294">
        <w:rPr>
          <w:rFonts w:asciiTheme="majorBidi" w:hAnsiTheme="majorBidi" w:cstheme="majorBidi"/>
          <w:color w:val="auto"/>
          <w:sz w:val="24"/>
          <w:szCs w:val="24"/>
          <w:lang w:val="ru-MD"/>
        </w:rPr>
        <w:t>2024 годы</w:t>
      </w:r>
      <w:r w:rsidRPr="00B77294">
        <w:rPr>
          <w:rFonts w:asciiTheme="majorBidi" w:eastAsia="Times New Roman" w:hAnsiTheme="majorBidi" w:cstheme="majorBidi"/>
          <w:color w:val="auto"/>
          <w:sz w:val="24"/>
          <w:szCs w:val="24"/>
          <w:vertAlign w:val="superscript"/>
          <w:lang w:val="ru-MD"/>
        </w:rPr>
        <w:footnoteReference w:id="2"/>
      </w:r>
      <w:r w:rsidRPr="00B77294">
        <w:rPr>
          <w:rFonts w:asciiTheme="majorBidi" w:eastAsia="Times New Roman" w:hAnsiTheme="majorBidi" w:cstheme="majorBidi"/>
          <w:color w:val="auto"/>
          <w:sz w:val="24"/>
          <w:szCs w:val="24"/>
          <w:lang w:val="ru-MD"/>
        </w:rPr>
        <w:t xml:space="preserve">, с целью оценки соответствия </w:t>
      </w:r>
      <w:r w:rsidR="006C265E" w:rsidRPr="00B77294">
        <w:rPr>
          <w:rFonts w:asciiTheme="majorBidi" w:eastAsia="Times New Roman" w:hAnsiTheme="majorBidi" w:cstheme="majorBidi"/>
          <w:color w:val="auto"/>
          <w:sz w:val="24"/>
          <w:szCs w:val="24"/>
          <w:lang w:val="ru-MD"/>
        </w:rPr>
        <w:t xml:space="preserve">применения и реализации государственной политики по определению ограничения возможностей и социальной интеграции публичными учреждениями с полномочиями в этой области, а также правильности использования  выделенных ресурсов на обеспечение деятельности Национального </w:t>
      </w:r>
      <w:r w:rsidR="00B77294">
        <w:rPr>
          <w:rFonts w:asciiTheme="majorBidi" w:eastAsia="Times New Roman" w:hAnsiTheme="majorBidi" w:cstheme="majorBidi"/>
          <w:color w:val="auto"/>
          <w:sz w:val="24"/>
          <w:szCs w:val="24"/>
          <w:lang w:val="ru-MD"/>
        </w:rPr>
        <w:t>консилиума по установлению</w:t>
      </w:r>
      <w:r w:rsidR="006C265E" w:rsidRPr="00B77294">
        <w:rPr>
          <w:rFonts w:asciiTheme="majorBidi" w:eastAsia="Times New Roman" w:hAnsiTheme="majorBidi" w:cstheme="majorBidi"/>
          <w:color w:val="auto"/>
          <w:sz w:val="24"/>
          <w:szCs w:val="24"/>
          <w:lang w:val="ru-MD"/>
        </w:rPr>
        <w:t xml:space="preserve"> ограничения возможностей и трудоспособности</w:t>
      </w:r>
      <w:r w:rsidR="00422988" w:rsidRPr="00B77294">
        <w:rPr>
          <w:rFonts w:eastAsia="Times New Roman"/>
          <w:color w:val="auto"/>
          <w:sz w:val="24"/>
          <w:szCs w:val="24"/>
          <w:lang w:val="ru-MD"/>
        </w:rPr>
        <w:t>.</w:t>
      </w:r>
      <w:r w:rsidR="00DC7BE9" w:rsidRPr="00B77294">
        <w:rPr>
          <w:rFonts w:eastAsia="Times New Roman"/>
          <w:color w:val="auto"/>
          <w:sz w:val="24"/>
          <w:szCs w:val="24"/>
          <w:lang w:val="ru-MD"/>
        </w:rPr>
        <w:t xml:space="preserve"> </w:t>
      </w:r>
    </w:p>
    <w:p w14:paraId="491442F3" w14:textId="37542140" w:rsidR="00165BB4" w:rsidRPr="00B77294" w:rsidRDefault="006C265E" w:rsidP="008F1630">
      <w:pPr>
        <w:shd w:val="clear" w:color="auto" w:fill="FFFFFF"/>
        <w:spacing w:after="0" w:line="276" w:lineRule="auto"/>
        <w:ind w:firstLine="720"/>
        <w:jc w:val="both"/>
        <w:rPr>
          <w:rFonts w:eastAsia="Times New Roman"/>
          <w:color w:val="auto"/>
          <w:sz w:val="24"/>
          <w:szCs w:val="24"/>
          <w:lang w:val="ru-MD"/>
        </w:rPr>
      </w:pPr>
      <w:r w:rsidRPr="00B77294">
        <w:rPr>
          <w:rFonts w:eastAsia="Times New Roman"/>
          <w:color w:val="auto"/>
          <w:sz w:val="24"/>
          <w:szCs w:val="24"/>
          <w:lang w:val="ru-MD"/>
        </w:rPr>
        <w:t>Внешний публичный аудит был запланирован и проведен в соответствии с Международными стандартами Высших органов аудита, применяемыми Счетной Палатой, в частности, ISSAI 100, ISSAI 400 и ISSAI 4000</w:t>
      </w:r>
      <w:r w:rsidRPr="00B77294">
        <w:rPr>
          <w:rFonts w:eastAsia="Times New Roman"/>
          <w:color w:val="auto"/>
          <w:sz w:val="24"/>
          <w:szCs w:val="24"/>
          <w:vertAlign w:val="superscript"/>
          <w:lang w:val="ru-MD"/>
        </w:rPr>
        <w:footnoteReference w:id="3"/>
      </w:r>
      <w:r w:rsidR="00165BB4" w:rsidRPr="00B77294">
        <w:rPr>
          <w:rFonts w:eastAsia="Times New Roman"/>
          <w:color w:val="auto"/>
          <w:sz w:val="24"/>
          <w:szCs w:val="24"/>
          <w:lang w:val="ru-MD"/>
        </w:rPr>
        <w:t xml:space="preserve">. </w:t>
      </w:r>
    </w:p>
    <w:p w14:paraId="49A8A56E" w14:textId="77777777" w:rsidR="006C265E" w:rsidRPr="00B77294" w:rsidRDefault="006C265E" w:rsidP="006C265E">
      <w:pPr>
        <w:tabs>
          <w:tab w:val="left" w:pos="5310"/>
        </w:tabs>
        <w:spacing w:after="120" w:line="276" w:lineRule="auto"/>
        <w:ind w:firstLine="720"/>
        <w:rPr>
          <w:rFonts w:eastAsia="Times New Roman"/>
          <w:color w:val="auto"/>
          <w:sz w:val="24"/>
          <w:szCs w:val="24"/>
          <w:lang w:val="ru-MD"/>
        </w:rPr>
      </w:pPr>
      <w:r w:rsidRPr="00B77294">
        <w:rPr>
          <w:rFonts w:eastAsia="Times New Roman"/>
          <w:color w:val="auto"/>
          <w:sz w:val="24"/>
          <w:szCs w:val="24"/>
          <w:lang w:val="ru-MD"/>
        </w:rPr>
        <w:t>Рассмотрев Отчет аудита, Счетная палата</w:t>
      </w:r>
    </w:p>
    <w:p w14:paraId="27B412B6" w14:textId="10122760" w:rsidR="00165BB4" w:rsidRPr="00B77294" w:rsidRDefault="006C265E" w:rsidP="006C265E">
      <w:pPr>
        <w:tabs>
          <w:tab w:val="left" w:pos="5310"/>
        </w:tabs>
        <w:spacing w:after="120" w:line="276" w:lineRule="auto"/>
        <w:jc w:val="center"/>
        <w:rPr>
          <w:rFonts w:eastAsia="Times New Roman"/>
          <w:b/>
          <w:bCs/>
          <w:color w:val="auto"/>
          <w:sz w:val="24"/>
          <w:szCs w:val="24"/>
          <w:lang w:val="ru-MD"/>
        </w:rPr>
      </w:pPr>
      <w:r w:rsidRPr="00B77294">
        <w:rPr>
          <w:rFonts w:eastAsia="Times New Roman"/>
          <w:color w:val="auto"/>
          <w:sz w:val="24"/>
          <w:szCs w:val="24"/>
          <w:lang w:val="ru-MD"/>
        </w:rPr>
        <w:t xml:space="preserve">   </w:t>
      </w:r>
      <w:r w:rsidRPr="00B77294">
        <w:rPr>
          <w:rFonts w:eastAsia="Times New Roman"/>
          <w:b/>
          <w:bCs/>
          <w:color w:val="auto"/>
          <w:sz w:val="24"/>
          <w:szCs w:val="24"/>
          <w:lang w:val="ru-MD"/>
        </w:rPr>
        <w:t>УСТАНОВИЛА</w:t>
      </w:r>
      <w:r w:rsidR="00165BB4" w:rsidRPr="00B77294">
        <w:rPr>
          <w:rFonts w:eastAsia="Times New Roman"/>
          <w:b/>
          <w:bCs/>
          <w:color w:val="auto"/>
          <w:sz w:val="24"/>
          <w:szCs w:val="24"/>
          <w:lang w:val="ru-MD"/>
        </w:rPr>
        <w:t>:</w:t>
      </w:r>
    </w:p>
    <w:p w14:paraId="0561A25C" w14:textId="468D01E0" w:rsidR="00DF12FA" w:rsidRPr="00B77294" w:rsidRDefault="009F0C30" w:rsidP="00E30DB3">
      <w:pPr>
        <w:spacing w:after="0" w:line="276" w:lineRule="auto"/>
        <w:ind w:firstLine="720"/>
        <w:jc w:val="both"/>
        <w:rPr>
          <w:rFonts w:eastAsia="Times New Roman"/>
          <w:color w:val="auto"/>
          <w:sz w:val="24"/>
          <w:szCs w:val="24"/>
          <w:lang w:val="ru-MD"/>
        </w:rPr>
      </w:pPr>
      <w:r w:rsidRPr="00B77294">
        <w:rPr>
          <w:rFonts w:eastAsia="Times New Roman"/>
          <w:b/>
          <w:i/>
          <w:color w:val="auto"/>
          <w:sz w:val="24"/>
          <w:szCs w:val="24"/>
          <w:lang w:val="ru-MD"/>
        </w:rPr>
        <w:lastRenderedPageBreak/>
        <w:t xml:space="preserve">Национальный консилиум по установлению ограничения возможностей и трудоспособности </w:t>
      </w:r>
      <w:r w:rsidRPr="00B77294">
        <w:rPr>
          <w:rFonts w:eastAsia="Times New Roman"/>
          <w:color w:val="auto"/>
          <w:sz w:val="24"/>
          <w:szCs w:val="24"/>
          <w:lang w:val="ru-MD"/>
        </w:rPr>
        <w:t xml:space="preserve">является единственным учреждением, наделенным полномочиями в области установления степени ограничения возможностей, миссия которого заключается в обеспечении осуществления положений нормативных актов по установлению степени ограничения возможностей, а также в содействии социальной интеграции лиц с ограниченными возможностями. Для обеспечения реализации этих процессов и мероприятий </w:t>
      </w:r>
      <w:r w:rsidR="00F8538B" w:rsidRPr="00B77294">
        <w:rPr>
          <w:rFonts w:eastAsia="Times New Roman"/>
          <w:color w:val="auto"/>
          <w:sz w:val="24"/>
          <w:szCs w:val="24"/>
          <w:lang w:val="ru-MD"/>
        </w:rPr>
        <w:t>задействованы и другие публичные учреждения, такие как: Территориальные органы социального обеспечения (35 органов), Таможенная служба, Агентство публичных услуг, Национальный инспекторат Пограничной полиции, Национальный инспекторат патрулирования, Национальный банк Молдовы и др</w:t>
      </w:r>
      <w:r w:rsidR="00422988" w:rsidRPr="00B77294">
        <w:rPr>
          <w:rFonts w:eastAsia="Times New Roman"/>
          <w:color w:val="auto"/>
          <w:sz w:val="24"/>
          <w:szCs w:val="24"/>
          <w:lang w:val="ru-MD"/>
        </w:rPr>
        <w:t>.</w:t>
      </w:r>
      <w:r w:rsidR="00DF12FA" w:rsidRPr="00B77294">
        <w:rPr>
          <w:rFonts w:eastAsia="Times New Roman"/>
          <w:color w:val="auto"/>
          <w:sz w:val="24"/>
          <w:szCs w:val="24"/>
          <w:lang w:val="ru-MD"/>
        </w:rPr>
        <w:t xml:space="preserve">                                                                                    </w:t>
      </w:r>
    </w:p>
    <w:p w14:paraId="5DCA2CFC" w14:textId="0C2886B3" w:rsidR="00F02F10" w:rsidRPr="00B77294" w:rsidRDefault="00F8538B" w:rsidP="0004383C">
      <w:pPr>
        <w:spacing w:after="0" w:line="276" w:lineRule="auto"/>
        <w:ind w:firstLine="720"/>
        <w:jc w:val="both"/>
        <w:rPr>
          <w:color w:val="auto"/>
          <w:sz w:val="24"/>
          <w:szCs w:val="24"/>
          <w:lang w:val="ru-MD"/>
        </w:rPr>
      </w:pPr>
      <w:r w:rsidRPr="00B77294">
        <w:rPr>
          <w:color w:val="auto"/>
          <w:sz w:val="24"/>
          <w:szCs w:val="24"/>
          <w:lang w:val="ru-MD"/>
        </w:rPr>
        <w:t xml:space="preserve">Обобщив констатации аудита, отмечается, что Национальный консилиум по </w:t>
      </w:r>
      <w:r w:rsidR="0056202C" w:rsidRPr="00B77294">
        <w:rPr>
          <w:color w:val="auto"/>
          <w:sz w:val="24"/>
          <w:szCs w:val="24"/>
          <w:lang w:val="ru-MD"/>
        </w:rPr>
        <w:t>установ</w:t>
      </w:r>
      <w:r w:rsidRPr="00B77294">
        <w:rPr>
          <w:color w:val="auto"/>
          <w:sz w:val="24"/>
          <w:szCs w:val="24"/>
          <w:lang w:val="ru-MD"/>
        </w:rPr>
        <w:t xml:space="preserve">лению </w:t>
      </w:r>
      <w:r w:rsidR="0056202C" w:rsidRPr="00B77294">
        <w:rPr>
          <w:color w:val="auto"/>
          <w:sz w:val="24"/>
          <w:szCs w:val="24"/>
          <w:lang w:val="ru-MD"/>
        </w:rPr>
        <w:t>ограничения возможностей</w:t>
      </w:r>
      <w:r w:rsidRPr="00B77294">
        <w:rPr>
          <w:color w:val="auto"/>
          <w:sz w:val="24"/>
          <w:szCs w:val="24"/>
          <w:lang w:val="ru-MD"/>
        </w:rPr>
        <w:t xml:space="preserve"> и трудоспособности не в полной мере обеспечил надлежащее применение государственной политики по определению </w:t>
      </w:r>
      <w:r w:rsidR="0056202C" w:rsidRPr="00B77294">
        <w:rPr>
          <w:color w:val="auto"/>
          <w:sz w:val="24"/>
          <w:szCs w:val="24"/>
          <w:lang w:val="ru-MD"/>
        </w:rPr>
        <w:t>ограничения возможностей</w:t>
      </w:r>
      <w:r w:rsidRPr="00B77294">
        <w:rPr>
          <w:color w:val="auto"/>
          <w:sz w:val="24"/>
          <w:szCs w:val="24"/>
          <w:lang w:val="ru-MD"/>
        </w:rPr>
        <w:t xml:space="preserve"> и трудоспособности, а сам процесс осуществляется с некоторыми несоответствиями, что не обеспечивает достижения уставленных целей государственной политики. Эти ситуации </w:t>
      </w:r>
      <w:r w:rsidR="0056202C" w:rsidRPr="00B77294">
        <w:rPr>
          <w:color w:val="auto"/>
          <w:sz w:val="24"/>
          <w:szCs w:val="24"/>
          <w:lang w:val="ru-MD"/>
        </w:rPr>
        <w:t>обусловле</w:t>
      </w:r>
      <w:r w:rsidRPr="00B77294">
        <w:rPr>
          <w:color w:val="auto"/>
          <w:sz w:val="24"/>
          <w:szCs w:val="24"/>
          <w:lang w:val="ru-MD"/>
        </w:rPr>
        <w:t xml:space="preserve">ны неприведением в соответствие критериев, связанных с определением степеней </w:t>
      </w:r>
      <w:r w:rsidR="0056202C" w:rsidRPr="00B77294">
        <w:rPr>
          <w:color w:val="auto"/>
          <w:sz w:val="24"/>
          <w:szCs w:val="24"/>
          <w:lang w:val="ru-MD"/>
        </w:rPr>
        <w:t>ограничения возможностей</w:t>
      </w:r>
      <w:r w:rsidRPr="00B77294">
        <w:rPr>
          <w:color w:val="auto"/>
          <w:sz w:val="24"/>
          <w:szCs w:val="24"/>
          <w:lang w:val="ru-MD"/>
        </w:rPr>
        <w:t>, недостаточностью технических возможностей Информационной системы и процессов контроля. Так, было установлено</w:t>
      </w:r>
      <w:r w:rsidR="0056202C" w:rsidRPr="00B77294">
        <w:rPr>
          <w:color w:val="auto"/>
          <w:sz w:val="24"/>
          <w:szCs w:val="24"/>
          <w:lang w:val="ru-MD"/>
        </w:rPr>
        <w:t xml:space="preserve"> следующее</w:t>
      </w:r>
      <w:r w:rsidR="00F02F10" w:rsidRPr="00B77294">
        <w:rPr>
          <w:color w:val="auto"/>
          <w:sz w:val="24"/>
          <w:szCs w:val="24"/>
          <w:lang w:val="ru-MD"/>
        </w:rPr>
        <w:t>:</w:t>
      </w:r>
    </w:p>
    <w:p w14:paraId="49523C57" w14:textId="1876C973" w:rsidR="0074119B" w:rsidRPr="00B77294" w:rsidRDefault="00EC268A" w:rsidP="00EC268A">
      <w:pPr>
        <w:pStyle w:val="ac"/>
        <w:numPr>
          <w:ilvl w:val="0"/>
          <w:numId w:val="5"/>
        </w:numPr>
        <w:spacing w:line="276" w:lineRule="auto"/>
        <w:ind w:left="0" w:firstLine="360"/>
        <w:jc w:val="both"/>
        <w:rPr>
          <w:rFonts w:ascii="Times New Roman" w:hAnsi="Times New Roman"/>
          <w:sz w:val="24"/>
          <w:szCs w:val="24"/>
          <w:lang w:val="ru-MD"/>
        </w:rPr>
      </w:pPr>
      <w:r w:rsidRPr="00B77294">
        <w:rPr>
          <w:rFonts w:ascii="Times New Roman" w:hAnsi="Times New Roman"/>
          <w:sz w:val="24"/>
          <w:szCs w:val="24"/>
          <w:lang w:val="ru-MD"/>
        </w:rPr>
        <w:t xml:space="preserve">назначение одного и того же менеджера </w:t>
      </w:r>
      <w:r w:rsidR="00D03304" w:rsidRPr="00B77294">
        <w:rPr>
          <w:rFonts w:ascii="Times New Roman" w:hAnsi="Times New Roman"/>
          <w:sz w:val="24"/>
          <w:szCs w:val="24"/>
          <w:lang w:val="ru-MD"/>
        </w:rPr>
        <w:t>случая</w:t>
      </w:r>
      <w:r w:rsidRPr="00B77294">
        <w:rPr>
          <w:rFonts w:ascii="Times New Roman" w:hAnsi="Times New Roman"/>
          <w:sz w:val="24"/>
          <w:szCs w:val="24"/>
          <w:lang w:val="ru-MD"/>
        </w:rPr>
        <w:t xml:space="preserve"> для первичного и повторного рассмотрения дела, в</w:t>
      </w:r>
      <w:r w:rsidR="00D03304" w:rsidRPr="00B77294">
        <w:rPr>
          <w:rFonts w:ascii="Times New Roman" w:hAnsi="Times New Roman"/>
          <w:sz w:val="24"/>
          <w:szCs w:val="24"/>
          <w:lang w:val="ru-MD"/>
        </w:rPr>
        <w:t>следствие че</w:t>
      </w:r>
      <w:r w:rsidRPr="00B77294">
        <w:rPr>
          <w:rFonts w:ascii="Times New Roman" w:hAnsi="Times New Roman"/>
          <w:sz w:val="24"/>
          <w:szCs w:val="24"/>
          <w:lang w:val="ru-MD"/>
        </w:rPr>
        <w:t xml:space="preserve">го заявителю не была установлена степень ограничения возможностей, а также на этапе обжалования решения о </w:t>
      </w:r>
      <w:r w:rsidR="00D03304" w:rsidRPr="00B77294">
        <w:rPr>
          <w:rFonts w:ascii="Times New Roman" w:hAnsi="Times New Roman"/>
          <w:sz w:val="24"/>
          <w:szCs w:val="24"/>
          <w:lang w:val="ru-MD"/>
        </w:rPr>
        <w:t xml:space="preserve">ее </w:t>
      </w:r>
      <w:r w:rsidRPr="00B77294">
        <w:rPr>
          <w:rFonts w:ascii="Times New Roman" w:hAnsi="Times New Roman"/>
          <w:sz w:val="24"/>
          <w:szCs w:val="24"/>
          <w:lang w:val="ru-MD"/>
        </w:rPr>
        <w:t>не</w:t>
      </w:r>
      <w:r w:rsidR="00D03304" w:rsidRPr="00B77294">
        <w:rPr>
          <w:rFonts w:ascii="Times New Roman" w:hAnsi="Times New Roman"/>
          <w:sz w:val="24"/>
          <w:szCs w:val="24"/>
          <w:lang w:val="ru-MD"/>
        </w:rPr>
        <w:t>присво</w:t>
      </w:r>
      <w:r w:rsidRPr="00B77294">
        <w:rPr>
          <w:rFonts w:ascii="Times New Roman" w:hAnsi="Times New Roman"/>
          <w:sz w:val="24"/>
          <w:szCs w:val="24"/>
          <w:lang w:val="ru-MD"/>
        </w:rPr>
        <w:t xml:space="preserve">ении </w:t>
      </w:r>
      <w:r w:rsidR="00F02F10" w:rsidRPr="00B77294">
        <w:rPr>
          <w:rFonts w:ascii="Times New Roman" w:hAnsi="Times New Roman"/>
          <w:sz w:val="24"/>
          <w:szCs w:val="24"/>
          <w:lang w:val="ru-MD"/>
        </w:rPr>
        <w:t>(</w:t>
      </w:r>
      <w:r w:rsidR="009055DE" w:rsidRPr="00B77294">
        <w:rPr>
          <w:rFonts w:ascii="Times New Roman" w:hAnsi="Times New Roman"/>
          <w:b/>
          <w:sz w:val="24"/>
          <w:szCs w:val="24"/>
          <w:lang w:val="ru-MD"/>
        </w:rPr>
        <w:t xml:space="preserve">3 </w:t>
      </w:r>
      <w:r w:rsidR="00D03304" w:rsidRPr="00B77294">
        <w:rPr>
          <w:rFonts w:ascii="Times New Roman" w:hAnsi="Times New Roman"/>
          <w:b/>
          <w:sz w:val="24"/>
          <w:szCs w:val="24"/>
          <w:lang w:val="ru-MD"/>
        </w:rPr>
        <w:t>случая</w:t>
      </w:r>
      <w:r w:rsidR="00F02F10" w:rsidRPr="00B77294">
        <w:rPr>
          <w:rFonts w:ascii="Times New Roman" w:hAnsi="Times New Roman"/>
          <w:b/>
          <w:sz w:val="24"/>
          <w:szCs w:val="24"/>
          <w:lang w:val="ru-MD"/>
        </w:rPr>
        <w:t>)</w:t>
      </w:r>
      <w:r w:rsidR="0074119B" w:rsidRPr="00B77294">
        <w:rPr>
          <w:rFonts w:ascii="Times New Roman" w:hAnsi="Times New Roman"/>
          <w:sz w:val="24"/>
          <w:szCs w:val="24"/>
          <w:lang w:val="ru-MD"/>
        </w:rPr>
        <w:t>;</w:t>
      </w:r>
    </w:p>
    <w:p w14:paraId="72E1BD14" w14:textId="46758A84" w:rsidR="0074119B" w:rsidRPr="00B77294" w:rsidRDefault="00EC268A" w:rsidP="00EC268A">
      <w:pPr>
        <w:pStyle w:val="ac"/>
        <w:numPr>
          <w:ilvl w:val="0"/>
          <w:numId w:val="5"/>
        </w:numPr>
        <w:spacing w:line="276" w:lineRule="auto"/>
        <w:ind w:left="0" w:firstLine="360"/>
        <w:jc w:val="both"/>
        <w:rPr>
          <w:rFonts w:ascii="Times New Roman" w:hAnsi="Times New Roman"/>
          <w:sz w:val="24"/>
          <w:szCs w:val="24"/>
          <w:lang w:val="ru-MD"/>
        </w:rPr>
      </w:pPr>
      <w:r w:rsidRPr="00B77294">
        <w:rPr>
          <w:rFonts w:ascii="Times New Roman" w:hAnsi="Times New Roman"/>
          <w:sz w:val="24"/>
          <w:szCs w:val="24"/>
          <w:lang w:val="ru-MD"/>
        </w:rPr>
        <w:t xml:space="preserve">расхождения в </w:t>
      </w:r>
      <w:r w:rsidRPr="00B77294">
        <w:rPr>
          <w:rFonts w:ascii="Times New Roman" w:hAnsi="Times New Roman"/>
          <w:b/>
          <w:sz w:val="24"/>
          <w:szCs w:val="24"/>
          <w:lang w:val="ru-MD"/>
        </w:rPr>
        <w:t>43 делах</w:t>
      </w:r>
      <w:r w:rsidRPr="00B77294">
        <w:rPr>
          <w:rFonts w:ascii="Times New Roman" w:hAnsi="Times New Roman"/>
          <w:sz w:val="24"/>
          <w:szCs w:val="24"/>
          <w:lang w:val="ru-MD"/>
        </w:rPr>
        <w:t xml:space="preserve"> при определении степени ограничения возможностей и процента потери трудоспособности заявителя, таким образом, расчет по установлению степени функционально-структурных нарушений организма и определению степени </w:t>
      </w:r>
      <w:r w:rsidR="0056202C" w:rsidRPr="00B77294">
        <w:rPr>
          <w:rFonts w:ascii="Times New Roman" w:hAnsi="Times New Roman"/>
          <w:sz w:val="24"/>
          <w:szCs w:val="24"/>
          <w:lang w:val="ru-MD"/>
        </w:rPr>
        <w:t>ограничения возможностей</w:t>
      </w:r>
      <w:r w:rsidRPr="00B77294">
        <w:rPr>
          <w:rFonts w:ascii="Times New Roman" w:hAnsi="Times New Roman"/>
          <w:sz w:val="24"/>
          <w:szCs w:val="24"/>
          <w:lang w:val="ru-MD"/>
        </w:rPr>
        <w:t xml:space="preserve"> отличается</w:t>
      </w:r>
      <w:r w:rsidR="00D03304" w:rsidRPr="00B77294">
        <w:rPr>
          <w:rFonts w:ascii="Times New Roman" w:hAnsi="Times New Roman"/>
          <w:sz w:val="24"/>
          <w:szCs w:val="24"/>
          <w:lang w:val="ru-MD"/>
        </w:rPr>
        <w:t>,</w:t>
      </w:r>
      <w:r w:rsidRPr="00B77294">
        <w:rPr>
          <w:rFonts w:ascii="Times New Roman" w:hAnsi="Times New Roman"/>
          <w:sz w:val="24"/>
          <w:szCs w:val="24"/>
          <w:lang w:val="ru-MD"/>
        </w:rPr>
        <w:t xml:space="preserve"> от одного менеджера </w:t>
      </w:r>
      <w:r w:rsidR="00D03304" w:rsidRPr="00B77294">
        <w:rPr>
          <w:rFonts w:ascii="Times New Roman" w:hAnsi="Times New Roman"/>
          <w:sz w:val="24"/>
          <w:szCs w:val="24"/>
          <w:lang w:val="ru-MD"/>
        </w:rPr>
        <w:t>случая</w:t>
      </w:r>
      <w:r w:rsidRPr="00B77294">
        <w:rPr>
          <w:rFonts w:ascii="Times New Roman" w:hAnsi="Times New Roman"/>
          <w:sz w:val="24"/>
          <w:szCs w:val="24"/>
          <w:lang w:val="ru-MD"/>
        </w:rPr>
        <w:t xml:space="preserve"> к другому, что </w:t>
      </w:r>
      <w:r w:rsidR="00D03304" w:rsidRPr="00B77294">
        <w:rPr>
          <w:rFonts w:ascii="Times New Roman" w:hAnsi="Times New Roman"/>
          <w:sz w:val="24"/>
          <w:szCs w:val="24"/>
          <w:lang w:val="ru-MD"/>
        </w:rPr>
        <w:t>указыва</w:t>
      </w:r>
      <w:r w:rsidRPr="00B77294">
        <w:rPr>
          <w:rFonts w:ascii="Times New Roman" w:hAnsi="Times New Roman"/>
          <w:sz w:val="24"/>
          <w:szCs w:val="24"/>
          <w:lang w:val="ru-MD"/>
        </w:rPr>
        <w:t xml:space="preserve">ет </w:t>
      </w:r>
      <w:r w:rsidR="00D03304" w:rsidRPr="00B77294">
        <w:rPr>
          <w:rFonts w:ascii="Times New Roman" w:hAnsi="Times New Roman"/>
          <w:sz w:val="24"/>
          <w:szCs w:val="24"/>
          <w:lang w:val="ru-MD"/>
        </w:rPr>
        <w:t>на</w:t>
      </w:r>
      <w:r w:rsidRPr="00B77294">
        <w:rPr>
          <w:rFonts w:ascii="Times New Roman" w:hAnsi="Times New Roman"/>
          <w:sz w:val="24"/>
          <w:szCs w:val="24"/>
          <w:lang w:val="ru-MD"/>
        </w:rPr>
        <w:t xml:space="preserve"> то, что один из экспертов неверно истолковал медицинскую информацию</w:t>
      </w:r>
      <w:r w:rsidR="00EF7802" w:rsidRPr="00B77294">
        <w:rPr>
          <w:rFonts w:ascii="Times New Roman" w:hAnsi="Times New Roman"/>
          <w:sz w:val="24"/>
          <w:szCs w:val="24"/>
          <w:lang w:val="ru-MD"/>
        </w:rPr>
        <w:t>;</w:t>
      </w:r>
      <w:r w:rsidR="0074119B" w:rsidRPr="00B77294">
        <w:rPr>
          <w:rFonts w:ascii="Times New Roman" w:hAnsi="Times New Roman"/>
          <w:sz w:val="24"/>
          <w:szCs w:val="24"/>
          <w:lang w:val="ru-MD"/>
        </w:rPr>
        <w:t xml:space="preserve"> </w:t>
      </w:r>
    </w:p>
    <w:p w14:paraId="2DABBF7C" w14:textId="7FE77280" w:rsidR="0074119B" w:rsidRPr="00B77294" w:rsidRDefault="00EC268A" w:rsidP="00EC268A">
      <w:pPr>
        <w:pStyle w:val="ac"/>
        <w:numPr>
          <w:ilvl w:val="0"/>
          <w:numId w:val="5"/>
        </w:numPr>
        <w:spacing w:line="276" w:lineRule="auto"/>
        <w:ind w:left="0" w:firstLine="360"/>
        <w:jc w:val="both"/>
        <w:rPr>
          <w:rFonts w:ascii="Times New Roman" w:hAnsi="Times New Roman"/>
          <w:sz w:val="24"/>
          <w:szCs w:val="24"/>
          <w:lang w:val="ru-MD"/>
        </w:rPr>
      </w:pPr>
      <w:r w:rsidRPr="00B77294">
        <w:rPr>
          <w:rFonts w:ascii="Times New Roman" w:hAnsi="Times New Roman"/>
          <w:sz w:val="24"/>
          <w:szCs w:val="24"/>
          <w:lang w:val="ru-MD"/>
        </w:rPr>
        <w:t xml:space="preserve">отсутствие в Информационной системе, в случае </w:t>
      </w:r>
      <w:r w:rsidRPr="00B77294">
        <w:rPr>
          <w:rFonts w:ascii="Times New Roman" w:hAnsi="Times New Roman"/>
          <w:b/>
          <w:sz w:val="24"/>
          <w:szCs w:val="24"/>
          <w:lang w:val="ru-MD"/>
        </w:rPr>
        <w:t>дела одного заявителя</w:t>
      </w:r>
      <w:r w:rsidRPr="00B77294">
        <w:rPr>
          <w:rFonts w:ascii="Times New Roman" w:hAnsi="Times New Roman"/>
          <w:sz w:val="24"/>
          <w:szCs w:val="24"/>
          <w:lang w:val="ru-MD"/>
        </w:rPr>
        <w:t xml:space="preserve">, заключения об определении </w:t>
      </w:r>
      <w:r w:rsidR="0056202C" w:rsidRPr="00B77294">
        <w:rPr>
          <w:rFonts w:ascii="Times New Roman" w:hAnsi="Times New Roman"/>
          <w:sz w:val="24"/>
          <w:szCs w:val="24"/>
          <w:lang w:val="ru-MD"/>
        </w:rPr>
        <w:t>ограничения возможностей</w:t>
      </w:r>
      <w:r w:rsidRPr="00B77294">
        <w:rPr>
          <w:rFonts w:ascii="Times New Roman" w:hAnsi="Times New Roman"/>
          <w:sz w:val="24"/>
          <w:szCs w:val="24"/>
          <w:lang w:val="ru-MD"/>
        </w:rPr>
        <w:t xml:space="preserve"> и трудоспособности, а также отсутствие медицинской информации для </w:t>
      </w:r>
      <w:r w:rsidRPr="00B77294">
        <w:rPr>
          <w:rFonts w:ascii="Times New Roman" w:hAnsi="Times New Roman"/>
          <w:b/>
          <w:sz w:val="24"/>
          <w:szCs w:val="24"/>
          <w:lang w:val="ru-MD"/>
        </w:rPr>
        <w:t>другого д</w:t>
      </w:r>
      <w:r w:rsidR="00404C60" w:rsidRPr="00B77294">
        <w:rPr>
          <w:rFonts w:ascii="Times New Roman" w:hAnsi="Times New Roman"/>
          <w:b/>
          <w:sz w:val="24"/>
          <w:szCs w:val="24"/>
          <w:lang w:val="ru-MD"/>
        </w:rPr>
        <w:t>осье</w:t>
      </w:r>
      <w:r w:rsidR="0074119B" w:rsidRPr="00B77294">
        <w:rPr>
          <w:rFonts w:ascii="Times New Roman" w:hAnsi="Times New Roman"/>
          <w:sz w:val="24"/>
          <w:szCs w:val="24"/>
          <w:lang w:val="ru-MD"/>
        </w:rPr>
        <w:t>;</w:t>
      </w:r>
    </w:p>
    <w:p w14:paraId="30DDBDBB" w14:textId="2DE7A8B6" w:rsidR="0074119B" w:rsidRPr="00B77294" w:rsidRDefault="001B012C" w:rsidP="001B012C">
      <w:pPr>
        <w:pStyle w:val="ac"/>
        <w:numPr>
          <w:ilvl w:val="0"/>
          <w:numId w:val="5"/>
        </w:numPr>
        <w:spacing w:line="276" w:lineRule="auto"/>
        <w:ind w:left="0" w:firstLine="360"/>
        <w:jc w:val="both"/>
        <w:rPr>
          <w:rFonts w:ascii="Times New Roman" w:hAnsi="Times New Roman"/>
          <w:sz w:val="24"/>
          <w:szCs w:val="24"/>
          <w:lang w:val="ru-MD"/>
        </w:rPr>
      </w:pPr>
      <w:r w:rsidRPr="00B77294">
        <w:rPr>
          <w:rFonts w:ascii="Times New Roman" w:hAnsi="Times New Roman"/>
          <w:sz w:val="24"/>
          <w:szCs w:val="24"/>
          <w:lang w:val="ru-MD"/>
        </w:rPr>
        <w:t xml:space="preserve">отсутствие </w:t>
      </w:r>
      <w:r w:rsidR="00404C60" w:rsidRPr="00B77294">
        <w:rPr>
          <w:rFonts w:ascii="Times New Roman" w:hAnsi="Times New Roman"/>
          <w:sz w:val="24"/>
          <w:szCs w:val="24"/>
          <w:lang w:val="ru-MD"/>
        </w:rPr>
        <w:t xml:space="preserve">дезагрегированных </w:t>
      </w:r>
      <w:r w:rsidRPr="00B77294">
        <w:rPr>
          <w:rFonts w:ascii="Times New Roman" w:hAnsi="Times New Roman"/>
          <w:sz w:val="24"/>
          <w:szCs w:val="24"/>
          <w:lang w:val="ru-MD"/>
        </w:rPr>
        <w:t xml:space="preserve">данных по типам </w:t>
      </w:r>
      <w:r w:rsidR="0056202C" w:rsidRPr="00B77294">
        <w:rPr>
          <w:rFonts w:ascii="Times New Roman" w:hAnsi="Times New Roman"/>
          <w:sz w:val="24"/>
          <w:szCs w:val="24"/>
          <w:lang w:val="ru-MD"/>
        </w:rPr>
        <w:t>ограничения возможностей</w:t>
      </w:r>
      <w:r w:rsidRPr="00B77294">
        <w:rPr>
          <w:rFonts w:ascii="Times New Roman" w:hAnsi="Times New Roman"/>
          <w:sz w:val="24"/>
          <w:szCs w:val="24"/>
          <w:lang w:val="ru-MD"/>
        </w:rPr>
        <w:t xml:space="preserve"> в статистических отчетах Национального консилиума по </w:t>
      </w:r>
      <w:r w:rsidR="0056202C" w:rsidRPr="00B77294">
        <w:rPr>
          <w:rFonts w:ascii="Times New Roman" w:hAnsi="Times New Roman"/>
          <w:sz w:val="24"/>
          <w:szCs w:val="24"/>
          <w:lang w:val="ru-MD"/>
        </w:rPr>
        <w:t>установ</w:t>
      </w:r>
      <w:r w:rsidRPr="00B77294">
        <w:rPr>
          <w:rFonts w:ascii="Times New Roman" w:hAnsi="Times New Roman"/>
          <w:sz w:val="24"/>
          <w:szCs w:val="24"/>
          <w:lang w:val="ru-MD"/>
        </w:rPr>
        <w:t xml:space="preserve">лению </w:t>
      </w:r>
      <w:r w:rsidR="0056202C" w:rsidRPr="00B77294">
        <w:rPr>
          <w:rFonts w:ascii="Times New Roman" w:hAnsi="Times New Roman"/>
          <w:sz w:val="24"/>
          <w:szCs w:val="24"/>
          <w:lang w:val="ru-MD"/>
        </w:rPr>
        <w:t>ограничения возможностей</w:t>
      </w:r>
      <w:r w:rsidRPr="00B77294">
        <w:rPr>
          <w:rFonts w:ascii="Times New Roman" w:hAnsi="Times New Roman"/>
          <w:sz w:val="24"/>
          <w:szCs w:val="24"/>
          <w:lang w:val="ru-MD"/>
        </w:rPr>
        <w:t xml:space="preserve"> и трудоспособности</w:t>
      </w:r>
      <w:r w:rsidR="00404C60" w:rsidRPr="00B77294">
        <w:rPr>
          <w:rFonts w:ascii="Times New Roman" w:hAnsi="Times New Roman"/>
          <w:sz w:val="24"/>
          <w:szCs w:val="24"/>
          <w:lang w:val="ru-MD"/>
        </w:rPr>
        <w:t>,</w:t>
      </w:r>
      <w:r w:rsidRPr="00B77294">
        <w:rPr>
          <w:rFonts w:ascii="Times New Roman" w:hAnsi="Times New Roman"/>
          <w:sz w:val="24"/>
          <w:szCs w:val="24"/>
          <w:lang w:val="ru-MD"/>
        </w:rPr>
        <w:t xml:space="preserve"> о состоянии лиц с ограниченными возможностями</w:t>
      </w:r>
      <w:r w:rsidR="00B233AE" w:rsidRPr="00B77294">
        <w:rPr>
          <w:rFonts w:ascii="Times New Roman" w:hAnsi="Times New Roman"/>
          <w:sz w:val="24"/>
          <w:szCs w:val="24"/>
          <w:lang w:val="ru-MD"/>
        </w:rPr>
        <w:t>;</w:t>
      </w:r>
      <w:r w:rsidR="0074119B" w:rsidRPr="00B77294">
        <w:rPr>
          <w:rFonts w:ascii="Times New Roman" w:hAnsi="Times New Roman"/>
          <w:sz w:val="24"/>
          <w:szCs w:val="24"/>
          <w:lang w:val="ru-MD"/>
        </w:rPr>
        <w:t xml:space="preserve"> </w:t>
      </w:r>
    </w:p>
    <w:p w14:paraId="072DB57C" w14:textId="07F3BFD4" w:rsidR="009055DE" w:rsidRPr="00B77294" w:rsidRDefault="001B012C" w:rsidP="001B012C">
      <w:pPr>
        <w:pStyle w:val="ac"/>
        <w:numPr>
          <w:ilvl w:val="0"/>
          <w:numId w:val="5"/>
        </w:numPr>
        <w:spacing w:line="276" w:lineRule="auto"/>
        <w:ind w:left="0" w:firstLine="360"/>
        <w:jc w:val="both"/>
        <w:rPr>
          <w:rFonts w:ascii="Times New Roman" w:hAnsi="Times New Roman"/>
          <w:sz w:val="24"/>
          <w:szCs w:val="24"/>
          <w:lang w:val="ru-MD"/>
        </w:rPr>
      </w:pPr>
      <w:r w:rsidRPr="00B77294">
        <w:rPr>
          <w:rFonts w:ascii="Times New Roman" w:hAnsi="Times New Roman"/>
          <w:sz w:val="24"/>
          <w:szCs w:val="24"/>
          <w:lang w:val="ru-MD"/>
        </w:rPr>
        <w:t xml:space="preserve">отсутствие в Информационной системе данных </w:t>
      </w:r>
      <w:r w:rsidR="006205F5" w:rsidRPr="00B77294">
        <w:rPr>
          <w:rFonts w:ascii="Times New Roman" w:hAnsi="Times New Roman"/>
          <w:sz w:val="24"/>
          <w:szCs w:val="24"/>
          <w:lang w:val="ru-MD"/>
        </w:rPr>
        <w:t>по</w:t>
      </w:r>
      <w:r w:rsidRPr="00B77294">
        <w:rPr>
          <w:rFonts w:ascii="Times New Roman" w:hAnsi="Times New Roman"/>
          <w:sz w:val="24"/>
          <w:szCs w:val="24"/>
          <w:lang w:val="ru-MD"/>
        </w:rPr>
        <w:t xml:space="preserve"> исторически</w:t>
      </w:r>
      <w:r w:rsidR="006205F5" w:rsidRPr="00B77294">
        <w:rPr>
          <w:rFonts w:ascii="Times New Roman" w:hAnsi="Times New Roman"/>
          <w:sz w:val="24"/>
          <w:szCs w:val="24"/>
          <w:lang w:val="ru-MD"/>
        </w:rPr>
        <w:t>м</w:t>
      </w:r>
      <w:r w:rsidRPr="00B77294">
        <w:rPr>
          <w:rFonts w:ascii="Times New Roman" w:hAnsi="Times New Roman"/>
          <w:sz w:val="24"/>
          <w:szCs w:val="24"/>
          <w:lang w:val="ru-MD"/>
        </w:rPr>
        <w:t xml:space="preserve"> д</w:t>
      </w:r>
      <w:r w:rsidR="00404C60" w:rsidRPr="00B77294">
        <w:rPr>
          <w:rFonts w:ascii="Times New Roman" w:hAnsi="Times New Roman"/>
          <w:sz w:val="24"/>
          <w:szCs w:val="24"/>
          <w:lang w:val="ru-MD"/>
        </w:rPr>
        <w:t>осье</w:t>
      </w:r>
      <w:r w:rsidRPr="00B77294">
        <w:rPr>
          <w:rFonts w:ascii="Times New Roman" w:hAnsi="Times New Roman"/>
          <w:sz w:val="24"/>
          <w:szCs w:val="24"/>
          <w:lang w:val="ru-MD"/>
        </w:rPr>
        <w:t xml:space="preserve"> за период до 2020 года, относящихся к лицам, имеющим степень </w:t>
      </w:r>
      <w:r w:rsidR="0056202C" w:rsidRPr="00B77294">
        <w:rPr>
          <w:rFonts w:ascii="Times New Roman" w:hAnsi="Times New Roman"/>
          <w:sz w:val="24"/>
          <w:szCs w:val="24"/>
          <w:lang w:val="ru-MD"/>
        </w:rPr>
        <w:t>ограничения возможностей</w:t>
      </w:r>
      <w:r w:rsidRPr="00B77294">
        <w:rPr>
          <w:rFonts w:ascii="Times New Roman" w:hAnsi="Times New Roman"/>
          <w:sz w:val="24"/>
          <w:szCs w:val="24"/>
          <w:lang w:val="ru-MD"/>
        </w:rPr>
        <w:t>, что не позволило аудиту высказать свое мнение по отсутствующим д</w:t>
      </w:r>
      <w:r w:rsidR="00404C60" w:rsidRPr="00B77294">
        <w:rPr>
          <w:rFonts w:ascii="Times New Roman" w:hAnsi="Times New Roman"/>
          <w:sz w:val="24"/>
          <w:szCs w:val="24"/>
          <w:lang w:val="ru-MD"/>
        </w:rPr>
        <w:t>осье</w:t>
      </w:r>
      <w:r w:rsidR="001C7EFD" w:rsidRPr="00B77294">
        <w:rPr>
          <w:rFonts w:ascii="Times New Roman" w:hAnsi="Times New Roman"/>
          <w:sz w:val="24"/>
          <w:szCs w:val="24"/>
          <w:lang w:val="ru-MD"/>
        </w:rPr>
        <w:t>;</w:t>
      </w:r>
    </w:p>
    <w:p w14:paraId="083639E5" w14:textId="242BEE37" w:rsidR="009055DE" w:rsidRPr="00B77294" w:rsidRDefault="002E15FC" w:rsidP="002E15FC">
      <w:pPr>
        <w:pStyle w:val="ac"/>
        <w:numPr>
          <w:ilvl w:val="0"/>
          <w:numId w:val="5"/>
        </w:numPr>
        <w:spacing w:line="276" w:lineRule="auto"/>
        <w:ind w:left="0" w:firstLine="360"/>
        <w:jc w:val="both"/>
        <w:rPr>
          <w:rFonts w:ascii="Times New Roman" w:hAnsi="Times New Roman"/>
          <w:sz w:val="24"/>
          <w:szCs w:val="24"/>
          <w:lang w:val="ru-MD"/>
        </w:rPr>
      </w:pPr>
      <w:r w:rsidRPr="00B77294">
        <w:rPr>
          <w:rFonts w:ascii="Times New Roman" w:hAnsi="Times New Roman"/>
          <w:sz w:val="24"/>
          <w:szCs w:val="24"/>
          <w:lang w:val="ru-MD"/>
        </w:rPr>
        <w:t xml:space="preserve">отсутствие отчетов, касающихся мониторинга и оценки </w:t>
      </w:r>
      <w:r w:rsidR="006205F5" w:rsidRPr="00B77294">
        <w:rPr>
          <w:rFonts w:ascii="Times New Roman" w:hAnsi="Times New Roman"/>
          <w:sz w:val="24"/>
          <w:szCs w:val="24"/>
          <w:lang w:val="ru-MD"/>
        </w:rPr>
        <w:t>ис</w:t>
      </w:r>
      <w:r w:rsidRPr="00B77294">
        <w:rPr>
          <w:rFonts w:ascii="Times New Roman" w:hAnsi="Times New Roman"/>
          <w:sz w:val="24"/>
          <w:szCs w:val="24"/>
          <w:lang w:val="ru-MD"/>
        </w:rPr>
        <w:t xml:space="preserve">полнения рекомендаций </w:t>
      </w:r>
      <w:r w:rsidR="006205F5" w:rsidRPr="00B77294">
        <w:rPr>
          <w:rFonts w:ascii="Times New Roman" w:hAnsi="Times New Roman"/>
          <w:sz w:val="24"/>
          <w:szCs w:val="24"/>
          <w:lang w:val="ru-MD"/>
        </w:rPr>
        <w:t>относительно необходимых мер по реабилитации и социальной интеграции лиц с ограниченными возможностями</w:t>
      </w:r>
      <w:r w:rsidR="009055DE" w:rsidRPr="00B77294">
        <w:rPr>
          <w:rFonts w:ascii="Times New Roman" w:hAnsi="Times New Roman"/>
          <w:sz w:val="24"/>
          <w:szCs w:val="24"/>
          <w:lang w:val="ru-MD"/>
        </w:rPr>
        <w:t>;</w:t>
      </w:r>
    </w:p>
    <w:p w14:paraId="00075789" w14:textId="3A8C55BC" w:rsidR="00CE55C6" w:rsidRPr="00B77294" w:rsidRDefault="002E15FC" w:rsidP="002E15FC">
      <w:pPr>
        <w:pStyle w:val="ac"/>
        <w:numPr>
          <w:ilvl w:val="0"/>
          <w:numId w:val="5"/>
        </w:numPr>
        <w:spacing w:after="0" w:line="276" w:lineRule="auto"/>
        <w:ind w:left="0" w:firstLine="360"/>
        <w:jc w:val="both"/>
        <w:rPr>
          <w:rFonts w:ascii="Times New Roman" w:hAnsi="Times New Roman"/>
          <w:sz w:val="24"/>
          <w:szCs w:val="24"/>
          <w:lang w:val="ru-MD"/>
        </w:rPr>
      </w:pPr>
      <w:r w:rsidRPr="00B77294">
        <w:rPr>
          <w:rFonts w:ascii="Times New Roman" w:hAnsi="Times New Roman"/>
          <w:color w:val="000000"/>
          <w:sz w:val="24"/>
          <w:szCs w:val="24"/>
          <w:shd w:val="clear" w:color="auto" w:fill="FFFFFF"/>
          <w:lang w:val="ru-MD"/>
        </w:rPr>
        <w:t xml:space="preserve">Служба контроля за установлением степени </w:t>
      </w:r>
      <w:r w:rsidR="0056202C" w:rsidRPr="00B77294">
        <w:rPr>
          <w:rFonts w:ascii="Times New Roman" w:hAnsi="Times New Roman"/>
          <w:color w:val="000000"/>
          <w:sz w:val="24"/>
          <w:szCs w:val="24"/>
          <w:shd w:val="clear" w:color="auto" w:fill="FFFFFF"/>
          <w:lang w:val="ru-MD"/>
        </w:rPr>
        <w:t>ограничения возможностей</w:t>
      </w:r>
      <w:r w:rsidRPr="00B77294">
        <w:rPr>
          <w:rFonts w:ascii="Times New Roman" w:hAnsi="Times New Roman"/>
          <w:color w:val="000000"/>
          <w:sz w:val="24"/>
          <w:szCs w:val="24"/>
          <w:shd w:val="clear" w:color="auto" w:fill="FFFFFF"/>
          <w:lang w:val="ru-MD"/>
        </w:rPr>
        <w:t>, при осуществлении своих нормативных полномочий, не функционирует как подразделение</w:t>
      </w:r>
      <w:r w:rsidR="00404C60" w:rsidRPr="00B77294">
        <w:rPr>
          <w:rFonts w:ascii="Times New Roman" w:hAnsi="Times New Roman"/>
          <w:color w:val="000000"/>
          <w:sz w:val="24"/>
          <w:szCs w:val="24"/>
          <w:shd w:val="clear" w:color="auto" w:fill="FFFFFF"/>
          <w:lang w:val="ru-MD"/>
        </w:rPr>
        <w:t>, созданное</w:t>
      </w:r>
      <w:r w:rsidRPr="00B77294">
        <w:rPr>
          <w:rFonts w:ascii="Times New Roman" w:hAnsi="Times New Roman"/>
          <w:color w:val="000000"/>
          <w:sz w:val="24"/>
          <w:szCs w:val="24"/>
          <w:shd w:val="clear" w:color="auto" w:fill="FFFFFF"/>
          <w:lang w:val="ru-MD"/>
        </w:rPr>
        <w:t xml:space="preserve"> с целью проверки соответствия и правильности определения степеней </w:t>
      </w:r>
      <w:r w:rsidR="0056202C" w:rsidRPr="00B77294">
        <w:rPr>
          <w:rFonts w:ascii="Times New Roman" w:hAnsi="Times New Roman"/>
          <w:color w:val="000000"/>
          <w:sz w:val="24"/>
          <w:szCs w:val="24"/>
          <w:shd w:val="clear" w:color="auto" w:fill="FFFFFF"/>
          <w:lang w:val="ru-MD"/>
        </w:rPr>
        <w:t>ограничения возможностей</w:t>
      </w:r>
      <w:r w:rsidRPr="00B77294">
        <w:rPr>
          <w:rFonts w:ascii="Times New Roman" w:hAnsi="Times New Roman"/>
          <w:color w:val="000000"/>
          <w:sz w:val="24"/>
          <w:szCs w:val="24"/>
          <w:shd w:val="clear" w:color="auto" w:fill="FFFFFF"/>
          <w:lang w:val="ru-MD"/>
        </w:rPr>
        <w:t xml:space="preserve">, поскольку не располагает возможностью </w:t>
      </w:r>
      <w:r w:rsidR="00404C60" w:rsidRPr="00B77294">
        <w:rPr>
          <w:rFonts w:ascii="Times New Roman" w:hAnsi="Times New Roman"/>
          <w:color w:val="000000"/>
          <w:sz w:val="24"/>
          <w:szCs w:val="24"/>
          <w:shd w:val="clear" w:color="auto" w:fill="FFFFFF"/>
          <w:lang w:val="ru-MD"/>
        </w:rPr>
        <w:t>изуч</w:t>
      </w:r>
      <w:r w:rsidRPr="00B77294">
        <w:rPr>
          <w:rFonts w:ascii="Times New Roman" w:hAnsi="Times New Roman"/>
          <w:color w:val="000000"/>
          <w:sz w:val="24"/>
          <w:szCs w:val="24"/>
          <w:shd w:val="clear" w:color="auto" w:fill="FFFFFF"/>
          <w:lang w:val="ru-MD"/>
        </w:rPr>
        <w:t>ения/проверки д</w:t>
      </w:r>
      <w:r w:rsidR="00404C60" w:rsidRPr="00B77294">
        <w:rPr>
          <w:rFonts w:ascii="Times New Roman" w:hAnsi="Times New Roman"/>
          <w:color w:val="000000"/>
          <w:sz w:val="24"/>
          <w:szCs w:val="24"/>
          <w:shd w:val="clear" w:color="auto" w:fill="FFFFFF"/>
          <w:lang w:val="ru-MD"/>
        </w:rPr>
        <w:t>осье</w:t>
      </w:r>
      <w:r w:rsidRPr="00B77294">
        <w:rPr>
          <w:rFonts w:ascii="Times New Roman" w:hAnsi="Times New Roman"/>
          <w:color w:val="000000"/>
          <w:sz w:val="24"/>
          <w:szCs w:val="24"/>
          <w:shd w:val="clear" w:color="auto" w:fill="FFFFFF"/>
          <w:lang w:val="ru-MD"/>
        </w:rPr>
        <w:t xml:space="preserve">, связанных с установлением постоянной, первичной и повторной степени </w:t>
      </w:r>
      <w:r w:rsidR="0056202C" w:rsidRPr="00B77294">
        <w:rPr>
          <w:rFonts w:ascii="Times New Roman" w:hAnsi="Times New Roman"/>
          <w:color w:val="000000"/>
          <w:sz w:val="24"/>
          <w:szCs w:val="24"/>
          <w:shd w:val="clear" w:color="auto" w:fill="FFFFFF"/>
          <w:lang w:val="ru-MD"/>
        </w:rPr>
        <w:t>ограничения возможностей</w:t>
      </w:r>
      <w:r w:rsidRPr="00B77294">
        <w:rPr>
          <w:rFonts w:ascii="Times New Roman" w:hAnsi="Times New Roman"/>
          <w:color w:val="000000"/>
          <w:sz w:val="24"/>
          <w:szCs w:val="24"/>
          <w:shd w:val="clear" w:color="auto" w:fill="FFFFFF"/>
          <w:lang w:val="ru-MD"/>
        </w:rPr>
        <w:t xml:space="preserve">, с изменением решения, ситуация обусловлена отсутствием доступа к Информационной системе, что </w:t>
      </w:r>
      <w:r w:rsidR="00404C60" w:rsidRPr="00B77294">
        <w:rPr>
          <w:rFonts w:ascii="Times New Roman" w:hAnsi="Times New Roman"/>
          <w:color w:val="000000"/>
          <w:sz w:val="24"/>
          <w:szCs w:val="24"/>
          <w:shd w:val="clear" w:color="auto" w:fill="FFFFFF"/>
          <w:lang w:val="ru-MD"/>
        </w:rPr>
        <w:t xml:space="preserve">не </w:t>
      </w:r>
      <w:r w:rsidRPr="00B77294">
        <w:rPr>
          <w:rFonts w:ascii="Times New Roman" w:hAnsi="Times New Roman"/>
          <w:color w:val="000000"/>
          <w:sz w:val="24"/>
          <w:szCs w:val="24"/>
          <w:shd w:val="clear" w:color="auto" w:fill="FFFFFF"/>
          <w:lang w:val="ru-MD"/>
        </w:rPr>
        <w:t>позволяет проводить анализ, экспертизу и проверк</w:t>
      </w:r>
      <w:r w:rsidR="00404C60" w:rsidRPr="00B77294">
        <w:rPr>
          <w:rFonts w:ascii="Times New Roman" w:hAnsi="Times New Roman"/>
          <w:color w:val="000000"/>
          <w:sz w:val="24"/>
          <w:szCs w:val="24"/>
          <w:shd w:val="clear" w:color="auto" w:fill="FFFFFF"/>
          <w:lang w:val="ru-MD"/>
        </w:rPr>
        <w:t>у в режиме внутреннего контроля</w:t>
      </w:r>
      <w:r w:rsidR="00B34C49" w:rsidRPr="00B77294">
        <w:rPr>
          <w:rFonts w:ascii="Times New Roman" w:hAnsi="Times New Roman"/>
          <w:sz w:val="24"/>
          <w:szCs w:val="24"/>
          <w:lang w:val="ru-MD"/>
        </w:rPr>
        <w:t>;</w:t>
      </w:r>
    </w:p>
    <w:p w14:paraId="4B44C8CD" w14:textId="413AE2AC" w:rsidR="004748C4" w:rsidRPr="00B77294" w:rsidRDefault="002E15FC" w:rsidP="002E15FC">
      <w:pPr>
        <w:pStyle w:val="ac"/>
        <w:numPr>
          <w:ilvl w:val="0"/>
          <w:numId w:val="5"/>
        </w:numPr>
        <w:spacing w:after="0" w:line="276" w:lineRule="auto"/>
        <w:ind w:left="0" w:firstLine="360"/>
        <w:jc w:val="both"/>
        <w:rPr>
          <w:rFonts w:ascii="Times New Roman" w:hAnsi="Times New Roman"/>
          <w:sz w:val="24"/>
          <w:szCs w:val="24"/>
          <w:lang w:val="ru-MD"/>
        </w:rPr>
      </w:pPr>
      <w:r w:rsidRPr="00B77294">
        <w:rPr>
          <w:rFonts w:ascii="Times New Roman" w:hAnsi="Times New Roman"/>
          <w:sz w:val="24"/>
          <w:szCs w:val="24"/>
          <w:lang w:val="ru-MD"/>
        </w:rPr>
        <w:t xml:space="preserve">отсутствие внутренних положений о доступе к Информационной системе сотрудников различных служб в процессе определения </w:t>
      </w:r>
      <w:r w:rsidR="0056202C" w:rsidRPr="00B77294">
        <w:rPr>
          <w:rFonts w:ascii="Times New Roman" w:hAnsi="Times New Roman"/>
          <w:sz w:val="24"/>
          <w:szCs w:val="24"/>
          <w:lang w:val="ru-MD"/>
        </w:rPr>
        <w:t>ограничения возможностей</w:t>
      </w:r>
      <w:r w:rsidR="004748C4" w:rsidRPr="00B77294">
        <w:rPr>
          <w:rFonts w:ascii="Times New Roman" w:hAnsi="Times New Roman"/>
          <w:sz w:val="24"/>
          <w:szCs w:val="24"/>
          <w:lang w:val="ru-MD"/>
        </w:rPr>
        <w:t xml:space="preserve">; </w:t>
      </w:r>
    </w:p>
    <w:p w14:paraId="29433F1F" w14:textId="5B2677D9" w:rsidR="005D439C" w:rsidRPr="00B77294" w:rsidRDefault="002E15FC" w:rsidP="002E15FC">
      <w:pPr>
        <w:pStyle w:val="ac"/>
        <w:numPr>
          <w:ilvl w:val="0"/>
          <w:numId w:val="5"/>
        </w:numPr>
        <w:spacing w:after="0" w:line="276" w:lineRule="auto"/>
        <w:ind w:left="0" w:firstLine="360"/>
        <w:jc w:val="both"/>
        <w:rPr>
          <w:rFonts w:ascii="Times New Roman" w:hAnsi="Times New Roman"/>
          <w:sz w:val="24"/>
          <w:szCs w:val="24"/>
          <w:lang w:val="ru-MD"/>
        </w:rPr>
      </w:pPr>
      <w:r w:rsidRPr="00B77294">
        <w:rPr>
          <w:rFonts w:ascii="Times New Roman" w:hAnsi="Times New Roman"/>
          <w:sz w:val="24"/>
          <w:szCs w:val="24"/>
          <w:lang w:val="ru-MD"/>
        </w:rPr>
        <w:t xml:space="preserve">отсутствие интероперабельности Информационной системы „Установление </w:t>
      </w:r>
      <w:r w:rsidR="0056202C" w:rsidRPr="00B77294">
        <w:rPr>
          <w:rFonts w:ascii="Times New Roman" w:hAnsi="Times New Roman"/>
          <w:sz w:val="24"/>
          <w:szCs w:val="24"/>
          <w:lang w:val="ru-MD"/>
        </w:rPr>
        <w:t>ограничения возможностей</w:t>
      </w:r>
      <w:r w:rsidRPr="00B77294">
        <w:rPr>
          <w:rFonts w:ascii="Times New Roman" w:hAnsi="Times New Roman"/>
          <w:sz w:val="24"/>
          <w:szCs w:val="24"/>
          <w:lang w:val="ru-MD"/>
        </w:rPr>
        <w:t xml:space="preserve"> и трудоспособности</w:t>
      </w:r>
      <w:r w:rsidR="005D37D0" w:rsidRPr="00B77294">
        <w:rPr>
          <w:rFonts w:ascii="Times New Roman" w:hAnsi="Times New Roman"/>
          <w:sz w:val="24"/>
          <w:szCs w:val="24"/>
          <w:lang w:val="ru-MD"/>
        </w:rPr>
        <w:t>”</w:t>
      </w:r>
      <w:r w:rsidRPr="00B77294">
        <w:rPr>
          <w:rFonts w:ascii="Times New Roman" w:hAnsi="Times New Roman"/>
          <w:sz w:val="24"/>
          <w:szCs w:val="24"/>
          <w:lang w:val="ru-MD"/>
        </w:rPr>
        <w:t xml:space="preserve"> с информационными системами, предоставляющими медицинскую информацию (ИС </w:t>
      </w:r>
      <w:r w:rsidR="003957A5" w:rsidRPr="00B77294">
        <w:rPr>
          <w:rFonts w:ascii="Times New Roman" w:hAnsi="Times New Roman"/>
          <w:sz w:val="24"/>
          <w:szCs w:val="24"/>
          <w:lang w:val="ru-MD"/>
        </w:rPr>
        <w:t>УОВТ</w:t>
      </w:r>
      <w:r w:rsidRPr="00B77294">
        <w:rPr>
          <w:rFonts w:ascii="Times New Roman" w:hAnsi="Times New Roman"/>
          <w:sz w:val="24"/>
          <w:szCs w:val="24"/>
          <w:lang w:val="ru-MD"/>
        </w:rPr>
        <w:t xml:space="preserve">, </w:t>
      </w:r>
      <w:r w:rsidR="005D37D0" w:rsidRPr="00B77294">
        <w:rPr>
          <w:rFonts w:ascii="Times New Roman" w:hAnsi="Times New Roman"/>
          <w:sz w:val="24"/>
          <w:szCs w:val="24"/>
          <w:lang w:val="ru-MD"/>
        </w:rPr>
        <w:t>ИС ПМП</w:t>
      </w:r>
      <w:r w:rsidRPr="00B77294">
        <w:rPr>
          <w:rFonts w:ascii="Times New Roman" w:hAnsi="Times New Roman"/>
          <w:sz w:val="24"/>
          <w:szCs w:val="24"/>
          <w:lang w:val="ru-MD"/>
        </w:rPr>
        <w:t xml:space="preserve">, </w:t>
      </w:r>
      <w:r w:rsidR="005D37D0" w:rsidRPr="00B77294">
        <w:rPr>
          <w:rFonts w:ascii="Times New Roman" w:hAnsi="Times New Roman"/>
          <w:sz w:val="24"/>
          <w:szCs w:val="24"/>
          <w:lang w:val="ru-MD"/>
        </w:rPr>
        <w:t>ИС БМП</w:t>
      </w:r>
      <w:r w:rsidRPr="00B77294">
        <w:rPr>
          <w:rFonts w:ascii="Times New Roman" w:hAnsi="Times New Roman"/>
          <w:sz w:val="24"/>
          <w:szCs w:val="24"/>
          <w:lang w:val="ru-MD"/>
        </w:rPr>
        <w:t xml:space="preserve">), не обеспечивает исчерпывающие данные для установления степени </w:t>
      </w:r>
      <w:r w:rsidR="0056202C" w:rsidRPr="00B77294">
        <w:rPr>
          <w:rFonts w:ascii="Times New Roman" w:hAnsi="Times New Roman"/>
          <w:sz w:val="24"/>
          <w:szCs w:val="24"/>
          <w:lang w:val="ru-MD"/>
        </w:rPr>
        <w:t>ограничения возможностей</w:t>
      </w:r>
      <w:r w:rsidR="00AF4B87" w:rsidRPr="00B77294">
        <w:rPr>
          <w:rFonts w:ascii="Times New Roman" w:hAnsi="Times New Roman"/>
          <w:sz w:val="24"/>
          <w:szCs w:val="24"/>
          <w:lang w:val="ru-MD"/>
        </w:rPr>
        <w:t>;</w:t>
      </w:r>
      <w:r w:rsidR="004748C4" w:rsidRPr="00B77294">
        <w:rPr>
          <w:rFonts w:ascii="Times New Roman" w:hAnsi="Times New Roman"/>
          <w:sz w:val="24"/>
          <w:szCs w:val="24"/>
          <w:lang w:val="ru-MD"/>
        </w:rPr>
        <w:t xml:space="preserve"> </w:t>
      </w:r>
    </w:p>
    <w:p w14:paraId="48AF852E" w14:textId="49A57AAC" w:rsidR="004748C4" w:rsidRPr="00B77294" w:rsidRDefault="002E15FC" w:rsidP="002E15FC">
      <w:pPr>
        <w:pStyle w:val="ac"/>
        <w:numPr>
          <w:ilvl w:val="0"/>
          <w:numId w:val="5"/>
        </w:numPr>
        <w:spacing w:after="0" w:line="276" w:lineRule="auto"/>
        <w:ind w:left="0" w:firstLine="360"/>
        <w:jc w:val="both"/>
        <w:rPr>
          <w:rFonts w:ascii="Times New Roman" w:hAnsi="Times New Roman"/>
          <w:sz w:val="24"/>
          <w:szCs w:val="24"/>
          <w:lang w:val="ru-MD"/>
        </w:rPr>
      </w:pPr>
      <w:r w:rsidRPr="00B77294">
        <w:rPr>
          <w:rFonts w:ascii="Times New Roman" w:hAnsi="Times New Roman"/>
          <w:sz w:val="24"/>
          <w:szCs w:val="24"/>
          <w:lang w:val="ru-MD"/>
        </w:rPr>
        <w:t xml:space="preserve">отсутствие лица, запрашивающего определения степени </w:t>
      </w:r>
      <w:r w:rsidR="0056202C" w:rsidRPr="00B77294">
        <w:rPr>
          <w:rFonts w:ascii="Times New Roman" w:hAnsi="Times New Roman"/>
          <w:sz w:val="24"/>
          <w:szCs w:val="24"/>
          <w:lang w:val="ru-MD"/>
        </w:rPr>
        <w:t>ограничения возможностей</w:t>
      </w:r>
      <w:r w:rsidRPr="00B77294">
        <w:rPr>
          <w:rFonts w:ascii="Times New Roman" w:hAnsi="Times New Roman"/>
          <w:sz w:val="24"/>
          <w:szCs w:val="24"/>
          <w:lang w:val="ru-MD"/>
        </w:rPr>
        <w:t>, при рассмотрении д</w:t>
      </w:r>
      <w:r w:rsidR="005D37D0" w:rsidRPr="00B77294">
        <w:rPr>
          <w:rFonts w:ascii="Times New Roman" w:hAnsi="Times New Roman"/>
          <w:sz w:val="24"/>
          <w:szCs w:val="24"/>
          <w:lang w:val="ru-MD"/>
        </w:rPr>
        <w:t>осье</w:t>
      </w:r>
      <w:r w:rsidRPr="00B77294">
        <w:rPr>
          <w:rFonts w:ascii="Times New Roman" w:hAnsi="Times New Roman"/>
          <w:sz w:val="24"/>
          <w:szCs w:val="24"/>
          <w:lang w:val="ru-MD"/>
        </w:rPr>
        <w:t xml:space="preserve">, в некоторых случаях создает препятствия для правильного определения степени </w:t>
      </w:r>
      <w:r w:rsidR="0056202C" w:rsidRPr="00B77294">
        <w:rPr>
          <w:rFonts w:ascii="Times New Roman" w:hAnsi="Times New Roman"/>
          <w:sz w:val="24"/>
          <w:szCs w:val="24"/>
          <w:lang w:val="ru-MD"/>
        </w:rPr>
        <w:t>ограничения возможностей</w:t>
      </w:r>
      <w:r w:rsidRPr="00B77294">
        <w:rPr>
          <w:rFonts w:ascii="Times New Roman" w:hAnsi="Times New Roman"/>
          <w:sz w:val="24"/>
          <w:szCs w:val="24"/>
          <w:lang w:val="ru-MD"/>
        </w:rPr>
        <w:t>, что генерирует большое количество апелляций</w:t>
      </w:r>
      <w:r w:rsidR="004748C4" w:rsidRPr="00B77294">
        <w:rPr>
          <w:rFonts w:ascii="Times New Roman" w:hAnsi="Times New Roman"/>
          <w:sz w:val="24"/>
          <w:szCs w:val="24"/>
          <w:lang w:val="ru-MD"/>
        </w:rPr>
        <w:t>.</w:t>
      </w:r>
    </w:p>
    <w:p w14:paraId="49544DCB" w14:textId="77777777" w:rsidR="002E15FC" w:rsidRPr="00B77294" w:rsidRDefault="002E15FC" w:rsidP="00683723">
      <w:pPr>
        <w:spacing w:after="0" w:line="276" w:lineRule="auto"/>
        <w:ind w:firstLine="360"/>
        <w:jc w:val="both"/>
        <w:rPr>
          <w:i/>
          <w:color w:val="auto"/>
          <w:sz w:val="24"/>
          <w:szCs w:val="24"/>
          <w:lang w:val="ru-MD"/>
        </w:rPr>
      </w:pPr>
    </w:p>
    <w:p w14:paraId="6A212994" w14:textId="1939F534" w:rsidR="00651E31" w:rsidRPr="00B77294" w:rsidRDefault="00EC6E48" w:rsidP="00683723">
      <w:pPr>
        <w:spacing w:after="0" w:line="276" w:lineRule="auto"/>
        <w:ind w:firstLine="360"/>
        <w:jc w:val="both"/>
        <w:rPr>
          <w:color w:val="auto"/>
          <w:sz w:val="24"/>
          <w:szCs w:val="24"/>
          <w:lang w:val="ru-MD"/>
        </w:rPr>
      </w:pPr>
      <w:r w:rsidRPr="00B77294">
        <w:rPr>
          <w:i/>
          <w:color w:val="auto"/>
          <w:sz w:val="24"/>
          <w:szCs w:val="24"/>
          <w:lang w:val="ru-MD"/>
        </w:rPr>
        <w:t>Процесс оцифровки досье лиц с ограниченными возможностями был неэффективным, ситуация была вызвана ненадлежащим использованием внешних финансовых средств в размере 887,0 тыс. леев, что не обеспечило достижения поставленной цели - владения полными данными из досье лиц с ограниченными возможностями, за предыдущие периоды</w:t>
      </w:r>
      <w:r w:rsidR="00A7551F" w:rsidRPr="00B77294">
        <w:rPr>
          <w:i/>
          <w:color w:val="auto"/>
          <w:sz w:val="24"/>
          <w:szCs w:val="24"/>
          <w:lang w:val="ru-MD"/>
        </w:rPr>
        <w:t xml:space="preserve">. </w:t>
      </w:r>
      <w:r w:rsidRPr="00B77294">
        <w:rPr>
          <w:color w:val="auto"/>
          <w:sz w:val="24"/>
          <w:szCs w:val="24"/>
          <w:lang w:val="ru-MD"/>
        </w:rPr>
        <w:t>Так</w:t>
      </w:r>
      <w:r w:rsidR="006070F7" w:rsidRPr="00B77294">
        <w:rPr>
          <w:color w:val="auto"/>
          <w:sz w:val="24"/>
          <w:szCs w:val="24"/>
          <w:lang w:val="ru-MD"/>
        </w:rPr>
        <w:t xml:space="preserve">, </w:t>
      </w:r>
      <w:r w:rsidRPr="00B77294">
        <w:rPr>
          <w:color w:val="auto"/>
          <w:sz w:val="24"/>
          <w:szCs w:val="24"/>
          <w:lang w:val="ru-MD"/>
        </w:rPr>
        <w:t xml:space="preserve"> </w:t>
      </w:r>
    </w:p>
    <w:p w14:paraId="4B1AD180" w14:textId="523BE2AF" w:rsidR="00BE1807" w:rsidRPr="00B77294" w:rsidRDefault="00611549" w:rsidP="00611549">
      <w:pPr>
        <w:pStyle w:val="ac"/>
        <w:numPr>
          <w:ilvl w:val="0"/>
          <w:numId w:val="5"/>
        </w:numPr>
        <w:tabs>
          <w:tab w:val="left" w:pos="454"/>
        </w:tabs>
        <w:spacing w:after="0" w:line="276" w:lineRule="auto"/>
        <w:ind w:left="0" w:firstLine="360"/>
        <w:jc w:val="both"/>
        <w:rPr>
          <w:rFonts w:ascii="Times New Roman" w:hAnsi="Times New Roman"/>
          <w:sz w:val="24"/>
          <w:szCs w:val="24"/>
          <w:lang w:val="ru-MD"/>
        </w:rPr>
      </w:pPr>
      <w:r w:rsidRPr="00B77294">
        <w:rPr>
          <w:rFonts w:ascii="Times New Roman" w:hAnsi="Times New Roman"/>
          <w:sz w:val="24"/>
          <w:szCs w:val="24"/>
          <w:lang w:val="ru-MD"/>
        </w:rPr>
        <w:t xml:space="preserve">отбор поставщиков услуг для реализации проекта, связанного с оцифровкой досье лиц с ограниченными возможностями, составленных до 2020 года, проводился непрозрачно и </w:t>
      </w:r>
      <w:r w:rsidR="00EA66A3" w:rsidRPr="00B77294">
        <w:rPr>
          <w:rFonts w:ascii="Times New Roman" w:hAnsi="Times New Roman"/>
          <w:sz w:val="24"/>
          <w:szCs w:val="24"/>
          <w:lang w:val="ru-MD"/>
        </w:rPr>
        <w:t>с</w:t>
      </w:r>
      <w:r w:rsidRPr="00B77294">
        <w:rPr>
          <w:rFonts w:ascii="Times New Roman" w:hAnsi="Times New Roman"/>
          <w:sz w:val="24"/>
          <w:szCs w:val="24"/>
          <w:lang w:val="ru-MD"/>
        </w:rPr>
        <w:t xml:space="preserve"> </w:t>
      </w:r>
      <w:r w:rsidR="00EA66A3" w:rsidRPr="00B77294">
        <w:rPr>
          <w:rFonts w:ascii="Times New Roman" w:hAnsi="Times New Roman"/>
          <w:sz w:val="24"/>
          <w:szCs w:val="24"/>
          <w:lang w:val="ru-MD"/>
        </w:rPr>
        <w:t>не</w:t>
      </w:r>
      <w:r w:rsidRPr="00B77294">
        <w:rPr>
          <w:rFonts w:ascii="Times New Roman" w:hAnsi="Times New Roman"/>
          <w:sz w:val="24"/>
          <w:szCs w:val="24"/>
          <w:lang w:val="ru-MD"/>
        </w:rPr>
        <w:t>соблюдени</w:t>
      </w:r>
      <w:r w:rsidR="00EA66A3" w:rsidRPr="00B77294">
        <w:rPr>
          <w:rFonts w:ascii="Times New Roman" w:hAnsi="Times New Roman"/>
          <w:sz w:val="24"/>
          <w:szCs w:val="24"/>
          <w:lang w:val="ru-MD"/>
        </w:rPr>
        <w:t>ем</w:t>
      </w:r>
      <w:r w:rsidRPr="00B77294">
        <w:rPr>
          <w:rFonts w:ascii="Times New Roman" w:hAnsi="Times New Roman"/>
          <w:sz w:val="24"/>
          <w:szCs w:val="24"/>
          <w:lang w:val="ru-MD"/>
        </w:rPr>
        <w:t xml:space="preserve"> принципов конкуренции и равного </w:t>
      </w:r>
      <w:r w:rsidR="00EA66A3" w:rsidRPr="00B77294">
        <w:rPr>
          <w:rFonts w:ascii="Times New Roman" w:hAnsi="Times New Roman"/>
          <w:sz w:val="24"/>
          <w:szCs w:val="24"/>
          <w:lang w:val="ru-MD"/>
        </w:rPr>
        <w:t>подхода</w:t>
      </w:r>
      <w:r w:rsidR="00BE1807" w:rsidRPr="00B77294">
        <w:rPr>
          <w:rFonts w:ascii="Times New Roman" w:hAnsi="Times New Roman"/>
          <w:sz w:val="24"/>
          <w:szCs w:val="24"/>
          <w:lang w:val="ru-MD"/>
        </w:rPr>
        <w:t>;</w:t>
      </w:r>
    </w:p>
    <w:p w14:paraId="6FB3DD57" w14:textId="5549ED26" w:rsidR="00BE1807" w:rsidRPr="00B77294" w:rsidRDefault="00611549" w:rsidP="00611549">
      <w:pPr>
        <w:pStyle w:val="ac"/>
        <w:numPr>
          <w:ilvl w:val="0"/>
          <w:numId w:val="5"/>
        </w:numPr>
        <w:tabs>
          <w:tab w:val="left" w:pos="454"/>
        </w:tabs>
        <w:spacing w:after="0" w:line="276" w:lineRule="auto"/>
        <w:ind w:left="0" w:firstLine="360"/>
        <w:jc w:val="both"/>
        <w:rPr>
          <w:rFonts w:ascii="Times New Roman" w:hAnsi="Times New Roman"/>
          <w:sz w:val="24"/>
          <w:szCs w:val="24"/>
          <w:lang w:val="ru-MD"/>
        </w:rPr>
      </w:pPr>
      <w:r w:rsidRPr="00B77294">
        <w:rPr>
          <w:rFonts w:ascii="Times New Roman" w:hAnsi="Times New Roman"/>
          <w:sz w:val="24"/>
          <w:szCs w:val="24"/>
          <w:lang w:val="ru-MD"/>
        </w:rPr>
        <w:t xml:space="preserve">отсутствие объявления о </w:t>
      </w:r>
      <w:r w:rsidR="00EA66A3" w:rsidRPr="00B77294">
        <w:rPr>
          <w:rFonts w:ascii="Times New Roman" w:hAnsi="Times New Roman"/>
          <w:sz w:val="24"/>
          <w:szCs w:val="24"/>
          <w:lang w:val="ru-MD"/>
        </w:rPr>
        <w:t>за</w:t>
      </w:r>
      <w:r w:rsidRPr="00B77294">
        <w:rPr>
          <w:rFonts w:ascii="Times New Roman" w:hAnsi="Times New Roman"/>
          <w:sz w:val="24"/>
          <w:szCs w:val="24"/>
          <w:lang w:val="ru-MD"/>
        </w:rPr>
        <w:t xml:space="preserve">купке на веб-сайте учреждения или на других порталах, а также неустановление требований и </w:t>
      </w:r>
      <w:r w:rsidR="00EA66A3" w:rsidRPr="00B77294">
        <w:rPr>
          <w:rFonts w:ascii="Times New Roman" w:hAnsi="Times New Roman"/>
          <w:sz w:val="24"/>
          <w:szCs w:val="24"/>
          <w:lang w:val="ru-MD"/>
        </w:rPr>
        <w:t>технического задания для</w:t>
      </w:r>
      <w:r w:rsidRPr="00B77294">
        <w:rPr>
          <w:rFonts w:ascii="Times New Roman" w:hAnsi="Times New Roman"/>
          <w:sz w:val="24"/>
          <w:szCs w:val="24"/>
          <w:lang w:val="ru-MD"/>
        </w:rPr>
        <w:t xml:space="preserve"> поставщик</w:t>
      </w:r>
      <w:r w:rsidR="00EA66A3" w:rsidRPr="00B77294">
        <w:rPr>
          <w:rFonts w:ascii="Times New Roman" w:hAnsi="Times New Roman"/>
          <w:sz w:val="24"/>
          <w:szCs w:val="24"/>
          <w:lang w:val="ru-MD"/>
        </w:rPr>
        <w:t>а</w:t>
      </w:r>
      <w:r w:rsidRPr="00B77294">
        <w:rPr>
          <w:rFonts w:ascii="Times New Roman" w:hAnsi="Times New Roman"/>
          <w:sz w:val="24"/>
          <w:szCs w:val="24"/>
          <w:lang w:val="ru-MD"/>
        </w:rPr>
        <w:t xml:space="preserve">, которые должны были быть разработаны в рамках процедуры </w:t>
      </w:r>
      <w:r w:rsidR="00EA66A3" w:rsidRPr="00B77294">
        <w:rPr>
          <w:rFonts w:ascii="Times New Roman" w:hAnsi="Times New Roman"/>
          <w:sz w:val="24"/>
          <w:szCs w:val="24"/>
          <w:lang w:val="ru-MD"/>
        </w:rPr>
        <w:t>закупок</w:t>
      </w:r>
      <w:r w:rsidRPr="00B77294">
        <w:rPr>
          <w:rFonts w:ascii="Times New Roman" w:hAnsi="Times New Roman"/>
          <w:sz w:val="24"/>
          <w:szCs w:val="24"/>
          <w:lang w:val="ru-MD"/>
        </w:rPr>
        <w:t>, ограничили аудит в оценке соответствия этого процесса</w:t>
      </w:r>
      <w:r w:rsidR="00BE1807" w:rsidRPr="00B77294">
        <w:rPr>
          <w:rFonts w:ascii="Times New Roman" w:hAnsi="Times New Roman"/>
          <w:sz w:val="24"/>
          <w:szCs w:val="24"/>
          <w:lang w:val="ru-MD"/>
        </w:rPr>
        <w:t>;</w:t>
      </w:r>
      <w:r w:rsidR="00B73D2D" w:rsidRPr="00B77294">
        <w:rPr>
          <w:rFonts w:ascii="Times New Roman" w:hAnsi="Times New Roman"/>
          <w:sz w:val="24"/>
          <w:szCs w:val="24"/>
          <w:lang w:val="ru-MD"/>
        </w:rPr>
        <w:t xml:space="preserve"> </w:t>
      </w:r>
    </w:p>
    <w:p w14:paraId="31173771" w14:textId="57880038" w:rsidR="00BE1807" w:rsidRPr="00B77294" w:rsidRDefault="00611549" w:rsidP="00611549">
      <w:pPr>
        <w:pStyle w:val="ac"/>
        <w:numPr>
          <w:ilvl w:val="0"/>
          <w:numId w:val="5"/>
        </w:numPr>
        <w:tabs>
          <w:tab w:val="left" w:pos="454"/>
        </w:tabs>
        <w:spacing w:after="0" w:line="276" w:lineRule="auto"/>
        <w:ind w:left="0" w:firstLine="360"/>
        <w:jc w:val="both"/>
        <w:rPr>
          <w:rFonts w:ascii="Times New Roman" w:hAnsi="Times New Roman"/>
          <w:sz w:val="24"/>
          <w:szCs w:val="24"/>
          <w:lang w:val="ru-MD"/>
        </w:rPr>
      </w:pPr>
      <w:r w:rsidRPr="00B77294">
        <w:rPr>
          <w:rFonts w:ascii="Times New Roman" w:hAnsi="Times New Roman"/>
          <w:sz w:val="24"/>
          <w:szCs w:val="24"/>
          <w:lang w:val="ru-MD"/>
        </w:rPr>
        <w:t>отсутствие в д</w:t>
      </w:r>
      <w:r w:rsidR="00EA66A3" w:rsidRPr="00B77294">
        <w:rPr>
          <w:rFonts w:ascii="Times New Roman" w:hAnsi="Times New Roman"/>
          <w:sz w:val="24"/>
          <w:szCs w:val="24"/>
          <w:lang w:val="ru-MD"/>
        </w:rPr>
        <w:t>ела</w:t>
      </w:r>
      <w:r w:rsidRPr="00B77294">
        <w:rPr>
          <w:rFonts w:ascii="Times New Roman" w:hAnsi="Times New Roman"/>
          <w:sz w:val="24"/>
          <w:szCs w:val="24"/>
          <w:lang w:val="ru-MD"/>
        </w:rPr>
        <w:t>х о закупк</w:t>
      </w:r>
      <w:r w:rsidR="00EA66A3" w:rsidRPr="00B77294">
        <w:rPr>
          <w:rFonts w:ascii="Times New Roman" w:hAnsi="Times New Roman"/>
          <w:sz w:val="24"/>
          <w:szCs w:val="24"/>
          <w:lang w:val="ru-MD"/>
        </w:rPr>
        <w:t>е</w:t>
      </w:r>
      <w:r w:rsidRPr="00B77294">
        <w:rPr>
          <w:rFonts w:ascii="Times New Roman" w:hAnsi="Times New Roman"/>
          <w:sz w:val="24"/>
          <w:szCs w:val="24"/>
          <w:lang w:val="ru-MD"/>
        </w:rPr>
        <w:t xml:space="preserve"> документов, подтверждающих квалификационные требования, </w:t>
      </w:r>
      <w:r w:rsidR="00EA66A3" w:rsidRPr="00B77294">
        <w:rPr>
          <w:rFonts w:ascii="Times New Roman" w:hAnsi="Times New Roman"/>
          <w:sz w:val="24"/>
          <w:szCs w:val="24"/>
          <w:lang w:val="ru-MD"/>
        </w:rPr>
        <w:t>образование</w:t>
      </w:r>
      <w:r w:rsidRPr="00B77294">
        <w:rPr>
          <w:rFonts w:ascii="Times New Roman" w:hAnsi="Times New Roman"/>
          <w:sz w:val="24"/>
          <w:szCs w:val="24"/>
          <w:lang w:val="ru-MD"/>
        </w:rPr>
        <w:t xml:space="preserve"> и опыт в данной области, не дает </w:t>
      </w:r>
      <w:r w:rsidR="00EA66A3" w:rsidRPr="00B77294">
        <w:rPr>
          <w:rFonts w:ascii="Times New Roman" w:hAnsi="Times New Roman"/>
          <w:sz w:val="24"/>
          <w:szCs w:val="24"/>
          <w:lang w:val="ru-MD"/>
        </w:rPr>
        <w:t>гарант</w:t>
      </w:r>
      <w:r w:rsidRPr="00B77294">
        <w:rPr>
          <w:rFonts w:ascii="Times New Roman" w:hAnsi="Times New Roman"/>
          <w:sz w:val="24"/>
          <w:szCs w:val="24"/>
          <w:lang w:val="ru-MD"/>
        </w:rPr>
        <w:t>ий того, что поставщики услуг обеспеч</w:t>
      </w:r>
      <w:r w:rsidR="00EA66A3" w:rsidRPr="00B77294">
        <w:rPr>
          <w:rFonts w:ascii="Times New Roman" w:hAnsi="Times New Roman"/>
          <w:sz w:val="24"/>
          <w:szCs w:val="24"/>
          <w:lang w:val="ru-MD"/>
        </w:rPr>
        <w:t>ат</w:t>
      </w:r>
      <w:r w:rsidRPr="00B77294">
        <w:rPr>
          <w:rFonts w:ascii="Times New Roman" w:hAnsi="Times New Roman"/>
          <w:sz w:val="24"/>
          <w:szCs w:val="24"/>
          <w:lang w:val="ru-MD"/>
        </w:rPr>
        <w:t xml:space="preserve"> их качество</w:t>
      </w:r>
      <w:r w:rsidR="00A7551F" w:rsidRPr="00B77294">
        <w:rPr>
          <w:rFonts w:ascii="Times New Roman" w:hAnsi="Times New Roman"/>
          <w:sz w:val="24"/>
          <w:szCs w:val="24"/>
          <w:lang w:val="ru-MD"/>
        </w:rPr>
        <w:t xml:space="preserve">; </w:t>
      </w:r>
    </w:p>
    <w:p w14:paraId="1333A55D" w14:textId="45424EB3" w:rsidR="00DC2D60" w:rsidRPr="00B77294" w:rsidRDefault="00611549" w:rsidP="00611549">
      <w:pPr>
        <w:pStyle w:val="ac"/>
        <w:numPr>
          <w:ilvl w:val="0"/>
          <w:numId w:val="5"/>
        </w:numPr>
        <w:tabs>
          <w:tab w:val="left" w:pos="454"/>
        </w:tabs>
        <w:spacing w:after="0" w:line="276" w:lineRule="auto"/>
        <w:ind w:left="0" w:firstLine="360"/>
        <w:jc w:val="both"/>
        <w:rPr>
          <w:rFonts w:ascii="Times New Roman" w:hAnsi="Times New Roman"/>
          <w:sz w:val="24"/>
          <w:szCs w:val="24"/>
          <w:lang w:val="ru-MD"/>
        </w:rPr>
      </w:pPr>
      <w:r w:rsidRPr="00B77294">
        <w:rPr>
          <w:rFonts w:ascii="Times New Roman" w:hAnsi="Times New Roman"/>
          <w:sz w:val="24"/>
          <w:szCs w:val="24"/>
          <w:lang w:val="ru-MD"/>
        </w:rPr>
        <w:t xml:space="preserve">отсутствие профессионального опыта </w:t>
      </w:r>
      <w:r w:rsidR="00EA66A3" w:rsidRPr="00B77294">
        <w:rPr>
          <w:rFonts w:ascii="Times New Roman" w:hAnsi="Times New Roman"/>
          <w:sz w:val="24"/>
          <w:szCs w:val="24"/>
          <w:lang w:val="ru-MD"/>
        </w:rPr>
        <w:t xml:space="preserve">у </w:t>
      </w:r>
      <w:r w:rsidRPr="00B77294">
        <w:rPr>
          <w:rFonts w:ascii="Times New Roman" w:hAnsi="Times New Roman"/>
          <w:sz w:val="24"/>
          <w:szCs w:val="24"/>
          <w:lang w:val="ru-MD"/>
        </w:rPr>
        <w:t xml:space="preserve">координатора проекта, который </w:t>
      </w:r>
      <w:r w:rsidR="004C04E3" w:rsidRPr="00B77294">
        <w:rPr>
          <w:rFonts w:ascii="Times New Roman" w:hAnsi="Times New Roman"/>
          <w:sz w:val="24"/>
          <w:szCs w:val="24"/>
          <w:lang w:val="ru-MD"/>
        </w:rPr>
        <w:t xml:space="preserve">ранее </w:t>
      </w:r>
      <w:r w:rsidRPr="00B77294">
        <w:rPr>
          <w:rFonts w:ascii="Times New Roman" w:hAnsi="Times New Roman"/>
          <w:sz w:val="24"/>
          <w:szCs w:val="24"/>
          <w:lang w:val="ru-MD"/>
        </w:rPr>
        <w:t xml:space="preserve">работал только в качестве дизайнера мебели (один год и 4 месяца), </w:t>
      </w:r>
      <w:r w:rsidR="00D15A0B" w:rsidRPr="00B77294">
        <w:rPr>
          <w:rFonts w:ascii="Times New Roman" w:hAnsi="Times New Roman"/>
          <w:sz w:val="24"/>
          <w:szCs w:val="24"/>
          <w:lang w:val="ru-MD"/>
        </w:rPr>
        <w:t>обуслови</w:t>
      </w:r>
      <w:r w:rsidRPr="00B77294">
        <w:rPr>
          <w:rFonts w:ascii="Times New Roman" w:hAnsi="Times New Roman"/>
          <w:sz w:val="24"/>
          <w:szCs w:val="24"/>
          <w:lang w:val="ru-MD"/>
        </w:rPr>
        <w:t>ло риск</w:t>
      </w:r>
      <w:r w:rsidR="00D15A0B" w:rsidRPr="00B77294">
        <w:rPr>
          <w:rFonts w:ascii="Times New Roman" w:hAnsi="Times New Roman"/>
          <w:sz w:val="24"/>
          <w:szCs w:val="24"/>
          <w:lang w:val="ru-MD"/>
        </w:rPr>
        <w:t>и</w:t>
      </w:r>
      <w:r w:rsidRPr="00B77294">
        <w:rPr>
          <w:rFonts w:ascii="Times New Roman" w:hAnsi="Times New Roman"/>
          <w:sz w:val="24"/>
          <w:szCs w:val="24"/>
          <w:lang w:val="ru-MD"/>
        </w:rPr>
        <w:t xml:space="preserve"> </w:t>
      </w:r>
      <w:r w:rsidR="004C04E3" w:rsidRPr="00B77294">
        <w:rPr>
          <w:rFonts w:ascii="Times New Roman" w:hAnsi="Times New Roman"/>
          <w:sz w:val="24"/>
          <w:szCs w:val="24"/>
          <w:lang w:val="ru-MD"/>
        </w:rPr>
        <w:t>надлежащего</w:t>
      </w:r>
      <w:r w:rsidRPr="00B77294">
        <w:rPr>
          <w:rFonts w:ascii="Times New Roman" w:hAnsi="Times New Roman"/>
          <w:sz w:val="24"/>
          <w:szCs w:val="24"/>
          <w:lang w:val="ru-MD"/>
        </w:rPr>
        <w:t xml:space="preserve"> </w:t>
      </w:r>
      <w:r w:rsidR="004C04E3" w:rsidRPr="00B77294">
        <w:rPr>
          <w:rFonts w:ascii="Times New Roman" w:hAnsi="Times New Roman"/>
          <w:sz w:val="24"/>
          <w:szCs w:val="24"/>
          <w:lang w:val="ru-MD"/>
        </w:rPr>
        <w:t>ис</w:t>
      </w:r>
      <w:r w:rsidRPr="00B77294">
        <w:rPr>
          <w:rFonts w:ascii="Times New Roman" w:hAnsi="Times New Roman"/>
          <w:sz w:val="24"/>
          <w:szCs w:val="24"/>
          <w:lang w:val="ru-MD"/>
        </w:rPr>
        <w:t>полнени</w:t>
      </w:r>
      <w:r w:rsidR="004C04E3" w:rsidRPr="00B77294">
        <w:rPr>
          <w:rFonts w:ascii="Times New Roman" w:hAnsi="Times New Roman"/>
          <w:sz w:val="24"/>
          <w:szCs w:val="24"/>
          <w:lang w:val="ru-MD"/>
        </w:rPr>
        <w:t>я</w:t>
      </w:r>
      <w:r w:rsidRPr="00B77294">
        <w:rPr>
          <w:rFonts w:ascii="Times New Roman" w:hAnsi="Times New Roman"/>
          <w:sz w:val="24"/>
          <w:szCs w:val="24"/>
          <w:lang w:val="ru-MD"/>
        </w:rPr>
        <w:t xml:space="preserve"> проекта, а также </w:t>
      </w:r>
      <w:r w:rsidR="004C04E3" w:rsidRPr="00B77294">
        <w:rPr>
          <w:rFonts w:ascii="Times New Roman" w:hAnsi="Times New Roman"/>
          <w:sz w:val="24"/>
          <w:szCs w:val="24"/>
          <w:lang w:val="ru-MD"/>
        </w:rPr>
        <w:t xml:space="preserve">недостижения в </w:t>
      </w:r>
      <w:r w:rsidRPr="00B77294">
        <w:rPr>
          <w:rFonts w:ascii="Times New Roman" w:hAnsi="Times New Roman"/>
          <w:sz w:val="24"/>
          <w:szCs w:val="24"/>
          <w:lang w:val="ru-MD"/>
        </w:rPr>
        <w:t>полн</w:t>
      </w:r>
      <w:r w:rsidR="004C04E3" w:rsidRPr="00B77294">
        <w:rPr>
          <w:rFonts w:ascii="Times New Roman" w:hAnsi="Times New Roman"/>
          <w:sz w:val="24"/>
          <w:szCs w:val="24"/>
          <w:lang w:val="ru-MD"/>
        </w:rPr>
        <w:t>ой</w:t>
      </w:r>
      <w:r w:rsidRPr="00B77294">
        <w:rPr>
          <w:rFonts w:ascii="Times New Roman" w:hAnsi="Times New Roman"/>
          <w:sz w:val="24"/>
          <w:szCs w:val="24"/>
          <w:lang w:val="ru-MD"/>
        </w:rPr>
        <w:t xml:space="preserve"> </w:t>
      </w:r>
      <w:r w:rsidR="004C04E3" w:rsidRPr="00B77294">
        <w:rPr>
          <w:rFonts w:ascii="Times New Roman" w:hAnsi="Times New Roman"/>
          <w:sz w:val="24"/>
          <w:szCs w:val="24"/>
          <w:lang w:val="ru-MD"/>
        </w:rPr>
        <w:t>мере</w:t>
      </w:r>
      <w:r w:rsidRPr="00B77294">
        <w:rPr>
          <w:rFonts w:ascii="Times New Roman" w:hAnsi="Times New Roman"/>
          <w:sz w:val="24"/>
          <w:szCs w:val="24"/>
          <w:lang w:val="ru-MD"/>
        </w:rPr>
        <w:t xml:space="preserve"> </w:t>
      </w:r>
      <w:r w:rsidR="004C04E3" w:rsidRPr="00B77294">
        <w:rPr>
          <w:rFonts w:ascii="Times New Roman" w:hAnsi="Times New Roman"/>
          <w:sz w:val="24"/>
          <w:szCs w:val="24"/>
          <w:lang w:val="ru-MD"/>
        </w:rPr>
        <w:t>намеченн</w:t>
      </w:r>
      <w:r w:rsidRPr="00B77294">
        <w:rPr>
          <w:rFonts w:ascii="Times New Roman" w:hAnsi="Times New Roman"/>
          <w:sz w:val="24"/>
          <w:szCs w:val="24"/>
          <w:lang w:val="ru-MD"/>
        </w:rPr>
        <w:t>ой цели</w:t>
      </w:r>
      <w:r w:rsidR="00683723" w:rsidRPr="00B77294">
        <w:rPr>
          <w:rFonts w:ascii="Times New Roman" w:hAnsi="Times New Roman"/>
          <w:sz w:val="24"/>
          <w:szCs w:val="24"/>
          <w:lang w:val="ru-MD"/>
        </w:rPr>
        <w:t>;</w:t>
      </w:r>
      <w:r w:rsidR="00DC2D60" w:rsidRPr="00B77294">
        <w:rPr>
          <w:rFonts w:ascii="Times New Roman" w:hAnsi="Times New Roman"/>
          <w:sz w:val="24"/>
          <w:szCs w:val="24"/>
          <w:lang w:val="ru-MD"/>
        </w:rPr>
        <w:t xml:space="preserve"> </w:t>
      </w:r>
    </w:p>
    <w:p w14:paraId="5C17B0C0" w14:textId="62DDFDBC" w:rsidR="0079627F" w:rsidRPr="00B77294" w:rsidRDefault="00611549" w:rsidP="00611549">
      <w:pPr>
        <w:pStyle w:val="ac"/>
        <w:numPr>
          <w:ilvl w:val="0"/>
          <w:numId w:val="5"/>
        </w:numPr>
        <w:tabs>
          <w:tab w:val="left" w:pos="454"/>
        </w:tabs>
        <w:spacing w:after="0" w:line="276" w:lineRule="auto"/>
        <w:ind w:left="0" w:firstLine="360"/>
        <w:jc w:val="both"/>
        <w:rPr>
          <w:rFonts w:ascii="Times New Roman" w:hAnsi="Times New Roman"/>
          <w:sz w:val="24"/>
          <w:szCs w:val="24"/>
          <w:lang w:val="ru-MD"/>
        </w:rPr>
      </w:pPr>
      <w:r w:rsidRPr="00B77294">
        <w:rPr>
          <w:rFonts w:ascii="Times New Roman" w:hAnsi="Times New Roman"/>
          <w:sz w:val="24"/>
          <w:szCs w:val="24"/>
          <w:lang w:val="ru-MD"/>
        </w:rPr>
        <w:t>отсутствие со стороны Консилиума контроля за исполнением законтрактованных услуг по проекту, обусловило формальное составление актов приема-передачи, а некоторые услуги из числа законтрактованных были исполнены персоналом Консилиума, что не обеспечило информацию об объеме, качестве и сроке их предоставления</w:t>
      </w:r>
      <w:r w:rsidR="00266875" w:rsidRPr="00B77294">
        <w:rPr>
          <w:rFonts w:ascii="Times New Roman" w:hAnsi="Times New Roman"/>
          <w:sz w:val="24"/>
          <w:szCs w:val="24"/>
          <w:lang w:val="ru-MD"/>
        </w:rPr>
        <w:t>;</w:t>
      </w:r>
    </w:p>
    <w:p w14:paraId="1EE4A5DF" w14:textId="2532BF35" w:rsidR="00266875" w:rsidRPr="00B77294" w:rsidRDefault="00611549" w:rsidP="00611549">
      <w:pPr>
        <w:pStyle w:val="ac"/>
        <w:numPr>
          <w:ilvl w:val="0"/>
          <w:numId w:val="5"/>
        </w:numPr>
        <w:tabs>
          <w:tab w:val="left" w:pos="454"/>
        </w:tabs>
        <w:spacing w:after="0" w:line="276" w:lineRule="auto"/>
        <w:ind w:left="0" w:firstLine="360"/>
        <w:jc w:val="both"/>
        <w:rPr>
          <w:rFonts w:ascii="Times New Roman" w:hAnsi="Times New Roman"/>
          <w:sz w:val="24"/>
          <w:szCs w:val="24"/>
          <w:lang w:val="ru-MD"/>
        </w:rPr>
      </w:pPr>
      <w:r w:rsidRPr="00B77294">
        <w:rPr>
          <w:rFonts w:ascii="Times New Roman" w:hAnsi="Times New Roman"/>
          <w:sz w:val="24"/>
          <w:szCs w:val="24"/>
          <w:lang w:val="ru-MD"/>
        </w:rPr>
        <w:t>при контрактации и оплате транспортных услуг для оказания поддержки в процессе оцифровки архива Консилиума были допущены необоснованные расходы, оцененные аудитом в размере около 100,3 тыс. леев</w:t>
      </w:r>
      <w:r w:rsidR="00DC2D60" w:rsidRPr="00B77294">
        <w:rPr>
          <w:rFonts w:ascii="Times New Roman" w:hAnsi="Times New Roman"/>
          <w:sz w:val="24"/>
          <w:szCs w:val="24"/>
          <w:lang w:val="ru-MD"/>
        </w:rPr>
        <w:t>.</w:t>
      </w:r>
      <w:r w:rsidR="006F63A0" w:rsidRPr="00B77294">
        <w:rPr>
          <w:rFonts w:ascii="Times New Roman" w:hAnsi="Times New Roman"/>
          <w:sz w:val="24"/>
          <w:szCs w:val="24"/>
          <w:lang w:val="ru-MD"/>
        </w:rPr>
        <w:t xml:space="preserve"> </w:t>
      </w:r>
      <w:r w:rsidR="00266875" w:rsidRPr="00B77294">
        <w:rPr>
          <w:rFonts w:ascii="Times New Roman" w:hAnsi="Times New Roman"/>
          <w:sz w:val="24"/>
          <w:szCs w:val="24"/>
          <w:lang w:val="ru-MD"/>
        </w:rPr>
        <w:t xml:space="preserve"> </w:t>
      </w:r>
    </w:p>
    <w:p w14:paraId="6364DBC5" w14:textId="77777777" w:rsidR="00B1407F" w:rsidRPr="00B77294" w:rsidRDefault="00B1407F" w:rsidP="00B1407F">
      <w:pPr>
        <w:pStyle w:val="ac"/>
        <w:tabs>
          <w:tab w:val="left" w:pos="454"/>
        </w:tabs>
        <w:spacing w:after="0" w:line="276" w:lineRule="auto"/>
        <w:ind w:left="360"/>
        <w:jc w:val="both"/>
        <w:rPr>
          <w:rFonts w:ascii="Times New Roman" w:hAnsi="Times New Roman"/>
          <w:sz w:val="24"/>
          <w:szCs w:val="24"/>
          <w:lang w:val="ru-MD"/>
        </w:rPr>
      </w:pPr>
    </w:p>
    <w:p w14:paraId="0235EF5C" w14:textId="7E1B500A" w:rsidR="0098617E" w:rsidRPr="00B77294" w:rsidRDefault="006F63A0" w:rsidP="0079627F">
      <w:pPr>
        <w:tabs>
          <w:tab w:val="left" w:pos="454"/>
        </w:tabs>
        <w:spacing w:after="0" w:line="276" w:lineRule="auto"/>
        <w:jc w:val="both"/>
        <w:rPr>
          <w:i/>
          <w:color w:val="auto"/>
          <w:sz w:val="24"/>
          <w:szCs w:val="24"/>
          <w:lang w:val="ru-MD"/>
        </w:rPr>
      </w:pPr>
      <w:r w:rsidRPr="00B77294">
        <w:rPr>
          <w:b/>
          <w:i/>
          <w:color w:val="auto"/>
          <w:sz w:val="24"/>
          <w:szCs w:val="24"/>
          <w:lang w:val="ru-MD"/>
        </w:rPr>
        <w:tab/>
      </w:r>
      <w:r w:rsidR="007B3B1A" w:rsidRPr="00B77294">
        <w:rPr>
          <w:i/>
          <w:color w:val="auto"/>
          <w:sz w:val="24"/>
          <w:szCs w:val="24"/>
          <w:lang w:val="ru-MD"/>
        </w:rPr>
        <w:t xml:space="preserve">Относительно реализации государственной политики по обеспечению транспортных/проездных услуг для лиц с ограниченными возможностями, в том числе путем </w:t>
      </w:r>
      <w:r w:rsidR="00CE72DA" w:rsidRPr="00B77294">
        <w:rPr>
          <w:i/>
          <w:color w:val="auto"/>
          <w:sz w:val="24"/>
          <w:szCs w:val="24"/>
          <w:lang w:val="ru-MD"/>
        </w:rPr>
        <w:t>импорт</w:t>
      </w:r>
      <w:r w:rsidR="007B3B1A" w:rsidRPr="00B77294">
        <w:rPr>
          <w:i/>
          <w:color w:val="auto"/>
          <w:sz w:val="24"/>
          <w:szCs w:val="24"/>
          <w:lang w:val="ru-MD"/>
        </w:rPr>
        <w:t xml:space="preserve">а автомобилей, для которых были предоставлены налоговые льготы, были выявлены проблемы и несоответствия, обусловленные несовершенством законодательной базы, несоблюдением законодательства, недостаточностью межведомственных контролей, что повлекло за собой предоставление необоснованных налоговых льгот на сумму не менее 77 962,4 тыс. леев (максимум около 126 720,1 тыс. леев) на ввоз 1247 автомобилей. </w:t>
      </w:r>
      <w:r w:rsidR="007B3B1A" w:rsidRPr="00B77294">
        <w:rPr>
          <w:color w:val="auto"/>
          <w:sz w:val="24"/>
          <w:szCs w:val="24"/>
          <w:lang w:val="ru-MD"/>
        </w:rPr>
        <w:t xml:space="preserve">Так, было </w:t>
      </w:r>
      <w:r w:rsidR="00CE72DA" w:rsidRPr="00B77294">
        <w:rPr>
          <w:color w:val="auto"/>
          <w:sz w:val="24"/>
          <w:szCs w:val="24"/>
          <w:lang w:val="ru-MD"/>
        </w:rPr>
        <w:t>установл</w:t>
      </w:r>
      <w:r w:rsidR="007B3B1A" w:rsidRPr="00B77294">
        <w:rPr>
          <w:color w:val="auto"/>
          <w:sz w:val="24"/>
          <w:szCs w:val="24"/>
          <w:lang w:val="ru-MD"/>
        </w:rPr>
        <w:t>ено:</w:t>
      </w:r>
      <w:r w:rsidR="007B3B1A" w:rsidRPr="00B77294">
        <w:rPr>
          <w:b/>
          <w:i/>
          <w:color w:val="auto"/>
          <w:sz w:val="24"/>
          <w:szCs w:val="24"/>
          <w:lang w:val="ru-MD"/>
        </w:rPr>
        <w:t xml:space="preserve"> </w:t>
      </w:r>
    </w:p>
    <w:p w14:paraId="4DE74CE8" w14:textId="63112B10" w:rsidR="003C5F09" w:rsidRPr="00B77294" w:rsidRDefault="00CE72DA" w:rsidP="00CE72DA">
      <w:pPr>
        <w:pStyle w:val="ac"/>
        <w:numPr>
          <w:ilvl w:val="0"/>
          <w:numId w:val="5"/>
        </w:numPr>
        <w:tabs>
          <w:tab w:val="left" w:pos="454"/>
        </w:tabs>
        <w:spacing w:after="0" w:line="276" w:lineRule="auto"/>
        <w:ind w:left="0" w:firstLine="360"/>
        <w:jc w:val="both"/>
        <w:rPr>
          <w:rFonts w:ascii="Times New Roman" w:hAnsi="Times New Roman"/>
          <w:color w:val="000000"/>
          <w:sz w:val="24"/>
          <w:szCs w:val="24"/>
          <w:lang w:val="ru-MD"/>
        </w:rPr>
      </w:pPr>
      <w:r w:rsidRPr="00B77294">
        <w:rPr>
          <w:rFonts w:ascii="Times New Roman" w:hAnsi="Times New Roman"/>
          <w:color w:val="000000"/>
          <w:sz w:val="24"/>
          <w:szCs w:val="24"/>
          <w:lang w:val="ru-MD"/>
        </w:rPr>
        <w:t>в случае 167 досье было невозможно определить диагноз, лежащий в основе присвоения степени инвалидности, поскольку досье составлялись в период 2016-2020 годов, а в Информационной системе не отсканированы и не внесены решения и отчеты из досье</w:t>
      </w:r>
      <w:r w:rsidR="003C5F09" w:rsidRPr="00B77294">
        <w:rPr>
          <w:rFonts w:ascii="Times New Roman" w:hAnsi="Times New Roman"/>
          <w:color w:val="000000"/>
          <w:sz w:val="24"/>
          <w:szCs w:val="24"/>
          <w:lang w:val="ru-MD"/>
        </w:rPr>
        <w:t xml:space="preserve">; </w:t>
      </w:r>
    </w:p>
    <w:p w14:paraId="3D7E31BB" w14:textId="1385D9A6" w:rsidR="003C5F09" w:rsidRPr="00B77294" w:rsidRDefault="00CE72DA" w:rsidP="00CE72DA">
      <w:pPr>
        <w:pStyle w:val="ac"/>
        <w:numPr>
          <w:ilvl w:val="0"/>
          <w:numId w:val="5"/>
        </w:numPr>
        <w:tabs>
          <w:tab w:val="left" w:pos="454"/>
        </w:tabs>
        <w:spacing w:after="0" w:line="276" w:lineRule="auto"/>
        <w:ind w:left="0" w:firstLine="360"/>
        <w:jc w:val="both"/>
        <w:rPr>
          <w:rFonts w:ascii="Times New Roman" w:hAnsi="Times New Roman"/>
          <w:color w:val="000000"/>
          <w:sz w:val="24"/>
          <w:szCs w:val="24"/>
          <w:lang w:val="ru-MD"/>
        </w:rPr>
      </w:pPr>
      <w:r w:rsidRPr="00B77294">
        <w:rPr>
          <w:rFonts w:ascii="Times New Roman" w:hAnsi="Times New Roman"/>
          <w:color w:val="000000"/>
          <w:sz w:val="24"/>
          <w:szCs w:val="24"/>
          <w:lang w:val="ru-MD"/>
        </w:rPr>
        <w:t>в отношении 41 лица с ограниченными возможностями опорно-двигательного аппарата, которые импортировали автомобили с освобождением от импортных пошлин, данные не были идентифицированы ни в Информационной системе совета, ни в информации, предоставленной Национальной кассой социального страхования</w:t>
      </w:r>
      <w:r w:rsidR="003C5F09" w:rsidRPr="00B77294">
        <w:rPr>
          <w:rFonts w:ascii="Times New Roman" w:hAnsi="Times New Roman"/>
          <w:color w:val="000000"/>
          <w:sz w:val="24"/>
          <w:szCs w:val="24"/>
          <w:lang w:val="ru-MD"/>
        </w:rPr>
        <w:t>;</w:t>
      </w:r>
    </w:p>
    <w:p w14:paraId="482EB8DC" w14:textId="3D8603F2" w:rsidR="003C5F09" w:rsidRPr="00B77294" w:rsidRDefault="00CE72DA" w:rsidP="00CE72DA">
      <w:pPr>
        <w:pStyle w:val="ac"/>
        <w:numPr>
          <w:ilvl w:val="0"/>
          <w:numId w:val="5"/>
        </w:numPr>
        <w:tabs>
          <w:tab w:val="left" w:pos="454"/>
        </w:tabs>
        <w:spacing w:after="0" w:line="276" w:lineRule="auto"/>
        <w:ind w:left="0" w:firstLine="360"/>
        <w:jc w:val="both"/>
        <w:rPr>
          <w:rFonts w:ascii="Times New Roman" w:hAnsi="Times New Roman"/>
          <w:color w:val="000000"/>
          <w:sz w:val="24"/>
          <w:szCs w:val="24"/>
          <w:lang w:val="ru-MD"/>
        </w:rPr>
      </w:pPr>
      <w:r w:rsidRPr="00B77294">
        <w:rPr>
          <w:rFonts w:ascii="Times New Roman" w:hAnsi="Times New Roman"/>
          <w:color w:val="000000"/>
          <w:sz w:val="24"/>
          <w:szCs w:val="24"/>
          <w:lang w:val="ru-MD"/>
        </w:rPr>
        <w:t>18 бенефициаров налоговых льгот, имеющих ограничения возможностей опорно-двигательного аппарата, являются собственниками импортируемых автомобилей и обладателями водительских сертификатов/прав, однако, согласно объяснениям</w:t>
      </w:r>
      <w:r w:rsidR="006D2065" w:rsidRPr="00B77294">
        <w:rPr>
          <w:rFonts w:ascii="Times New Roman" w:hAnsi="Times New Roman"/>
          <w:color w:val="000000"/>
          <w:sz w:val="24"/>
          <w:szCs w:val="24"/>
          <w:lang w:val="ru-MD"/>
        </w:rPr>
        <w:t xml:space="preserve"> </w:t>
      </w:r>
      <w:r w:rsidRPr="00B77294">
        <w:rPr>
          <w:rFonts w:ascii="Times New Roman" w:hAnsi="Times New Roman"/>
          <w:color w:val="000000"/>
          <w:sz w:val="24"/>
          <w:szCs w:val="24"/>
          <w:lang w:val="ru-MD"/>
        </w:rPr>
        <w:t>врачей</w:t>
      </w:r>
      <w:r w:rsidR="006D2065" w:rsidRPr="00B77294">
        <w:rPr>
          <w:rFonts w:ascii="Times New Roman" w:hAnsi="Times New Roman"/>
          <w:color w:val="000000"/>
          <w:sz w:val="24"/>
          <w:szCs w:val="24"/>
          <w:lang w:val="ru-MD"/>
        </w:rPr>
        <w:t>, дейст</w:t>
      </w:r>
      <w:r w:rsidR="004E490A" w:rsidRPr="00B77294">
        <w:rPr>
          <w:rFonts w:ascii="Times New Roman" w:hAnsi="Times New Roman"/>
          <w:color w:val="000000"/>
          <w:sz w:val="24"/>
          <w:szCs w:val="24"/>
          <w:lang w:val="ru-MD"/>
        </w:rPr>
        <w:t>в</w:t>
      </w:r>
      <w:r w:rsidR="006D2065" w:rsidRPr="00B77294">
        <w:rPr>
          <w:rFonts w:ascii="Times New Roman" w:hAnsi="Times New Roman"/>
          <w:color w:val="000000"/>
          <w:sz w:val="24"/>
          <w:szCs w:val="24"/>
          <w:lang w:val="ru-MD"/>
        </w:rPr>
        <w:t>ующих</w:t>
      </w:r>
      <w:r w:rsidRPr="00B77294">
        <w:rPr>
          <w:rFonts w:ascii="Times New Roman" w:hAnsi="Times New Roman"/>
          <w:color w:val="000000"/>
          <w:sz w:val="24"/>
          <w:szCs w:val="24"/>
          <w:lang w:val="ru-MD"/>
        </w:rPr>
        <w:t xml:space="preserve"> в рамках Консилиума, </w:t>
      </w:r>
      <w:r w:rsidR="006D2065" w:rsidRPr="00B77294">
        <w:rPr>
          <w:rFonts w:ascii="Times New Roman" w:hAnsi="Times New Roman"/>
          <w:color w:val="000000"/>
          <w:sz w:val="24"/>
          <w:szCs w:val="24"/>
          <w:lang w:val="ru-MD"/>
        </w:rPr>
        <w:t xml:space="preserve">они </w:t>
      </w:r>
      <w:r w:rsidRPr="00B77294">
        <w:rPr>
          <w:rFonts w:ascii="Times New Roman" w:hAnsi="Times New Roman"/>
          <w:color w:val="000000"/>
          <w:sz w:val="24"/>
          <w:szCs w:val="24"/>
          <w:lang w:val="ru-MD"/>
        </w:rPr>
        <w:t>не способны управлять автомобилем, что свидетельствует о незаконной выдаче водительских прав или присвоении степени ограничения возможностей</w:t>
      </w:r>
      <w:r w:rsidR="003C5F09" w:rsidRPr="00B77294">
        <w:rPr>
          <w:rFonts w:ascii="Times New Roman" w:hAnsi="Times New Roman"/>
          <w:color w:val="000000"/>
          <w:sz w:val="24"/>
          <w:szCs w:val="24"/>
          <w:lang w:val="ru-MD"/>
        </w:rPr>
        <w:t>;</w:t>
      </w:r>
    </w:p>
    <w:p w14:paraId="63A47DDF" w14:textId="5978ED6F" w:rsidR="003C5F09" w:rsidRPr="00B77294" w:rsidRDefault="00345DDB" w:rsidP="00345DDB">
      <w:pPr>
        <w:pStyle w:val="ac"/>
        <w:numPr>
          <w:ilvl w:val="0"/>
          <w:numId w:val="5"/>
        </w:numPr>
        <w:tabs>
          <w:tab w:val="left" w:pos="454"/>
        </w:tabs>
        <w:spacing w:after="0" w:line="276" w:lineRule="auto"/>
        <w:ind w:left="0" w:firstLine="360"/>
        <w:jc w:val="both"/>
        <w:rPr>
          <w:rFonts w:ascii="Times New Roman" w:hAnsi="Times New Roman"/>
          <w:color w:val="000000"/>
          <w:sz w:val="24"/>
          <w:szCs w:val="24"/>
          <w:lang w:val="ru-MD"/>
        </w:rPr>
      </w:pPr>
      <w:r w:rsidRPr="00B77294">
        <w:rPr>
          <w:rFonts w:ascii="Times New Roman" w:hAnsi="Times New Roman"/>
          <w:color w:val="000000"/>
          <w:sz w:val="24"/>
          <w:szCs w:val="24"/>
          <w:lang w:val="ru-MD"/>
        </w:rPr>
        <w:t>15 импортируемых автомобилей не зарегистрированы, хотя они прошли таможенные процедуры с освобождением от импортных пошлин и находятся на территории Республики Молдова</w:t>
      </w:r>
      <w:r w:rsidR="003C5F09" w:rsidRPr="00B77294">
        <w:rPr>
          <w:rFonts w:ascii="Times New Roman" w:hAnsi="Times New Roman"/>
          <w:color w:val="000000"/>
          <w:sz w:val="24"/>
          <w:szCs w:val="24"/>
          <w:lang w:val="ru-MD"/>
        </w:rPr>
        <w:t>;</w:t>
      </w:r>
      <w:r w:rsidR="00B97063" w:rsidRPr="00B77294">
        <w:rPr>
          <w:rFonts w:ascii="Times New Roman" w:hAnsi="Times New Roman"/>
          <w:color w:val="000000"/>
          <w:sz w:val="24"/>
          <w:szCs w:val="24"/>
          <w:lang w:val="ru-MD"/>
        </w:rPr>
        <w:t xml:space="preserve"> </w:t>
      </w:r>
    </w:p>
    <w:p w14:paraId="6FF3997D" w14:textId="6F9681BB" w:rsidR="00046211" w:rsidRPr="00B77294" w:rsidRDefault="00345DDB" w:rsidP="00345DDB">
      <w:pPr>
        <w:pStyle w:val="ac"/>
        <w:numPr>
          <w:ilvl w:val="0"/>
          <w:numId w:val="5"/>
        </w:numPr>
        <w:tabs>
          <w:tab w:val="left" w:pos="454"/>
        </w:tabs>
        <w:spacing w:after="0" w:line="276" w:lineRule="auto"/>
        <w:ind w:left="0" w:firstLine="360"/>
        <w:jc w:val="both"/>
        <w:rPr>
          <w:rFonts w:ascii="Times New Roman" w:hAnsi="Times New Roman"/>
          <w:color w:val="000000"/>
          <w:sz w:val="24"/>
          <w:szCs w:val="24"/>
          <w:lang w:val="ru-MD"/>
        </w:rPr>
      </w:pPr>
      <w:r w:rsidRPr="00B77294">
        <w:rPr>
          <w:rFonts w:ascii="Times New Roman" w:hAnsi="Times New Roman"/>
          <w:color w:val="000000"/>
          <w:sz w:val="24"/>
          <w:szCs w:val="24"/>
          <w:lang w:val="ru-MD"/>
        </w:rPr>
        <w:t>24 автомобиля, прошедшие таможенные процедуры с освобождением от импортных пошлин, были зарегистрированы без отметки „специального назначения”</w:t>
      </w:r>
      <w:r w:rsidR="00046211" w:rsidRPr="00B77294">
        <w:rPr>
          <w:rFonts w:ascii="Times New Roman" w:hAnsi="Times New Roman"/>
          <w:color w:val="000000"/>
          <w:sz w:val="24"/>
          <w:szCs w:val="24"/>
          <w:lang w:val="ru-MD"/>
        </w:rPr>
        <w:t>;</w:t>
      </w:r>
    </w:p>
    <w:p w14:paraId="387DC9BA" w14:textId="7DE104D9" w:rsidR="003C5F09" w:rsidRPr="00B77294" w:rsidRDefault="00345DDB" w:rsidP="00345DDB">
      <w:pPr>
        <w:pStyle w:val="ac"/>
        <w:numPr>
          <w:ilvl w:val="0"/>
          <w:numId w:val="5"/>
        </w:numPr>
        <w:tabs>
          <w:tab w:val="left" w:pos="454"/>
        </w:tabs>
        <w:spacing w:after="0" w:line="276" w:lineRule="auto"/>
        <w:ind w:left="0" w:firstLine="360"/>
        <w:jc w:val="both"/>
        <w:rPr>
          <w:rFonts w:ascii="Times New Roman" w:hAnsi="Times New Roman"/>
          <w:color w:val="000000"/>
          <w:sz w:val="24"/>
          <w:szCs w:val="24"/>
          <w:lang w:val="ru-MD"/>
        </w:rPr>
      </w:pPr>
      <w:r w:rsidRPr="00B77294">
        <w:rPr>
          <w:rFonts w:ascii="Times New Roman" w:hAnsi="Times New Roman"/>
          <w:color w:val="000000"/>
          <w:sz w:val="24"/>
          <w:szCs w:val="24"/>
          <w:lang w:val="ru-MD"/>
        </w:rPr>
        <w:t>31 автомобиль зарегистрирован с отметкой, но она указана неправильно или дублирована</w:t>
      </w:r>
      <w:r w:rsidR="003C5F09" w:rsidRPr="00B77294">
        <w:rPr>
          <w:rFonts w:ascii="Times New Roman" w:hAnsi="Times New Roman"/>
          <w:color w:val="000000"/>
          <w:sz w:val="24"/>
          <w:szCs w:val="24"/>
          <w:lang w:val="ru-MD"/>
        </w:rPr>
        <w:t>;</w:t>
      </w:r>
    </w:p>
    <w:p w14:paraId="51FA2580" w14:textId="1838395D" w:rsidR="003C7E6E" w:rsidRPr="00B77294" w:rsidRDefault="00345DDB" w:rsidP="00345DDB">
      <w:pPr>
        <w:pStyle w:val="ac"/>
        <w:numPr>
          <w:ilvl w:val="0"/>
          <w:numId w:val="5"/>
        </w:numPr>
        <w:tabs>
          <w:tab w:val="left" w:pos="454"/>
        </w:tabs>
        <w:spacing w:after="0" w:line="276" w:lineRule="auto"/>
        <w:ind w:left="0" w:firstLine="360"/>
        <w:jc w:val="both"/>
        <w:rPr>
          <w:rFonts w:ascii="Times New Roman" w:hAnsi="Times New Roman"/>
          <w:color w:val="000000"/>
          <w:sz w:val="24"/>
          <w:szCs w:val="24"/>
          <w:lang w:val="ru-MD"/>
        </w:rPr>
      </w:pPr>
      <w:r w:rsidRPr="00B77294">
        <w:rPr>
          <w:rFonts w:ascii="Times New Roman" w:hAnsi="Times New Roman"/>
          <w:color w:val="000000"/>
          <w:sz w:val="24"/>
          <w:szCs w:val="24"/>
          <w:lang w:val="ru-MD"/>
        </w:rPr>
        <w:t>4 автомобиля</w:t>
      </w:r>
      <w:r w:rsidR="00AC42FB" w:rsidRPr="00B77294">
        <w:rPr>
          <w:rFonts w:ascii="Times New Roman" w:hAnsi="Times New Roman"/>
          <w:color w:val="000000"/>
          <w:sz w:val="24"/>
          <w:szCs w:val="24"/>
          <w:lang w:val="ru-MD"/>
        </w:rPr>
        <w:t>,</w:t>
      </w:r>
      <w:r w:rsidRPr="00B77294">
        <w:rPr>
          <w:rFonts w:ascii="Times New Roman" w:hAnsi="Times New Roman"/>
          <w:color w:val="000000"/>
          <w:sz w:val="24"/>
          <w:szCs w:val="24"/>
          <w:lang w:val="ru-MD"/>
        </w:rPr>
        <w:t xml:space="preserve"> </w:t>
      </w:r>
      <w:r w:rsidR="00AC42FB" w:rsidRPr="00B77294">
        <w:rPr>
          <w:rFonts w:ascii="Times New Roman" w:hAnsi="Times New Roman"/>
          <w:color w:val="000000"/>
          <w:sz w:val="24"/>
          <w:szCs w:val="24"/>
          <w:lang w:val="ru-MD"/>
        </w:rPr>
        <w:t xml:space="preserve">импортируемые </w:t>
      </w:r>
      <w:r w:rsidRPr="00B77294">
        <w:rPr>
          <w:rFonts w:ascii="Times New Roman" w:hAnsi="Times New Roman"/>
          <w:color w:val="000000"/>
          <w:sz w:val="24"/>
          <w:szCs w:val="24"/>
          <w:lang w:val="ru-MD"/>
        </w:rPr>
        <w:t>с налоговыми льготами</w:t>
      </w:r>
      <w:r w:rsidR="00AC42FB" w:rsidRPr="00B77294">
        <w:rPr>
          <w:rFonts w:ascii="Times New Roman" w:hAnsi="Times New Roman"/>
          <w:color w:val="000000"/>
          <w:sz w:val="24"/>
          <w:szCs w:val="24"/>
          <w:lang w:val="ru-MD"/>
        </w:rPr>
        <w:t>,</w:t>
      </w:r>
      <w:r w:rsidRPr="00B77294">
        <w:rPr>
          <w:rFonts w:ascii="Times New Roman" w:hAnsi="Times New Roman"/>
          <w:color w:val="000000"/>
          <w:sz w:val="24"/>
          <w:szCs w:val="24"/>
          <w:lang w:val="ru-MD"/>
        </w:rPr>
        <w:t xml:space="preserve"> при первичной регистрации не имели </w:t>
      </w:r>
      <w:r w:rsidR="00AC42FB" w:rsidRPr="00B77294">
        <w:rPr>
          <w:rFonts w:ascii="Times New Roman" w:hAnsi="Times New Roman"/>
          <w:color w:val="000000"/>
          <w:sz w:val="24"/>
          <w:szCs w:val="24"/>
          <w:lang w:val="ru-MD"/>
        </w:rPr>
        <w:t>отметку</w:t>
      </w:r>
      <w:r w:rsidRPr="00B77294">
        <w:rPr>
          <w:rFonts w:ascii="Times New Roman" w:hAnsi="Times New Roman"/>
          <w:color w:val="000000"/>
          <w:sz w:val="24"/>
          <w:szCs w:val="24"/>
          <w:lang w:val="ru-MD"/>
        </w:rPr>
        <w:t xml:space="preserve"> </w:t>
      </w:r>
      <w:r w:rsidR="00AC42FB" w:rsidRPr="00B77294">
        <w:rPr>
          <w:rFonts w:ascii="Times New Roman" w:hAnsi="Times New Roman"/>
          <w:color w:val="000000"/>
          <w:sz w:val="24"/>
          <w:szCs w:val="24"/>
          <w:lang w:val="ru-MD"/>
        </w:rPr>
        <w:t>„</w:t>
      </w:r>
      <w:r w:rsidRPr="00B77294">
        <w:rPr>
          <w:rFonts w:ascii="Times New Roman" w:hAnsi="Times New Roman"/>
          <w:color w:val="000000"/>
          <w:sz w:val="24"/>
          <w:szCs w:val="24"/>
          <w:lang w:val="ru-MD"/>
        </w:rPr>
        <w:t>специально</w:t>
      </w:r>
      <w:r w:rsidR="00AC42FB" w:rsidRPr="00B77294">
        <w:rPr>
          <w:rFonts w:ascii="Times New Roman" w:hAnsi="Times New Roman"/>
          <w:color w:val="000000"/>
          <w:sz w:val="24"/>
          <w:szCs w:val="24"/>
          <w:lang w:val="ru-MD"/>
        </w:rPr>
        <w:t>го</w:t>
      </w:r>
      <w:r w:rsidRPr="00B77294">
        <w:rPr>
          <w:rFonts w:ascii="Times New Roman" w:hAnsi="Times New Roman"/>
          <w:color w:val="000000"/>
          <w:sz w:val="24"/>
          <w:szCs w:val="24"/>
          <w:lang w:val="ru-MD"/>
        </w:rPr>
        <w:t xml:space="preserve"> назначения</w:t>
      </w:r>
      <w:r w:rsidR="00AC42FB" w:rsidRPr="00B77294">
        <w:rPr>
          <w:rFonts w:ascii="Times New Roman" w:hAnsi="Times New Roman"/>
          <w:color w:val="000000"/>
          <w:sz w:val="24"/>
          <w:szCs w:val="24"/>
          <w:lang w:val="ru-MD"/>
        </w:rPr>
        <w:t>”</w:t>
      </w:r>
      <w:r w:rsidRPr="00B77294">
        <w:rPr>
          <w:rFonts w:ascii="Times New Roman" w:hAnsi="Times New Roman"/>
          <w:color w:val="000000"/>
          <w:sz w:val="24"/>
          <w:szCs w:val="24"/>
          <w:lang w:val="ru-MD"/>
        </w:rPr>
        <w:t xml:space="preserve">, а </w:t>
      </w:r>
      <w:r w:rsidR="00AC42FB" w:rsidRPr="00B77294">
        <w:rPr>
          <w:rFonts w:ascii="Times New Roman" w:hAnsi="Times New Roman"/>
          <w:color w:val="000000"/>
          <w:sz w:val="24"/>
          <w:szCs w:val="24"/>
          <w:lang w:val="ru-MD"/>
        </w:rPr>
        <w:t>впоследствии</w:t>
      </w:r>
      <w:r w:rsidRPr="00B77294">
        <w:rPr>
          <w:rFonts w:ascii="Times New Roman" w:hAnsi="Times New Roman"/>
          <w:color w:val="000000"/>
          <w:sz w:val="24"/>
          <w:szCs w:val="24"/>
          <w:lang w:val="ru-MD"/>
        </w:rPr>
        <w:t xml:space="preserve"> были повторно зарегистрированы на имена других владельцев</w:t>
      </w:r>
      <w:r w:rsidR="00481E94" w:rsidRPr="00B77294">
        <w:rPr>
          <w:rFonts w:ascii="Times New Roman" w:hAnsi="Times New Roman"/>
          <w:color w:val="000000"/>
          <w:sz w:val="24"/>
          <w:szCs w:val="24"/>
          <w:lang w:val="ru-MD"/>
        </w:rPr>
        <w:t>;</w:t>
      </w:r>
      <w:r w:rsidR="00224891" w:rsidRPr="00B77294">
        <w:rPr>
          <w:rFonts w:ascii="Times New Roman" w:hAnsi="Times New Roman"/>
          <w:color w:val="000000"/>
          <w:sz w:val="24"/>
          <w:szCs w:val="24"/>
          <w:lang w:val="ru-MD"/>
        </w:rPr>
        <w:t xml:space="preserve"> </w:t>
      </w:r>
    </w:p>
    <w:p w14:paraId="047D73F3" w14:textId="782B546F" w:rsidR="003C7E6E" w:rsidRPr="00B77294" w:rsidRDefault="00345DDB" w:rsidP="00345DDB">
      <w:pPr>
        <w:pStyle w:val="ac"/>
        <w:numPr>
          <w:ilvl w:val="0"/>
          <w:numId w:val="5"/>
        </w:numPr>
        <w:tabs>
          <w:tab w:val="left" w:pos="454"/>
        </w:tabs>
        <w:spacing w:after="0" w:line="276" w:lineRule="auto"/>
        <w:ind w:left="0" w:firstLine="360"/>
        <w:jc w:val="both"/>
        <w:rPr>
          <w:rFonts w:ascii="Times New Roman" w:hAnsi="Times New Roman"/>
          <w:color w:val="000000"/>
          <w:sz w:val="24"/>
          <w:szCs w:val="24"/>
          <w:lang w:val="ru-MD"/>
        </w:rPr>
      </w:pPr>
      <w:r w:rsidRPr="00B77294">
        <w:rPr>
          <w:rFonts w:ascii="Times New Roman" w:hAnsi="Times New Roman"/>
          <w:color w:val="000000"/>
          <w:sz w:val="24"/>
          <w:szCs w:val="24"/>
          <w:lang w:val="ru-MD"/>
        </w:rPr>
        <w:t>при первичной регистрации 5 автомобилей</w:t>
      </w:r>
      <w:r w:rsidR="00AC42FB" w:rsidRPr="00B77294">
        <w:rPr>
          <w:rFonts w:ascii="Times New Roman" w:hAnsi="Times New Roman"/>
          <w:color w:val="000000"/>
          <w:sz w:val="24"/>
          <w:szCs w:val="24"/>
          <w:lang w:val="ru-MD"/>
        </w:rPr>
        <w:t>,</w:t>
      </w:r>
      <w:r w:rsidRPr="00B77294">
        <w:rPr>
          <w:rFonts w:ascii="Times New Roman" w:hAnsi="Times New Roman"/>
          <w:color w:val="000000"/>
          <w:sz w:val="24"/>
          <w:szCs w:val="24"/>
          <w:lang w:val="ru-MD"/>
        </w:rPr>
        <w:t xml:space="preserve"> </w:t>
      </w:r>
      <w:r w:rsidR="00AC42FB" w:rsidRPr="00B77294">
        <w:rPr>
          <w:rFonts w:ascii="Times New Roman" w:hAnsi="Times New Roman"/>
          <w:color w:val="000000"/>
          <w:sz w:val="24"/>
          <w:szCs w:val="24"/>
          <w:lang w:val="ru-MD"/>
        </w:rPr>
        <w:t xml:space="preserve">импортируемых </w:t>
      </w:r>
      <w:r w:rsidRPr="00B77294">
        <w:rPr>
          <w:rFonts w:ascii="Times New Roman" w:hAnsi="Times New Roman"/>
          <w:color w:val="000000"/>
          <w:sz w:val="24"/>
          <w:szCs w:val="24"/>
          <w:lang w:val="ru-MD"/>
        </w:rPr>
        <w:t>с налоговыми льготами</w:t>
      </w:r>
      <w:r w:rsidR="00AC42FB" w:rsidRPr="00B77294">
        <w:rPr>
          <w:rFonts w:ascii="Times New Roman" w:hAnsi="Times New Roman"/>
          <w:color w:val="000000"/>
          <w:sz w:val="24"/>
          <w:szCs w:val="24"/>
          <w:lang w:val="ru-MD"/>
        </w:rPr>
        <w:t>,</w:t>
      </w:r>
      <w:r w:rsidRPr="00B77294">
        <w:rPr>
          <w:rFonts w:ascii="Times New Roman" w:hAnsi="Times New Roman"/>
          <w:color w:val="000000"/>
          <w:sz w:val="24"/>
          <w:szCs w:val="24"/>
          <w:lang w:val="ru-MD"/>
        </w:rPr>
        <w:t xml:space="preserve"> </w:t>
      </w:r>
      <w:r w:rsidR="00AC42FB" w:rsidRPr="00B77294">
        <w:rPr>
          <w:rFonts w:ascii="Times New Roman" w:hAnsi="Times New Roman"/>
          <w:color w:val="000000"/>
          <w:sz w:val="24"/>
          <w:szCs w:val="24"/>
          <w:lang w:val="ru-MD"/>
        </w:rPr>
        <w:t>отметка</w:t>
      </w:r>
      <w:r w:rsidRPr="00B77294">
        <w:rPr>
          <w:rFonts w:ascii="Times New Roman" w:hAnsi="Times New Roman"/>
          <w:color w:val="000000"/>
          <w:sz w:val="24"/>
          <w:szCs w:val="24"/>
          <w:lang w:val="ru-MD"/>
        </w:rPr>
        <w:t xml:space="preserve"> „специального назначения</w:t>
      </w:r>
      <w:r w:rsidR="00AC42FB" w:rsidRPr="00B77294">
        <w:rPr>
          <w:rFonts w:ascii="Times New Roman" w:hAnsi="Times New Roman"/>
          <w:color w:val="000000"/>
          <w:sz w:val="24"/>
          <w:szCs w:val="24"/>
          <w:lang w:val="ru-MD"/>
        </w:rPr>
        <w:t>”</w:t>
      </w:r>
      <w:r w:rsidRPr="00B77294">
        <w:rPr>
          <w:rFonts w:ascii="Times New Roman" w:hAnsi="Times New Roman"/>
          <w:color w:val="000000"/>
          <w:sz w:val="24"/>
          <w:szCs w:val="24"/>
          <w:lang w:val="ru-MD"/>
        </w:rPr>
        <w:t xml:space="preserve"> не был</w:t>
      </w:r>
      <w:r w:rsidR="00AC42FB" w:rsidRPr="00B77294">
        <w:rPr>
          <w:rFonts w:ascii="Times New Roman" w:hAnsi="Times New Roman"/>
          <w:color w:val="000000"/>
          <w:sz w:val="24"/>
          <w:szCs w:val="24"/>
          <w:lang w:val="ru-MD"/>
        </w:rPr>
        <w:t>а</w:t>
      </w:r>
      <w:r w:rsidRPr="00B77294">
        <w:rPr>
          <w:rFonts w:ascii="Times New Roman" w:hAnsi="Times New Roman"/>
          <w:color w:val="000000"/>
          <w:sz w:val="24"/>
          <w:szCs w:val="24"/>
          <w:lang w:val="ru-MD"/>
        </w:rPr>
        <w:t xml:space="preserve"> внесен</w:t>
      </w:r>
      <w:r w:rsidR="00AC42FB" w:rsidRPr="00B77294">
        <w:rPr>
          <w:rFonts w:ascii="Times New Roman" w:hAnsi="Times New Roman"/>
          <w:color w:val="000000"/>
          <w:sz w:val="24"/>
          <w:szCs w:val="24"/>
          <w:lang w:val="ru-MD"/>
        </w:rPr>
        <w:t>а</w:t>
      </w:r>
      <w:r w:rsidRPr="00B77294">
        <w:rPr>
          <w:rFonts w:ascii="Times New Roman" w:hAnsi="Times New Roman"/>
          <w:color w:val="000000"/>
          <w:sz w:val="24"/>
          <w:szCs w:val="24"/>
          <w:lang w:val="ru-MD"/>
        </w:rPr>
        <w:t xml:space="preserve">, в настоящее время владельцы умерли, </w:t>
      </w:r>
      <w:r w:rsidR="00AC42FB" w:rsidRPr="00B77294">
        <w:rPr>
          <w:rFonts w:ascii="Times New Roman" w:hAnsi="Times New Roman"/>
          <w:color w:val="000000"/>
          <w:sz w:val="24"/>
          <w:szCs w:val="24"/>
          <w:lang w:val="ru-MD"/>
        </w:rPr>
        <w:t>а</w:t>
      </w:r>
      <w:r w:rsidRPr="00B77294">
        <w:rPr>
          <w:rFonts w:ascii="Times New Roman" w:hAnsi="Times New Roman"/>
          <w:color w:val="000000"/>
          <w:sz w:val="24"/>
          <w:szCs w:val="24"/>
          <w:lang w:val="ru-MD"/>
        </w:rPr>
        <w:t xml:space="preserve"> исправления в регистрационных сертификатах не могут быть выполнены</w:t>
      </w:r>
      <w:r w:rsidR="003C7E6E" w:rsidRPr="00B77294">
        <w:rPr>
          <w:rFonts w:ascii="Times New Roman" w:hAnsi="Times New Roman"/>
          <w:color w:val="000000"/>
          <w:sz w:val="24"/>
          <w:szCs w:val="24"/>
          <w:lang w:val="ru-MD"/>
        </w:rPr>
        <w:t>;</w:t>
      </w:r>
    </w:p>
    <w:p w14:paraId="5015E87C" w14:textId="6F723AD2" w:rsidR="00224891" w:rsidRPr="00B77294" w:rsidRDefault="00345DDB" w:rsidP="00345DDB">
      <w:pPr>
        <w:pStyle w:val="ac"/>
        <w:numPr>
          <w:ilvl w:val="0"/>
          <w:numId w:val="5"/>
        </w:numPr>
        <w:tabs>
          <w:tab w:val="left" w:pos="454"/>
        </w:tabs>
        <w:spacing w:after="0" w:line="276" w:lineRule="auto"/>
        <w:ind w:left="0" w:firstLine="360"/>
        <w:jc w:val="both"/>
        <w:rPr>
          <w:rFonts w:ascii="Times New Roman" w:hAnsi="Times New Roman"/>
          <w:color w:val="000000"/>
          <w:sz w:val="24"/>
          <w:szCs w:val="24"/>
          <w:lang w:val="ru-MD"/>
        </w:rPr>
      </w:pPr>
      <w:r w:rsidRPr="00B77294">
        <w:rPr>
          <w:rFonts w:ascii="Times New Roman" w:hAnsi="Times New Roman"/>
          <w:color w:val="000000"/>
          <w:sz w:val="24"/>
          <w:szCs w:val="24"/>
          <w:lang w:val="ru-MD"/>
        </w:rPr>
        <w:t xml:space="preserve">первично зарегистрированный автомобиль с отметкой </w:t>
      </w:r>
      <w:r w:rsidR="00AC42FB" w:rsidRPr="00B77294">
        <w:rPr>
          <w:rFonts w:ascii="Times New Roman" w:hAnsi="Times New Roman"/>
          <w:color w:val="000000"/>
          <w:sz w:val="24"/>
          <w:szCs w:val="24"/>
          <w:lang w:val="ru-MD"/>
        </w:rPr>
        <w:t>„</w:t>
      </w:r>
      <w:r w:rsidRPr="00B77294">
        <w:rPr>
          <w:rFonts w:ascii="Times New Roman" w:hAnsi="Times New Roman"/>
          <w:color w:val="000000"/>
          <w:sz w:val="24"/>
          <w:szCs w:val="24"/>
          <w:lang w:val="ru-MD"/>
        </w:rPr>
        <w:t>специального назначения</w:t>
      </w:r>
      <w:r w:rsidR="00AC42FB" w:rsidRPr="00B77294">
        <w:rPr>
          <w:rFonts w:ascii="Times New Roman" w:hAnsi="Times New Roman"/>
          <w:color w:val="000000"/>
          <w:sz w:val="24"/>
          <w:szCs w:val="24"/>
          <w:lang w:val="ru-MD"/>
        </w:rPr>
        <w:t>”</w:t>
      </w:r>
      <w:r w:rsidRPr="00B77294">
        <w:rPr>
          <w:rFonts w:ascii="Times New Roman" w:hAnsi="Times New Roman"/>
          <w:color w:val="000000"/>
          <w:sz w:val="24"/>
          <w:szCs w:val="24"/>
          <w:lang w:val="ru-MD"/>
        </w:rPr>
        <w:t>, 03.12.2021 был передан во временное пользование (</w:t>
      </w:r>
      <w:r w:rsidR="00AC42FB" w:rsidRPr="00B77294">
        <w:rPr>
          <w:rFonts w:ascii="Times New Roman" w:hAnsi="Times New Roman"/>
          <w:color w:val="000000"/>
          <w:sz w:val="24"/>
          <w:szCs w:val="24"/>
          <w:lang w:val="ru-MD"/>
        </w:rPr>
        <w:t>безвозмездное пользование</w:t>
      </w:r>
      <w:r w:rsidRPr="00B77294">
        <w:rPr>
          <w:rFonts w:ascii="Times New Roman" w:hAnsi="Times New Roman"/>
          <w:color w:val="000000"/>
          <w:sz w:val="24"/>
          <w:szCs w:val="24"/>
          <w:lang w:val="ru-MD"/>
        </w:rPr>
        <w:t xml:space="preserve">) третьему лицу, хотя он не </w:t>
      </w:r>
      <w:r w:rsidR="00AC42FB" w:rsidRPr="00B77294">
        <w:rPr>
          <w:rFonts w:ascii="Times New Roman" w:hAnsi="Times New Roman"/>
          <w:color w:val="000000"/>
          <w:sz w:val="24"/>
          <w:szCs w:val="24"/>
          <w:lang w:val="ru-MD"/>
        </w:rPr>
        <w:t>облада</w:t>
      </w:r>
      <w:r w:rsidRPr="00B77294">
        <w:rPr>
          <w:rFonts w:ascii="Times New Roman" w:hAnsi="Times New Roman"/>
          <w:color w:val="000000"/>
          <w:sz w:val="24"/>
          <w:szCs w:val="24"/>
          <w:lang w:val="ru-MD"/>
        </w:rPr>
        <w:t>л статус</w:t>
      </w:r>
      <w:r w:rsidR="00AC42FB" w:rsidRPr="00B77294">
        <w:rPr>
          <w:rFonts w:ascii="Times New Roman" w:hAnsi="Times New Roman"/>
          <w:color w:val="000000"/>
          <w:sz w:val="24"/>
          <w:szCs w:val="24"/>
          <w:lang w:val="ru-MD"/>
        </w:rPr>
        <w:t>ом</w:t>
      </w:r>
      <w:r w:rsidRPr="00B77294">
        <w:rPr>
          <w:rFonts w:ascii="Times New Roman" w:hAnsi="Times New Roman"/>
          <w:color w:val="000000"/>
          <w:sz w:val="24"/>
          <w:szCs w:val="24"/>
          <w:lang w:val="ru-MD"/>
        </w:rPr>
        <w:t>, предусмотренн</w:t>
      </w:r>
      <w:r w:rsidR="00AC42FB" w:rsidRPr="00B77294">
        <w:rPr>
          <w:rFonts w:ascii="Times New Roman" w:hAnsi="Times New Roman"/>
          <w:color w:val="000000"/>
          <w:sz w:val="24"/>
          <w:szCs w:val="24"/>
          <w:lang w:val="ru-MD"/>
        </w:rPr>
        <w:t>ым</w:t>
      </w:r>
      <w:r w:rsidRPr="00B77294">
        <w:rPr>
          <w:rFonts w:ascii="Times New Roman" w:hAnsi="Times New Roman"/>
          <w:color w:val="000000"/>
          <w:sz w:val="24"/>
          <w:szCs w:val="24"/>
          <w:lang w:val="ru-MD"/>
        </w:rPr>
        <w:t xml:space="preserve"> действующими нормативными актами</w:t>
      </w:r>
      <w:r w:rsidR="00224891" w:rsidRPr="00B77294">
        <w:rPr>
          <w:rFonts w:ascii="Times New Roman" w:hAnsi="Times New Roman"/>
          <w:color w:val="000000"/>
          <w:sz w:val="24"/>
          <w:szCs w:val="24"/>
          <w:lang w:val="ru-MD"/>
        </w:rPr>
        <w:t xml:space="preserve">; </w:t>
      </w:r>
    </w:p>
    <w:p w14:paraId="0AC217EA" w14:textId="61376580" w:rsidR="008A375F" w:rsidRPr="00B77294" w:rsidRDefault="00345DDB" w:rsidP="00345DDB">
      <w:pPr>
        <w:pStyle w:val="ac"/>
        <w:numPr>
          <w:ilvl w:val="0"/>
          <w:numId w:val="5"/>
        </w:numPr>
        <w:tabs>
          <w:tab w:val="left" w:pos="454"/>
        </w:tabs>
        <w:spacing w:after="0" w:line="276" w:lineRule="auto"/>
        <w:ind w:left="0" w:firstLine="360"/>
        <w:jc w:val="both"/>
        <w:rPr>
          <w:rFonts w:ascii="Times New Roman" w:hAnsi="Times New Roman"/>
          <w:color w:val="000000"/>
          <w:sz w:val="24"/>
          <w:szCs w:val="24"/>
          <w:lang w:val="ru-MD"/>
        </w:rPr>
      </w:pPr>
      <w:r w:rsidRPr="00B77294">
        <w:rPr>
          <w:rFonts w:ascii="Times New Roman" w:hAnsi="Times New Roman"/>
          <w:color w:val="000000"/>
          <w:sz w:val="24"/>
          <w:szCs w:val="24"/>
          <w:lang w:val="ru-MD"/>
        </w:rPr>
        <w:t>437 автомобилей зарегистрированных с отметкой</w:t>
      </w:r>
      <w:r w:rsidR="00DB7650">
        <w:rPr>
          <w:rFonts w:ascii="Times New Roman" w:hAnsi="Times New Roman"/>
          <w:color w:val="000000"/>
          <w:sz w:val="24"/>
          <w:szCs w:val="24"/>
          <w:lang w:val="ru-MD"/>
        </w:rPr>
        <w:t xml:space="preserve"> </w:t>
      </w:r>
      <w:r w:rsidRPr="00B77294">
        <w:rPr>
          <w:rFonts w:ascii="Times New Roman" w:hAnsi="Times New Roman"/>
          <w:color w:val="000000"/>
          <w:sz w:val="24"/>
          <w:szCs w:val="24"/>
          <w:lang w:val="ru-MD"/>
        </w:rPr>
        <w:t>,,специального назначения”, причастных к совершению дорожно-транспортных происшествий, согласно информации, представленной Национальным инспекторатом патрулирования, в разное время управлялись 665 третьими лицами, которые не имели этого права, не были ни бенефициарами, ни сопровождающими, а некоторыми автомобилями пользовались даже до 8 человек. В другом случае, лицо, не имеющее водительских прав, согласно указанному источнику, де-факто управляло двумя автомобилями</w:t>
      </w:r>
      <w:r w:rsidR="008A375F" w:rsidRPr="00B77294">
        <w:rPr>
          <w:rFonts w:ascii="Times New Roman" w:hAnsi="Times New Roman"/>
          <w:color w:val="000000"/>
          <w:sz w:val="24"/>
          <w:szCs w:val="24"/>
          <w:lang w:val="ru-MD"/>
        </w:rPr>
        <w:t>;</w:t>
      </w:r>
    </w:p>
    <w:p w14:paraId="18F1FD7A" w14:textId="325E4DAF" w:rsidR="00126980" w:rsidRPr="00B77294" w:rsidRDefault="00F53BBD" w:rsidP="00F53BBD">
      <w:pPr>
        <w:pStyle w:val="ac"/>
        <w:numPr>
          <w:ilvl w:val="0"/>
          <w:numId w:val="5"/>
        </w:numPr>
        <w:spacing w:after="0" w:line="276" w:lineRule="auto"/>
        <w:ind w:left="0" w:firstLine="360"/>
        <w:jc w:val="both"/>
        <w:rPr>
          <w:rFonts w:ascii="Times New Roman" w:hAnsi="Times New Roman"/>
          <w:color w:val="000000"/>
          <w:sz w:val="24"/>
          <w:szCs w:val="24"/>
          <w:lang w:val="ru-MD"/>
        </w:rPr>
      </w:pPr>
      <w:r w:rsidRPr="00B77294">
        <w:rPr>
          <w:rFonts w:ascii="Times New Roman" w:hAnsi="Times New Roman"/>
          <w:color w:val="000000"/>
          <w:sz w:val="24"/>
          <w:szCs w:val="24"/>
          <w:lang w:val="ru-MD"/>
        </w:rPr>
        <w:t>согласно информации, представленной Генеральным инспекторатом Пограничной полиции, указано, что из 42 тысяч выездов/въездов, проанализированных аудитом, более 25 тысяч пересечений границы осуществлялись с нарушением принципа использования автомобиля бенефициаром или в его пользу. Так:</w:t>
      </w:r>
    </w:p>
    <w:p w14:paraId="01695F71" w14:textId="5D69AEAA" w:rsidR="00126980" w:rsidRPr="00B77294" w:rsidRDefault="00F53BBD" w:rsidP="00AD645E">
      <w:pPr>
        <w:pStyle w:val="ac"/>
        <w:numPr>
          <w:ilvl w:val="0"/>
          <w:numId w:val="18"/>
        </w:numPr>
        <w:spacing w:after="0" w:line="276" w:lineRule="auto"/>
        <w:ind w:left="0" w:firstLine="360"/>
        <w:jc w:val="both"/>
        <w:rPr>
          <w:color w:val="000000"/>
          <w:sz w:val="24"/>
          <w:szCs w:val="24"/>
          <w:lang w:val="ru-MD"/>
        </w:rPr>
      </w:pPr>
      <w:r w:rsidRPr="00B77294">
        <w:rPr>
          <w:rFonts w:ascii="Times New Roman" w:hAnsi="Times New Roman"/>
          <w:color w:val="000000"/>
          <w:sz w:val="24"/>
          <w:szCs w:val="24"/>
          <w:lang w:val="ru-MD"/>
        </w:rPr>
        <w:t xml:space="preserve">при пересечении государственной границы 483 автомобилями </w:t>
      </w:r>
      <w:r w:rsidR="00AC42FB" w:rsidRPr="00B77294">
        <w:rPr>
          <w:rFonts w:ascii="Times New Roman" w:hAnsi="Times New Roman"/>
          <w:color w:val="000000"/>
          <w:sz w:val="24"/>
          <w:szCs w:val="24"/>
          <w:lang w:val="ru-MD"/>
        </w:rPr>
        <w:t>„</w:t>
      </w:r>
      <w:r w:rsidRPr="00B77294">
        <w:rPr>
          <w:rFonts w:ascii="Times New Roman" w:hAnsi="Times New Roman"/>
          <w:color w:val="000000"/>
          <w:sz w:val="24"/>
          <w:szCs w:val="24"/>
          <w:lang w:val="ru-MD"/>
        </w:rPr>
        <w:t>специального назначения</w:t>
      </w:r>
      <w:r w:rsidR="00AC42FB" w:rsidRPr="00B77294">
        <w:rPr>
          <w:rFonts w:ascii="Times New Roman" w:hAnsi="Times New Roman"/>
          <w:color w:val="000000"/>
          <w:sz w:val="24"/>
          <w:szCs w:val="24"/>
          <w:lang w:val="ru-MD"/>
        </w:rPr>
        <w:t>”</w:t>
      </w:r>
      <w:r w:rsidR="00961417" w:rsidRPr="00B77294">
        <w:rPr>
          <w:rFonts w:ascii="Times New Roman" w:hAnsi="Times New Roman"/>
          <w:color w:val="000000"/>
          <w:sz w:val="24"/>
          <w:szCs w:val="24"/>
          <w:lang w:val="ru-MD"/>
        </w:rPr>
        <w:t>, предназначенных</w:t>
      </w:r>
      <w:r w:rsidRPr="00B77294">
        <w:rPr>
          <w:rFonts w:ascii="Times New Roman" w:hAnsi="Times New Roman"/>
          <w:color w:val="000000"/>
          <w:sz w:val="24"/>
          <w:szCs w:val="24"/>
          <w:lang w:val="ru-MD"/>
        </w:rPr>
        <w:t xml:space="preserve"> для лиц с ограниченными возможностями опорно-двигательного аппарата, обладатель прав не находился в автомобиле в качестве водителя или пассажира</w:t>
      </w:r>
      <w:r w:rsidR="006F3904" w:rsidRPr="00B77294">
        <w:rPr>
          <w:color w:val="000000"/>
          <w:sz w:val="24"/>
          <w:szCs w:val="24"/>
          <w:lang w:val="ru-MD"/>
        </w:rPr>
        <w:t>;</w:t>
      </w:r>
    </w:p>
    <w:p w14:paraId="5CAD134C" w14:textId="46AD57B3" w:rsidR="00126980" w:rsidRPr="00B77294" w:rsidRDefault="00F53BBD" w:rsidP="00131E04">
      <w:pPr>
        <w:pStyle w:val="ac"/>
        <w:numPr>
          <w:ilvl w:val="0"/>
          <w:numId w:val="18"/>
        </w:numPr>
        <w:tabs>
          <w:tab w:val="left" w:pos="454"/>
        </w:tabs>
        <w:spacing w:after="0" w:line="276" w:lineRule="auto"/>
        <w:ind w:left="0" w:firstLine="360"/>
        <w:jc w:val="both"/>
        <w:rPr>
          <w:color w:val="000000"/>
          <w:sz w:val="24"/>
          <w:szCs w:val="24"/>
          <w:lang w:val="ru-MD"/>
        </w:rPr>
      </w:pPr>
      <w:r w:rsidRPr="00B77294">
        <w:rPr>
          <w:rFonts w:ascii="Times New Roman" w:hAnsi="Times New Roman"/>
          <w:color w:val="000000"/>
          <w:sz w:val="24"/>
          <w:szCs w:val="24"/>
          <w:lang w:val="ru-MD"/>
        </w:rPr>
        <w:t xml:space="preserve"> в 42 случаях (из 483) соответствующие автомобили </w:t>
      </w:r>
      <w:r w:rsidR="00961417" w:rsidRPr="00B77294">
        <w:rPr>
          <w:rFonts w:ascii="Times New Roman" w:hAnsi="Times New Roman"/>
          <w:color w:val="000000"/>
          <w:sz w:val="24"/>
          <w:szCs w:val="24"/>
          <w:lang w:val="ru-MD"/>
        </w:rPr>
        <w:t>не находились</w:t>
      </w:r>
      <w:r w:rsidRPr="00B77294">
        <w:rPr>
          <w:rFonts w:ascii="Times New Roman" w:hAnsi="Times New Roman"/>
          <w:color w:val="000000"/>
          <w:sz w:val="24"/>
          <w:szCs w:val="24"/>
          <w:lang w:val="ru-MD"/>
        </w:rPr>
        <w:t xml:space="preserve"> в стране от </w:t>
      </w:r>
      <w:r w:rsidR="00961417" w:rsidRPr="00B77294">
        <w:rPr>
          <w:rFonts w:ascii="Times New Roman" w:hAnsi="Times New Roman"/>
          <w:color w:val="000000"/>
          <w:sz w:val="24"/>
          <w:szCs w:val="24"/>
          <w:lang w:val="ru-MD"/>
        </w:rPr>
        <w:t xml:space="preserve">одного </w:t>
      </w:r>
      <w:r w:rsidRPr="00B77294">
        <w:rPr>
          <w:rFonts w:ascii="Times New Roman" w:hAnsi="Times New Roman"/>
          <w:color w:val="000000"/>
          <w:sz w:val="24"/>
          <w:szCs w:val="24"/>
          <w:lang w:val="ru-MD"/>
        </w:rPr>
        <w:t>месяца до 2 лет и 3 месяц</w:t>
      </w:r>
      <w:r w:rsidR="00961417" w:rsidRPr="00B77294">
        <w:rPr>
          <w:rFonts w:ascii="Times New Roman" w:hAnsi="Times New Roman"/>
          <w:color w:val="000000"/>
          <w:sz w:val="24"/>
          <w:szCs w:val="24"/>
          <w:lang w:val="ru-MD"/>
        </w:rPr>
        <w:t>ев</w:t>
      </w:r>
      <w:r w:rsidRPr="00B77294">
        <w:rPr>
          <w:rFonts w:ascii="Times New Roman" w:hAnsi="Times New Roman"/>
          <w:color w:val="000000"/>
          <w:sz w:val="24"/>
          <w:szCs w:val="24"/>
          <w:lang w:val="ru-MD"/>
        </w:rPr>
        <w:t xml:space="preserve"> (по</w:t>
      </w:r>
      <w:r w:rsidR="00961417" w:rsidRPr="00B77294">
        <w:rPr>
          <w:rFonts w:ascii="Times New Roman" w:hAnsi="Times New Roman"/>
          <w:color w:val="000000"/>
          <w:sz w:val="24"/>
          <w:szCs w:val="24"/>
          <w:lang w:val="ru-MD"/>
        </w:rPr>
        <w:t xml:space="preserve"> состоянию на декабрь 2023 года)</w:t>
      </w:r>
      <w:r w:rsidR="008A375F" w:rsidRPr="00B77294">
        <w:rPr>
          <w:color w:val="000000"/>
          <w:sz w:val="24"/>
          <w:szCs w:val="24"/>
          <w:lang w:val="ru-MD"/>
        </w:rPr>
        <w:t>;</w:t>
      </w:r>
      <w:r w:rsidR="00126980" w:rsidRPr="00B77294">
        <w:rPr>
          <w:color w:val="000000"/>
          <w:sz w:val="24"/>
          <w:szCs w:val="24"/>
          <w:lang w:val="ru-MD"/>
        </w:rPr>
        <w:t xml:space="preserve"> </w:t>
      </w:r>
    </w:p>
    <w:p w14:paraId="614509AA" w14:textId="523E1224" w:rsidR="00126980" w:rsidRPr="00B77294" w:rsidRDefault="00126980" w:rsidP="00345DDB">
      <w:pPr>
        <w:pStyle w:val="ac"/>
        <w:numPr>
          <w:ilvl w:val="0"/>
          <w:numId w:val="18"/>
        </w:numPr>
        <w:tabs>
          <w:tab w:val="left" w:pos="454"/>
        </w:tabs>
        <w:spacing w:after="0" w:line="276" w:lineRule="auto"/>
        <w:ind w:left="0" w:firstLine="360"/>
        <w:jc w:val="both"/>
        <w:rPr>
          <w:color w:val="000000"/>
          <w:sz w:val="24"/>
          <w:szCs w:val="24"/>
          <w:lang w:val="ru-MD"/>
        </w:rPr>
      </w:pPr>
      <w:r w:rsidRPr="00B77294">
        <w:rPr>
          <w:rFonts w:ascii="Times New Roman" w:hAnsi="Times New Roman"/>
          <w:color w:val="000000"/>
          <w:sz w:val="24"/>
          <w:szCs w:val="24"/>
          <w:lang w:val="ru-MD"/>
        </w:rPr>
        <w:t xml:space="preserve">   </w:t>
      </w:r>
      <w:r w:rsidR="00F53BBD" w:rsidRPr="00B77294">
        <w:rPr>
          <w:rFonts w:ascii="Times New Roman" w:hAnsi="Times New Roman"/>
          <w:color w:val="000000"/>
          <w:sz w:val="24"/>
          <w:szCs w:val="24"/>
          <w:lang w:val="ru-MD"/>
        </w:rPr>
        <w:t>22 автомобилями, оснащенными более чем 8 местами, с момента их ввоза осуществлялись незаконные перевозки 2162 человек</w:t>
      </w:r>
      <w:r w:rsidR="008A375F" w:rsidRPr="00B77294">
        <w:rPr>
          <w:color w:val="000000"/>
          <w:sz w:val="24"/>
          <w:szCs w:val="24"/>
          <w:lang w:val="ru-MD"/>
        </w:rPr>
        <w:t>;</w:t>
      </w:r>
    </w:p>
    <w:p w14:paraId="5ECBC6B1" w14:textId="6EE9514D" w:rsidR="008A375F" w:rsidRPr="00B77294" w:rsidRDefault="00F53BBD" w:rsidP="00327FC0">
      <w:pPr>
        <w:pStyle w:val="ac"/>
        <w:numPr>
          <w:ilvl w:val="0"/>
          <w:numId w:val="19"/>
        </w:numPr>
        <w:tabs>
          <w:tab w:val="left" w:pos="454"/>
        </w:tabs>
        <w:spacing w:after="0" w:line="276" w:lineRule="auto"/>
        <w:ind w:left="0" w:firstLine="360"/>
        <w:jc w:val="both"/>
        <w:rPr>
          <w:color w:val="000000"/>
          <w:sz w:val="24"/>
          <w:szCs w:val="24"/>
          <w:lang w:val="ru-MD"/>
        </w:rPr>
      </w:pPr>
      <w:r w:rsidRPr="00B77294">
        <w:rPr>
          <w:rFonts w:ascii="Times New Roman" w:hAnsi="Times New Roman"/>
          <w:color w:val="000000"/>
          <w:sz w:val="24"/>
          <w:szCs w:val="24"/>
          <w:lang w:val="ru-MD"/>
        </w:rPr>
        <w:t>из общего числа 2057 автомобилей, застрахованных от гражданской ответственности, для 718 автомобилей числил</w:t>
      </w:r>
      <w:r w:rsidR="00961417" w:rsidRPr="00B77294">
        <w:rPr>
          <w:rFonts w:ascii="Times New Roman" w:hAnsi="Times New Roman"/>
          <w:color w:val="000000"/>
          <w:sz w:val="24"/>
          <w:szCs w:val="24"/>
          <w:lang w:val="ru-MD"/>
        </w:rPr>
        <w:t>и</w:t>
      </w:r>
      <w:r w:rsidRPr="00B77294">
        <w:rPr>
          <w:rFonts w:ascii="Times New Roman" w:hAnsi="Times New Roman"/>
          <w:color w:val="000000"/>
          <w:sz w:val="24"/>
          <w:szCs w:val="24"/>
          <w:lang w:val="ru-MD"/>
        </w:rPr>
        <w:t xml:space="preserve">сь </w:t>
      </w:r>
      <w:r w:rsidR="00961417" w:rsidRPr="00B77294">
        <w:rPr>
          <w:rFonts w:ascii="Times New Roman" w:hAnsi="Times New Roman"/>
          <w:color w:val="000000"/>
          <w:sz w:val="24"/>
          <w:szCs w:val="24"/>
          <w:lang w:val="ru-MD"/>
        </w:rPr>
        <w:t xml:space="preserve">в качестве застрахованных </w:t>
      </w:r>
      <w:r w:rsidRPr="00B77294">
        <w:rPr>
          <w:rFonts w:ascii="Times New Roman" w:hAnsi="Times New Roman"/>
          <w:color w:val="000000"/>
          <w:sz w:val="24"/>
          <w:szCs w:val="24"/>
          <w:lang w:val="ru-MD"/>
        </w:rPr>
        <w:t xml:space="preserve">1304 третьих лиц, </w:t>
      </w:r>
      <w:r w:rsidR="00961417" w:rsidRPr="00B77294">
        <w:rPr>
          <w:rFonts w:ascii="Times New Roman" w:hAnsi="Times New Roman"/>
          <w:color w:val="000000"/>
          <w:sz w:val="24"/>
          <w:szCs w:val="24"/>
          <w:lang w:val="ru-MD"/>
        </w:rPr>
        <w:t>а</w:t>
      </w:r>
      <w:r w:rsidRPr="00B77294">
        <w:rPr>
          <w:rFonts w:ascii="Times New Roman" w:hAnsi="Times New Roman"/>
          <w:color w:val="000000"/>
          <w:sz w:val="24"/>
          <w:szCs w:val="24"/>
          <w:lang w:val="ru-MD"/>
        </w:rPr>
        <w:t xml:space="preserve"> не бенефициары автомобилей</w:t>
      </w:r>
      <w:r w:rsidR="008A375F" w:rsidRPr="00B77294">
        <w:rPr>
          <w:color w:val="000000"/>
          <w:sz w:val="24"/>
          <w:szCs w:val="24"/>
          <w:lang w:val="ru-MD"/>
        </w:rPr>
        <w:t>.</w:t>
      </w:r>
    </w:p>
    <w:p w14:paraId="1154794F" w14:textId="18441780" w:rsidR="00B1407F" w:rsidRPr="00B77294" w:rsidRDefault="006F3904" w:rsidP="00B83432">
      <w:pPr>
        <w:pStyle w:val="ac"/>
        <w:tabs>
          <w:tab w:val="left" w:pos="454"/>
        </w:tabs>
        <w:spacing w:after="0" w:line="276" w:lineRule="auto"/>
        <w:ind w:left="814"/>
        <w:jc w:val="both"/>
        <w:rPr>
          <w:rFonts w:ascii="Times New Roman" w:hAnsi="Times New Roman"/>
          <w:color w:val="000000"/>
          <w:sz w:val="24"/>
          <w:szCs w:val="24"/>
          <w:lang w:val="ru-MD"/>
        </w:rPr>
      </w:pPr>
      <w:r w:rsidRPr="00B77294">
        <w:rPr>
          <w:rFonts w:ascii="Times New Roman" w:hAnsi="Times New Roman"/>
          <w:color w:val="000000"/>
          <w:sz w:val="24"/>
          <w:szCs w:val="24"/>
          <w:lang w:val="ru-MD"/>
        </w:rPr>
        <w:t xml:space="preserve"> </w:t>
      </w:r>
    </w:p>
    <w:p w14:paraId="138C155C" w14:textId="06616D59" w:rsidR="0079627F" w:rsidRPr="00B77294" w:rsidRDefault="007128E0" w:rsidP="00B1147A">
      <w:pPr>
        <w:spacing w:after="0" w:line="276" w:lineRule="auto"/>
        <w:ind w:firstLine="360"/>
        <w:jc w:val="both"/>
        <w:rPr>
          <w:color w:val="auto"/>
          <w:sz w:val="24"/>
          <w:szCs w:val="24"/>
          <w:lang w:val="ru-MD"/>
        </w:rPr>
      </w:pPr>
      <w:r w:rsidRPr="00B77294">
        <w:rPr>
          <w:i/>
          <w:color w:val="auto"/>
          <w:sz w:val="24"/>
          <w:szCs w:val="24"/>
          <w:lang w:val="ru-MD"/>
        </w:rPr>
        <w:t xml:space="preserve">Национальный консилиум по установлению ограничения возможностей и трудоспособности не обеспечил надлежащее использование публичных финансовых средств, что сгенерировало ненадлежащие и необоснованные расходы в размере около 563,6 тыс. леев, ситуация, вызванная недостаточностью внутренних контролей, относящихся к процессам оплаты труда, государственных закупок и найма. </w:t>
      </w:r>
      <w:r w:rsidRPr="00B77294">
        <w:rPr>
          <w:color w:val="auto"/>
          <w:sz w:val="24"/>
          <w:szCs w:val="24"/>
          <w:lang w:val="ru-MD"/>
        </w:rPr>
        <w:t>Так</w:t>
      </w:r>
      <w:r w:rsidR="00C37C8F" w:rsidRPr="00B77294">
        <w:rPr>
          <w:color w:val="auto"/>
          <w:sz w:val="24"/>
          <w:szCs w:val="24"/>
          <w:lang w:val="ru-MD"/>
        </w:rPr>
        <w:t>,</w:t>
      </w:r>
      <w:r w:rsidR="00C37C8F" w:rsidRPr="00B77294">
        <w:rPr>
          <w:i/>
          <w:color w:val="auto"/>
          <w:sz w:val="24"/>
          <w:szCs w:val="24"/>
          <w:lang w:val="ru-MD"/>
        </w:rPr>
        <w:t xml:space="preserve"> </w:t>
      </w:r>
    </w:p>
    <w:p w14:paraId="7553B78B" w14:textId="6B4E498C" w:rsidR="00A94EDF" w:rsidRPr="00B77294" w:rsidRDefault="00530607" w:rsidP="00530607">
      <w:pPr>
        <w:pStyle w:val="ac"/>
        <w:numPr>
          <w:ilvl w:val="0"/>
          <w:numId w:val="5"/>
        </w:numPr>
        <w:spacing w:after="0" w:line="276" w:lineRule="auto"/>
        <w:ind w:left="0" w:firstLine="360"/>
        <w:jc w:val="both"/>
        <w:rPr>
          <w:rFonts w:ascii="Times New Roman" w:hAnsi="Times New Roman"/>
          <w:sz w:val="24"/>
          <w:szCs w:val="24"/>
          <w:lang w:val="ru-MD"/>
        </w:rPr>
      </w:pPr>
      <w:r w:rsidRPr="00B77294">
        <w:rPr>
          <w:rFonts w:ascii="Times New Roman" w:hAnsi="Times New Roman"/>
          <w:sz w:val="24"/>
          <w:szCs w:val="24"/>
          <w:lang w:val="ru-MD"/>
        </w:rPr>
        <w:t>15, из 36 проверенных сотрудников, необоснованно выплачивалась заработная плата в размере 29,6 тыс. леев, при том, что они не находились на рабочем месте на территории Республики Молдова</w:t>
      </w:r>
      <w:r w:rsidR="0006143B" w:rsidRPr="00B77294">
        <w:rPr>
          <w:rFonts w:ascii="Times New Roman" w:hAnsi="Times New Roman"/>
          <w:sz w:val="24"/>
          <w:szCs w:val="24"/>
          <w:lang w:val="ru-MD"/>
        </w:rPr>
        <w:t>;</w:t>
      </w:r>
    </w:p>
    <w:p w14:paraId="64E92DA1" w14:textId="27E7A920" w:rsidR="00A94EDF" w:rsidRPr="00B77294" w:rsidRDefault="00530607" w:rsidP="00202929">
      <w:pPr>
        <w:pStyle w:val="ac"/>
        <w:numPr>
          <w:ilvl w:val="0"/>
          <w:numId w:val="5"/>
        </w:numPr>
        <w:spacing w:after="0" w:line="276" w:lineRule="auto"/>
        <w:ind w:left="0" w:firstLine="360"/>
        <w:jc w:val="both"/>
        <w:rPr>
          <w:rFonts w:ascii="Times New Roman" w:hAnsi="Times New Roman"/>
          <w:sz w:val="24"/>
          <w:szCs w:val="24"/>
          <w:lang w:val="ru-MD"/>
        </w:rPr>
      </w:pPr>
      <w:r w:rsidRPr="00B77294">
        <w:rPr>
          <w:rFonts w:ascii="Times New Roman" w:hAnsi="Times New Roman"/>
          <w:sz w:val="24"/>
          <w:szCs w:val="24"/>
          <w:lang w:val="ru-MD"/>
        </w:rPr>
        <w:t>без</w:t>
      </w:r>
      <w:r w:rsidR="00202929" w:rsidRPr="00B77294">
        <w:rPr>
          <w:rFonts w:ascii="Times New Roman" w:hAnsi="Times New Roman"/>
          <w:sz w:val="24"/>
          <w:szCs w:val="24"/>
          <w:lang w:val="ru-MD"/>
        </w:rPr>
        <w:t xml:space="preserve"> указания в должностной инструкции функциональных обязанностей, связанных с оценкой информации из досье лиц с ограниченными возможностями, одному человеку выплач</w:t>
      </w:r>
      <w:r w:rsidRPr="00B77294">
        <w:rPr>
          <w:rFonts w:ascii="Times New Roman" w:hAnsi="Times New Roman"/>
          <w:sz w:val="24"/>
          <w:szCs w:val="24"/>
          <w:lang w:val="ru-MD"/>
        </w:rPr>
        <w:t>ивалась</w:t>
      </w:r>
      <w:r w:rsidR="00202929" w:rsidRPr="00B77294">
        <w:rPr>
          <w:rFonts w:ascii="Times New Roman" w:hAnsi="Times New Roman"/>
          <w:sz w:val="24"/>
          <w:szCs w:val="24"/>
          <w:lang w:val="ru-MD"/>
        </w:rPr>
        <w:t xml:space="preserve"> специальная надбавка, предусмотренная для медицинского персонала (231,6 тыс. леев)</w:t>
      </w:r>
      <w:r w:rsidR="00A94EDF" w:rsidRPr="00B77294">
        <w:rPr>
          <w:rFonts w:ascii="Times New Roman" w:hAnsi="Times New Roman"/>
          <w:sz w:val="24"/>
          <w:szCs w:val="24"/>
          <w:lang w:val="ru-MD"/>
        </w:rPr>
        <w:t>;</w:t>
      </w:r>
    </w:p>
    <w:p w14:paraId="608869CE" w14:textId="573DF824" w:rsidR="00A94EDF" w:rsidRPr="00B77294" w:rsidRDefault="00202929" w:rsidP="00202929">
      <w:pPr>
        <w:pStyle w:val="ac"/>
        <w:numPr>
          <w:ilvl w:val="0"/>
          <w:numId w:val="5"/>
        </w:numPr>
        <w:spacing w:after="0" w:line="276" w:lineRule="auto"/>
        <w:ind w:left="0" w:firstLine="360"/>
        <w:jc w:val="both"/>
        <w:rPr>
          <w:rFonts w:ascii="Times New Roman" w:hAnsi="Times New Roman"/>
          <w:sz w:val="24"/>
          <w:szCs w:val="24"/>
          <w:lang w:val="ru-MD"/>
        </w:rPr>
      </w:pPr>
      <w:r w:rsidRPr="00B77294">
        <w:rPr>
          <w:rFonts w:ascii="Times New Roman" w:hAnsi="Times New Roman"/>
          <w:sz w:val="24"/>
          <w:szCs w:val="24"/>
          <w:lang w:val="ru-MD"/>
        </w:rPr>
        <w:t xml:space="preserve">были </w:t>
      </w:r>
      <w:r w:rsidR="00530607" w:rsidRPr="00B77294">
        <w:rPr>
          <w:rFonts w:ascii="Times New Roman" w:hAnsi="Times New Roman"/>
          <w:sz w:val="24"/>
          <w:szCs w:val="24"/>
          <w:lang w:val="ru-MD"/>
        </w:rPr>
        <w:t>при</w:t>
      </w:r>
      <w:r w:rsidRPr="00B77294">
        <w:rPr>
          <w:rFonts w:ascii="Times New Roman" w:hAnsi="Times New Roman"/>
          <w:sz w:val="24"/>
          <w:szCs w:val="24"/>
          <w:lang w:val="ru-MD"/>
        </w:rPr>
        <w:t xml:space="preserve">няты </w:t>
      </w:r>
      <w:r w:rsidR="00530607" w:rsidRPr="00B77294">
        <w:rPr>
          <w:rFonts w:ascii="Times New Roman" w:hAnsi="Times New Roman"/>
          <w:sz w:val="24"/>
          <w:szCs w:val="24"/>
          <w:lang w:val="ru-MD"/>
        </w:rPr>
        <w:t xml:space="preserve">на работу </w:t>
      </w:r>
      <w:r w:rsidRPr="00B77294">
        <w:rPr>
          <w:rFonts w:ascii="Times New Roman" w:hAnsi="Times New Roman"/>
          <w:sz w:val="24"/>
          <w:szCs w:val="24"/>
          <w:lang w:val="ru-MD"/>
        </w:rPr>
        <w:t>лица, не имеющие образования в социальной, медицинской, образовательной или других смежных областях (10 единиц персонала), с ненадлежащей выплатой заработной платы в размере 227,3 тыс. леев</w:t>
      </w:r>
      <w:r w:rsidR="00A94EDF" w:rsidRPr="00B77294">
        <w:rPr>
          <w:rFonts w:ascii="Times New Roman" w:hAnsi="Times New Roman"/>
          <w:sz w:val="24"/>
          <w:szCs w:val="24"/>
          <w:lang w:val="ru-MD"/>
        </w:rPr>
        <w:t>;</w:t>
      </w:r>
    </w:p>
    <w:p w14:paraId="6C4FE863" w14:textId="2AA79E49" w:rsidR="00A94EDF" w:rsidRPr="00B77294" w:rsidRDefault="00202929" w:rsidP="00202929">
      <w:pPr>
        <w:pStyle w:val="ac"/>
        <w:numPr>
          <w:ilvl w:val="0"/>
          <w:numId w:val="5"/>
        </w:numPr>
        <w:spacing w:after="0" w:line="276" w:lineRule="auto"/>
        <w:ind w:left="0" w:firstLine="360"/>
        <w:jc w:val="both"/>
        <w:rPr>
          <w:rFonts w:ascii="Times New Roman" w:hAnsi="Times New Roman"/>
          <w:sz w:val="24"/>
          <w:szCs w:val="24"/>
          <w:lang w:val="ru-MD"/>
        </w:rPr>
      </w:pPr>
      <w:r w:rsidRPr="00B77294">
        <w:rPr>
          <w:rFonts w:ascii="Times New Roman" w:hAnsi="Times New Roman"/>
          <w:sz w:val="24"/>
          <w:szCs w:val="24"/>
          <w:lang w:val="ru-MD"/>
        </w:rPr>
        <w:t xml:space="preserve">отмечается необоснованность </w:t>
      </w:r>
      <w:r w:rsidR="00530607" w:rsidRPr="00B77294">
        <w:rPr>
          <w:rFonts w:ascii="Times New Roman" w:hAnsi="Times New Roman"/>
          <w:sz w:val="24"/>
          <w:szCs w:val="24"/>
          <w:lang w:val="ru-MD"/>
        </w:rPr>
        <w:t xml:space="preserve">численности </w:t>
      </w:r>
      <w:r w:rsidRPr="00B77294">
        <w:rPr>
          <w:rFonts w:ascii="Times New Roman" w:hAnsi="Times New Roman"/>
          <w:sz w:val="24"/>
          <w:szCs w:val="24"/>
          <w:lang w:val="ru-MD"/>
        </w:rPr>
        <w:t>штатно</w:t>
      </w:r>
      <w:r w:rsidR="00530607" w:rsidRPr="00B77294">
        <w:rPr>
          <w:rFonts w:ascii="Times New Roman" w:hAnsi="Times New Roman"/>
          <w:sz w:val="24"/>
          <w:szCs w:val="24"/>
          <w:lang w:val="ru-MD"/>
        </w:rPr>
        <w:t xml:space="preserve">го </w:t>
      </w:r>
      <w:r w:rsidRPr="00B77294">
        <w:rPr>
          <w:rFonts w:ascii="Times New Roman" w:hAnsi="Times New Roman"/>
          <w:sz w:val="24"/>
          <w:szCs w:val="24"/>
          <w:lang w:val="ru-MD"/>
        </w:rPr>
        <w:t>персонала, в результате непропорциональности фактической годовой нагрузки в с</w:t>
      </w:r>
      <w:r w:rsidR="00530607" w:rsidRPr="00B77294">
        <w:rPr>
          <w:rFonts w:ascii="Times New Roman" w:hAnsi="Times New Roman"/>
          <w:sz w:val="24"/>
          <w:szCs w:val="24"/>
          <w:lang w:val="ru-MD"/>
        </w:rPr>
        <w:t>итуации</w:t>
      </w:r>
      <w:r w:rsidRPr="00B77294">
        <w:rPr>
          <w:rFonts w:ascii="Times New Roman" w:hAnsi="Times New Roman"/>
          <w:sz w:val="24"/>
          <w:szCs w:val="24"/>
          <w:lang w:val="ru-MD"/>
        </w:rPr>
        <w:t>, когда сотрудники принимают от 519 до 2092 досье на одного сотрудника, что обусловливает материализацию риска необоснованных расходов</w:t>
      </w:r>
      <w:r w:rsidR="00A94EDF" w:rsidRPr="00B77294">
        <w:rPr>
          <w:rFonts w:ascii="Times New Roman" w:hAnsi="Times New Roman"/>
          <w:sz w:val="24"/>
          <w:szCs w:val="24"/>
          <w:lang w:val="ru-MD"/>
        </w:rPr>
        <w:t>;</w:t>
      </w:r>
    </w:p>
    <w:p w14:paraId="2D25EDB1" w14:textId="178BB62D" w:rsidR="00A94EDF" w:rsidRPr="00B77294" w:rsidRDefault="004347EF" w:rsidP="004347EF">
      <w:pPr>
        <w:pStyle w:val="ac"/>
        <w:numPr>
          <w:ilvl w:val="0"/>
          <w:numId w:val="5"/>
        </w:numPr>
        <w:spacing w:after="0" w:line="276" w:lineRule="auto"/>
        <w:ind w:left="0" w:firstLine="360"/>
        <w:jc w:val="both"/>
        <w:rPr>
          <w:rFonts w:ascii="Times New Roman" w:hAnsi="Times New Roman"/>
          <w:sz w:val="24"/>
          <w:szCs w:val="24"/>
          <w:lang w:val="ru-MD"/>
        </w:rPr>
      </w:pPr>
      <w:r w:rsidRPr="00B77294">
        <w:rPr>
          <w:rFonts w:ascii="Times New Roman" w:hAnsi="Times New Roman"/>
          <w:sz w:val="24"/>
          <w:szCs w:val="24"/>
          <w:lang w:val="ru-MD"/>
        </w:rPr>
        <w:t>в рамках Отдела научно-методических разработок, анализа и оценки, начиная с 2021 года по настоящее время, из 5 должностей (4 научных исследователя в области медицины и один статистик), только один человек работает, в основном удаленно, без какой-либо аргументации, а другие функции выполняют</w:t>
      </w:r>
      <w:r w:rsidR="00530607" w:rsidRPr="00B77294">
        <w:rPr>
          <w:rFonts w:ascii="Times New Roman" w:hAnsi="Times New Roman"/>
          <w:sz w:val="24"/>
          <w:szCs w:val="24"/>
          <w:lang w:val="ru-MD"/>
        </w:rPr>
        <w:t>ся</w:t>
      </w:r>
      <w:r w:rsidRPr="00B77294">
        <w:rPr>
          <w:rFonts w:ascii="Times New Roman" w:hAnsi="Times New Roman"/>
          <w:sz w:val="24"/>
          <w:szCs w:val="24"/>
          <w:lang w:val="ru-MD"/>
        </w:rPr>
        <w:t xml:space="preserve"> по совместительству сотрудник</w:t>
      </w:r>
      <w:r w:rsidR="00530607" w:rsidRPr="00B77294">
        <w:rPr>
          <w:rFonts w:ascii="Times New Roman" w:hAnsi="Times New Roman"/>
          <w:sz w:val="24"/>
          <w:szCs w:val="24"/>
          <w:lang w:val="ru-MD"/>
        </w:rPr>
        <w:t>ам</w:t>
      </w:r>
      <w:r w:rsidRPr="00B77294">
        <w:rPr>
          <w:rFonts w:ascii="Times New Roman" w:hAnsi="Times New Roman"/>
          <w:sz w:val="24"/>
          <w:szCs w:val="24"/>
          <w:lang w:val="ru-MD"/>
        </w:rPr>
        <w:t>и Консилиума</w:t>
      </w:r>
      <w:r w:rsidR="00A138D3" w:rsidRPr="00B77294">
        <w:rPr>
          <w:rFonts w:ascii="Times New Roman" w:hAnsi="Times New Roman"/>
          <w:sz w:val="24"/>
          <w:szCs w:val="24"/>
          <w:lang w:val="ru-MD"/>
        </w:rPr>
        <w:t>;</w:t>
      </w:r>
    </w:p>
    <w:p w14:paraId="7AFE70CA" w14:textId="5402B4C8" w:rsidR="00B1407F" w:rsidRPr="00B77294" w:rsidRDefault="004347EF" w:rsidP="004347EF">
      <w:pPr>
        <w:pStyle w:val="ac"/>
        <w:numPr>
          <w:ilvl w:val="0"/>
          <w:numId w:val="5"/>
        </w:numPr>
        <w:spacing w:after="0" w:line="276" w:lineRule="auto"/>
        <w:ind w:left="0" w:firstLine="360"/>
        <w:jc w:val="both"/>
        <w:rPr>
          <w:rFonts w:ascii="Times New Roman" w:hAnsi="Times New Roman"/>
          <w:color w:val="000000" w:themeColor="text1"/>
          <w:sz w:val="24"/>
          <w:szCs w:val="24"/>
          <w:lang w:val="ru-MD"/>
        </w:rPr>
      </w:pPr>
      <w:r w:rsidRPr="00B77294">
        <w:rPr>
          <w:rFonts w:ascii="Times New Roman" w:hAnsi="Times New Roman"/>
          <w:sz w:val="24"/>
          <w:szCs w:val="24"/>
          <w:lang w:val="ru-MD"/>
        </w:rPr>
        <w:t>было установлено, что Консилиум понес расходы на оплату электроэнергии, теплоэнергии, канализационных услуг за площадь, которая фактически использовалась другим публичным учреждением (87,2 ты</w:t>
      </w:r>
      <w:r w:rsidR="00C201DE" w:rsidRPr="00B77294">
        <w:rPr>
          <w:rFonts w:ascii="Times New Roman" w:hAnsi="Times New Roman"/>
          <w:sz w:val="24"/>
          <w:szCs w:val="24"/>
          <w:lang w:val="ru-MD"/>
        </w:rPr>
        <w:t>с. леев в год)</w:t>
      </w:r>
      <w:r w:rsidR="008C5FE6" w:rsidRPr="00B77294">
        <w:rPr>
          <w:rFonts w:ascii="Times New Roman" w:hAnsi="Times New Roman"/>
          <w:color w:val="000000" w:themeColor="text1"/>
          <w:sz w:val="24"/>
          <w:szCs w:val="24"/>
          <w:lang w:val="ru-MD"/>
        </w:rPr>
        <w:t>.</w:t>
      </w:r>
    </w:p>
    <w:p w14:paraId="7460F74B" w14:textId="171F2E04" w:rsidR="00B1407F" w:rsidRPr="00B77294" w:rsidRDefault="00B1407F" w:rsidP="00B1407F">
      <w:pPr>
        <w:spacing w:after="0" w:line="276" w:lineRule="auto"/>
        <w:jc w:val="both"/>
        <w:rPr>
          <w:color w:val="000000" w:themeColor="text1"/>
          <w:sz w:val="24"/>
          <w:szCs w:val="24"/>
          <w:lang w:val="ru-MD"/>
        </w:rPr>
      </w:pPr>
    </w:p>
    <w:p w14:paraId="5AF514A6" w14:textId="6C27522E" w:rsidR="008C5FE6" w:rsidRPr="00B77294" w:rsidRDefault="00EC377D" w:rsidP="008E4409">
      <w:pPr>
        <w:spacing w:after="0" w:line="276" w:lineRule="auto"/>
        <w:ind w:firstLine="709"/>
        <w:jc w:val="both"/>
        <w:rPr>
          <w:iCs/>
          <w:color w:val="000000" w:themeColor="text1"/>
          <w:sz w:val="24"/>
          <w:szCs w:val="24"/>
          <w:lang w:val="ru-MD"/>
        </w:rPr>
      </w:pPr>
      <w:bookmarkStart w:id="1" w:name="_Toc155369461"/>
      <w:bookmarkStart w:id="2" w:name="_Toc156476536"/>
      <w:r w:rsidRPr="00B77294">
        <w:rPr>
          <w:i/>
          <w:color w:val="000000" w:themeColor="text1"/>
          <w:sz w:val="24"/>
          <w:szCs w:val="24"/>
          <w:lang w:val="ru-MD"/>
        </w:rPr>
        <w:t>Процедуры государственных закупок в рамках Консилиума проводятся с нарушениями, что привело к необоснованным расходам в размере 22,3 тыс. леев</w:t>
      </w:r>
      <w:bookmarkEnd w:id="1"/>
      <w:bookmarkEnd w:id="2"/>
      <w:r w:rsidR="008C5FE6" w:rsidRPr="00B77294">
        <w:rPr>
          <w:i/>
          <w:iCs/>
          <w:color w:val="000000" w:themeColor="text1"/>
          <w:sz w:val="24"/>
          <w:szCs w:val="24"/>
          <w:lang w:val="ru-MD"/>
        </w:rPr>
        <w:t>.</w:t>
      </w:r>
      <w:r w:rsidR="008C5FE6" w:rsidRPr="00B77294">
        <w:rPr>
          <w:iCs/>
          <w:color w:val="000000" w:themeColor="text1"/>
          <w:sz w:val="24"/>
          <w:szCs w:val="24"/>
          <w:lang w:val="ru-MD"/>
        </w:rPr>
        <w:t xml:space="preserve"> </w:t>
      </w:r>
    </w:p>
    <w:p w14:paraId="0085442B" w14:textId="77777777" w:rsidR="001B012C" w:rsidRPr="00B77294" w:rsidRDefault="001B012C" w:rsidP="008E4409">
      <w:pPr>
        <w:spacing w:after="0" w:line="276" w:lineRule="auto"/>
        <w:ind w:firstLine="709"/>
        <w:jc w:val="both"/>
        <w:rPr>
          <w:color w:val="000000" w:themeColor="text1"/>
          <w:sz w:val="24"/>
          <w:szCs w:val="24"/>
          <w:lang w:val="ru-MD"/>
        </w:rPr>
      </w:pPr>
    </w:p>
    <w:p w14:paraId="773699D1" w14:textId="77777777" w:rsidR="00475BDB" w:rsidRPr="00B77294" w:rsidRDefault="00475BDB" w:rsidP="00475BDB">
      <w:pPr>
        <w:pStyle w:val="a7"/>
        <w:ind w:right="-2" w:firstLine="709"/>
        <w:rPr>
          <w:rFonts w:asciiTheme="majorBidi" w:hAnsiTheme="majorBidi" w:cstheme="majorBidi"/>
          <w:lang w:val="ru-MD"/>
        </w:rPr>
      </w:pPr>
      <w:r w:rsidRPr="00B77294">
        <w:rPr>
          <w:rFonts w:asciiTheme="majorBidi" w:hAnsiTheme="majorBidi" w:cstheme="majorBidi"/>
          <w:lang w:val="ru-MD"/>
        </w:rPr>
        <w:t xml:space="preserve">Исходя из вышеизложенного, на основании ст.14 (2), ст.15 d) и ст.37 (2) Закона №260 от 07.12.2017, Счетная палата </w:t>
      </w:r>
    </w:p>
    <w:p w14:paraId="04B7EC3A" w14:textId="77777777" w:rsidR="00475BDB" w:rsidRPr="00B77294" w:rsidRDefault="00475BDB" w:rsidP="00475BDB">
      <w:pPr>
        <w:pStyle w:val="a7"/>
        <w:spacing w:line="276" w:lineRule="auto"/>
        <w:ind w:right="-2" w:firstLine="709"/>
        <w:rPr>
          <w:rFonts w:asciiTheme="majorBidi" w:hAnsiTheme="majorBidi" w:cstheme="majorBidi"/>
          <w:lang w:val="ru-MD"/>
        </w:rPr>
      </w:pPr>
    </w:p>
    <w:p w14:paraId="588293DD" w14:textId="59550B23" w:rsidR="00165BB4" w:rsidRPr="00B77294" w:rsidRDefault="00475BDB" w:rsidP="00475BDB">
      <w:pPr>
        <w:pStyle w:val="a7"/>
        <w:spacing w:line="276" w:lineRule="auto"/>
        <w:ind w:firstLine="709"/>
        <w:jc w:val="center"/>
        <w:rPr>
          <w:b/>
          <w:lang w:val="ru-MD"/>
        </w:rPr>
      </w:pPr>
      <w:r w:rsidRPr="00B77294">
        <w:rPr>
          <w:rFonts w:asciiTheme="majorBidi" w:hAnsiTheme="majorBidi" w:cstheme="majorBidi"/>
          <w:b/>
          <w:lang w:val="ru-MD"/>
        </w:rPr>
        <w:t>ПОСТАНОВЛЯЕТ</w:t>
      </w:r>
      <w:r w:rsidR="00165BB4" w:rsidRPr="00B77294">
        <w:rPr>
          <w:b/>
          <w:lang w:val="ru-MD"/>
        </w:rPr>
        <w:t>:</w:t>
      </w:r>
    </w:p>
    <w:p w14:paraId="246F7A40" w14:textId="13440834" w:rsidR="00165BB4" w:rsidRPr="00B77294" w:rsidRDefault="00165BB4" w:rsidP="0054622A">
      <w:pPr>
        <w:pStyle w:val="a7"/>
        <w:spacing w:line="276" w:lineRule="auto"/>
        <w:ind w:firstLine="709"/>
        <w:rPr>
          <w:lang w:val="ru-MD"/>
        </w:rPr>
      </w:pPr>
      <w:r w:rsidRPr="00B77294">
        <w:rPr>
          <w:b/>
          <w:bCs/>
          <w:lang w:val="ru-MD"/>
        </w:rPr>
        <w:t>1.</w:t>
      </w:r>
      <w:r w:rsidRPr="00B77294">
        <w:rPr>
          <w:lang w:val="ru-MD"/>
        </w:rPr>
        <w:t xml:space="preserve"> </w:t>
      </w:r>
      <w:r w:rsidR="00475BDB" w:rsidRPr="00B77294">
        <w:rPr>
          <w:lang w:val="ru-MD"/>
        </w:rPr>
        <w:t>Утвердить Отчет аудита соответствия деятельности Национального консилиума по установлению ограничения возможностей и трудоспособности</w:t>
      </w:r>
      <w:r w:rsidRPr="00B77294">
        <w:rPr>
          <w:lang w:val="ru-MD"/>
        </w:rPr>
        <w:t>,</w:t>
      </w:r>
      <w:r w:rsidR="00475BDB" w:rsidRPr="00B77294">
        <w:rPr>
          <w:lang w:val="ru-MD"/>
        </w:rPr>
        <w:t xml:space="preserve"> приложенный к настоящему Постановлению</w:t>
      </w:r>
      <w:r w:rsidRPr="00B77294">
        <w:rPr>
          <w:lang w:val="ru-MD"/>
        </w:rPr>
        <w:t>.</w:t>
      </w:r>
    </w:p>
    <w:p w14:paraId="63B1B17B" w14:textId="5C48EC43" w:rsidR="00165BB4" w:rsidRPr="00B77294" w:rsidRDefault="00165BB4" w:rsidP="0054622A">
      <w:pPr>
        <w:pStyle w:val="a7"/>
        <w:spacing w:line="276" w:lineRule="auto"/>
        <w:ind w:firstLine="709"/>
        <w:rPr>
          <w:lang w:val="ru-MD"/>
        </w:rPr>
      </w:pPr>
      <w:r w:rsidRPr="00B77294">
        <w:rPr>
          <w:b/>
          <w:bCs/>
          <w:lang w:val="ru-MD"/>
        </w:rPr>
        <w:t>2.</w:t>
      </w:r>
      <w:r w:rsidRPr="00B77294">
        <w:rPr>
          <w:lang w:val="ru-MD"/>
        </w:rPr>
        <w:t xml:space="preserve"> </w:t>
      </w:r>
      <w:r w:rsidR="00475BDB" w:rsidRPr="00B77294">
        <w:rPr>
          <w:lang w:val="ru-MD"/>
        </w:rPr>
        <w:t>Настоящее Постановление и Отчет аудита направить</w:t>
      </w:r>
      <w:r w:rsidRPr="00B77294">
        <w:rPr>
          <w:lang w:val="ru-MD"/>
        </w:rPr>
        <w:t>:</w:t>
      </w:r>
    </w:p>
    <w:p w14:paraId="32F2996C" w14:textId="6E29E4E0" w:rsidR="00165BB4" w:rsidRPr="00B77294" w:rsidRDefault="00165BB4" w:rsidP="0054622A">
      <w:pPr>
        <w:spacing w:after="0" w:line="276" w:lineRule="auto"/>
        <w:ind w:firstLine="709"/>
        <w:jc w:val="both"/>
        <w:rPr>
          <w:rFonts w:eastAsia="Times New Roman"/>
          <w:color w:val="auto"/>
          <w:sz w:val="24"/>
          <w:szCs w:val="24"/>
          <w:lang w:val="ru-MD" w:eastAsia="ru-RU"/>
        </w:rPr>
      </w:pPr>
      <w:r w:rsidRPr="00B77294">
        <w:rPr>
          <w:b/>
          <w:color w:val="auto"/>
          <w:sz w:val="24"/>
          <w:szCs w:val="24"/>
          <w:lang w:val="ru-MD"/>
        </w:rPr>
        <w:t xml:space="preserve">2.1. </w:t>
      </w:r>
      <w:r w:rsidR="00475BDB" w:rsidRPr="00B77294">
        <w:rPr>
          <w:b/>
          <w:bCs/>
          <w:color w:val="auto"/>
          <w:sz w:val="24"/>
          <w:szCs w:val="24"/>
          <w:lang w:val="ru-MD"/>
        </w:rPr>
        <w:t>Парламенту Республики Молдова</w:t>
      </w:r>
      <w:r w:rsidR="00475BDB" w:rsidRPr="00B77294">
        <w:rPr>
          <w:b/>
          <w:color w:val="auto"/>
          <w:sz w:val="24"/>
          <w:szCs w:val="24"/>
          <w:lang w:val="ru-MD"/>
        </w:rPr>
        <w:t xml:space="preserve"> </w:t>
      </w:r>
      <w:r w:rsidR="00475BDB" w:rsidRPr="00B77294">
        <w:rPr>
          <w:color w:val="auto"/>
          <w:sz w:val="24"/>
          <w:szCs w:val="24"/>
          <w:lang w:val="ru-MD"/>
        </w:rPr>
        <w:t>для информирования и рассмотрения, в случае необходимости, в рамках парламентской комиссии по контролю за публичными финансами</w:t>
      </w:r>
      <w:r w:rsidRPr="00B77294">
        <w:rPr>
          <w:bCs/>
          <w:color w:val="auto"/>
          <w:sz w:val="24"/>
          <w:szCs w:val="24"/>
          <w:lang w:val="ru-MD"/>
        </w:rPr>
        <w:t>;</w:t>
      </w:r>
    </w:p>
    <w:p w14:paraId="1FF480A1" w14:textId="32417776" w:rsidR="00165BB4" w:rsidRPr="00B77294" w:rsidRDefault="00165BB4" w:rsidP="0054622A">
      <w:pPr>
        <w:spacing w:after="0" w:line="276" w:lineRule="auto"/>
        <w:ind w:firstLine="709"/>
        <w:contextualSpacing/>
        <w:jc w:val="both"/>
        <w:rPr>
          <w:rFonts w:eastAsia="Times New Roman"/>
          <w:color w:val="auto"/>
          <w:sz w:val="24"/>
          <w:szCs w:val="24"/>
          <w:lang w:val="ru-MD"/>
        </w:rPr>
      </w:pPr>
      <w:r w:rsidRPr="00B77294">
        <w:rPr>
          <w:rFonts w:eastAsia="Times New Roman"/>
          <w:b/>
          <w:color w:val="auto"/>
          <w:sz w:val="24"/>
          <w:szCs w:val="24"/>
          <w:lang w:val="ru-MD"/>
        </w:rPr>
        <w:t xml:space="preserve">2.2. </w:t>
      </w:r>
      <w:r w:rsidR="002B66E2" w:rsidRPr="00B77294">
        <w:rPr>
          <w:rFonts w:eastAsia="Times New Roman"/>
          <w:b/>
          <w:color w:val="auto"/>
          <w:sz w:val="24"/>
          <w:szCs w:val="24"/>
          <w:lang w:val="ru-MD"/>
        </w:rPr>
        <w:t xml:space="preserve">  </w:t>
      </w:r>
      <w:r w:rsidR="00475BDB" w:rsidRPr="00B77294">
        <w:rPr>
          <w:rFonts w:eastAsia="Times New Roman"/>
          <w:b/>
          <w:bCs/>
          <w:color w:val="auto"/>
          <w:sz w:val="24"/>
          <w:szCs w:val="24"/>
          <w:lang w:val="ru-MD"/>
        </w:rPr>
        <w:t>Президенту Республики Молдова</w:t>
      </w:r>
      <w:r w:rsidR="00475BDB" w:rsidRPr="00B77294">
        <w:rPr>
          <w:rFonts w:eastAsia="Times New Roman"/>
          <w:b/>
          <w:color w:val="auto"/>
          <w:sz w:val="24"/>
          <w:szCs w:val="24"/>
          <w:lang w:val="ru-MD"/>
        </w:rPr>
        <w:t xml:space="preserve"> </w:t>
      </w:r>
      <w:r w:rsidR="00475BDB" w:rsidRPr="00B77294">
        <w:rPr>
          <w:rFonts w:eastAsia="Times New Roman"/>
          <w:color w:val="auto"/>
          <w:sz w:val="24"/>
          <w:szCs w:val="24"/>
          <w:lang w:val="ru-MD"/>
        </w:rPr>
        <w:t>для информирования</w:t>
      </w:r>
      <w:r w:rsidRPr="00B77294">
        <w:rPr>
          <w:rFonts w:eastAsia="Times New Roman"/>
          <w:color w:val="auto"/>
          <w:sz w:val="24"/>
          <w:szCs w:val="24"/>
          <w:lang w:val="ru-MD"/>
        </w:rPr>
        <w:t>;</w:t>
      </w:r>
    </w:p>
    <w:p w14:paraId="01F76367" w14:textId="66FB5AD3" w:rsidR="00453DAD" w:rsidRPr="00B77294" w:rsidRDefault="00165BB4" w:rsidP="0054622A">
      <w:pPr>
        <w:spacing w:after="0" w:line="276" w:lineRule="auto"/>
        <w:ind w:firstLine="709"/>
        <w:jc w:val="both"/>
        <w:rPr>
          <w:color w:val="auto"/>
          <w:sz w:val="24"/>
          <w:szCs w:val="24"/>
          <w:lang w:val="ru-MD"/>
        </w:rPr>
      </w:pPr>
      <w:r w:rsidRPr="00B77294">
        <w:rPr>
          <w:b/>
          <w:color w:val="auto"/>
          <w:sz w:val="24"/>
          <w:szCs w:val="24"/>
          <w:lang w:val="ru-MD"/>
        </w:rPr>
        <w:t>2.3.</w:t>
      </w:r>
      <w:r w:rsidRPr="00B77294">
        <w:rPr>
          <w:color w:val="auto"/>
          <w:sz w:val="24"/>
          <w:szCs w:val="24"/>
          <w:lang w:val="ru-MD"/>
        </w:rPr>
        <w:t xml:space="preserve"> </w:t>
      </w:r>
      <w:r w:rsidR="00475BDB" w:rsidRPr="00B77294">
        <w:rPr>
          <w:b/>
          <w:bCs/>
          <w:color w:val="auto"/>
          <w:sz w:val="24"/>
          <w:szCs w:val="24"/>
          <w:lang w:val="ru-MD"/>
        </w:rPr>
        <w:t>Правительству Республики Молдова</w:t>
      </w:r>
      <w:r w:rsidR="00475BDB" w:rsidRPr="00B77294">
        <w:rPr>
          <w:b/>
          <w:color w:val="auto"/>
          <w:sz w:val="24"/>
          <w:szCs w:val="24"/>
          <w:lang w:val="ru-MD"/>
        </w:rPr>
        <w:t xml:space="preserve"> </w:t>
      </w:r>
      <w:r w:rsidR="00475BDB" w:rsidRPr="00B77294">
        <w:rPr>
          <w:color w:val="auto"/>
          <w:sz w:val="24"/>
          <w:szCs w:val="24"/>
          <w:lang w:val="ru-MD"/>
        </w:rPr>
        <w:t>для информирования и принятия мер по мониторингу обеспечения выполнения аудиторских рекомендаций</w:t>
      </w:r>
      <w:r w:rsidRPr="00B77294">
        <w:rPr>
          <w:color w:val="auto"/>
          <w:sz w:val="24"/>
          <w:szCs w:val="24"/>
          <w:lang w:val="ru-MD"/>
        </w:rPr>
        <w:t>;</w:t>
      </w:r>
    </w:p>
    <w:p w14:paraId="52D83417" w14:textId="34791C2A" w:rsidR="002F1B89" w:rsidRPr="00B77294" w:rsidRDefault="002F1B89" w:rsidP="0054622A">
      <w:pPr>
        <w:spacing w:after="0" w:line="276" w:lineRule="auto"/>
        <w:ind w:firstLine="709"/>
        <w:jc w:val="both"/>
        <w:rPr>
          <w:sz w:val="24"/>
          <w:szCs w:val="24"/>
          <w:lang w:val="ru-MD"/>
        </w:rPr>
      </w:pPr>
      <w:r w:rsidRPr="00B77294">
        <w:rPr>
          <w:b/>
          <w:noProof/>
          <w:color w:val="auto"/>
          <w:sz w:val="24"/>
          <w:szCs w:val="24"/>
          <w:lang w:val="ru-MD"/>
        </w:rPr>
        <w:t>2.4.</w:t>
      </w:r>
      <w:r w:rsidRPr="00B77294">
        <w:rPr>
          <w:noProof/>
          <w:color w:val="auto"/>
          <w:sz w:val="24"/>
          <w:szCs w:val="24"/>
          <w:lang w:val="ru-MD"/>
        </w:rPr>
        <w:t xml:space="preserve"> </w:t>
      </w:r>
      <w:r w:rsidR="00475BDB" w:rsidRPr="00B77294">
        <w:rPr>
          <w:b/>
          <w:noProof/>
          <w:color w:val="auto"/>
          <w:sz w:val="24"/>
          <w:szCs w:val="24"/>
          <w:lang w:val="ru-MD"/>
        </w:rPr>
        <w:t>Министерству труда и социальной защиты</w:t>
      </w:r>
      <w:r w:rsidRPr="00B77294">
        <w:rPr>
          <w:rFonts w:eastAsia="Times New Roman"/>
          <w:b/>
          <w:color w:val="auto"/>
          <w:sz w:val="24"/>
          <w:szCs w:val="24"/>
          <w:lang w:val="ru-MD"/>
        </w:rPr>
        <w:t xml:space="preserve"> </w:t>
      </w:r>
      <w:r w:rsidR="00475BDB" w:rsidRPr="00B77294">
        <w:rPr>
          <w:rFonts w:eastAsia="Times New Roman"/>
          <w:color w:val="auto"/>
          <w:sz w:val="24"/>
          <w:szCs w:val="24"/>
          <w:lang w:val="ru-MD"/>
        </w:rPr>
        <w:t>для рассмотрения результатов аудиторской миссии и принятия к сведению, выполнения рекомендаций из Отчета аудита, а также для разработки и утверждения необходимых положений в аудируемой области</w:t>
      </w:r>
      <w:r w:rsidRPr="00B77294">
        <w:rPr>
          <w:noProof/>
          <w:color w:val="auto"/>
          <w:sz w:val="24"/>
          <w:szCs w:val="24"/>
          <w:lang w:val="ru-MD"/>
        </w:rPr>
        <w:t>;</w:t>
      </w:r>
    </w:p>
    <w:p w14:paraId="0AAD21C4" w14:textId="13F1B2F3" w:rsidR="00CE4CCF" w:rsidRPr="00B77294" w:rsidRDefault="00165BB4" w:rsidP="0054622A">
      <w:pPr>
        <w:spacing w:after="0" w:line="276" w:lineRule="auto"/>
        <w:ind w:firstLine="709"/>
        <w:jc w:val="both"/>
        <w:rPr>
          <w:noProof/>
          <w:color w:val="auto"/>
          <w:sz w:val="24"/>
          <w:szCs w:val="24"/>
          <w:lang w:val="ru-MD"/>
        </w:rPr>
      </w:pPr>
      <w:r w:rsidRPr="00B77294">
        <w:rPr>
          <w:b/>
          <w:color w:val="auto"/>
          <w:sz w:val="24"/>
          <w:szCs w:val="24"/>
          <w:lang w:val="ru-MD"/>
        </w:rPr>
        <w:t>2.</w:t>
      </w:r>
      <w:r w:rsidR="002F1B89" w:rsidRPr="00B77294">
        <w:rPr>
          <w:b/>
          <w:color w:val="auto"/>
          <w:sz w:val="24"/>
          <w:szCs w:val="24"/>
          <w:lang w:val="ru-MD"/>
        </w:rPr>
        <w:t>5</w:t>
      </w:r>
      <w:r w:rsidRPr="00B77294">
        <w:rPr>
          <w:b/>
          <w:color w:val="auto"/>
          <w:sz w:val="24"/>
          <w:szCs w:val="24"/>
          <w:lang w:val="ru-MD"/>
        </w:rPr>
        <w:t xml:space="preserve">. </w:t>
      </w:r>
      <w:r w:rsidR="006004BE" w:rsidRPr="00B77294">
        <w:rPr>
          <w:b/>
          <w:color w:val="auto"/>
          <w:sz w:val="24"/>
          <w:szCs w:val="24"/>
          <w:lang w:val="ru-MD"/>
        </w:rPr>
        <w:t>Национальному консилиуму по установлению ограничения возможностей и трудоспособности</w:t>
      </w:r>
      <w:r w:rsidRPr="00B77294">
        <w:rPr>
          <w:b/>
          <w:color w:val="auto"/>
          <w:sz w:val="24"/>
          <w:szCs w:val="24"/>
          <w:lang w:val="ru-MD"/>
        </w:rPr>
        <w:t xml:space="preserve"> </w:t>
      </w:r>
      <w:r w:rsidR="006004BE" w:rsidRPr="00B77294">
        <w:rPr>
          <w:rFonts w:eastAsia="Times New Roman"/>
          <w:color w:val="auto"/>
          <w:sz w:val="24"/>
          <w:szCs w:val="24"/>
          <w:lang w:val="ru-MD"/>
        </w:rPr>
        <w:t>для рассмотрения результатов аудита, принятия к сведению, выполнения рекомендаций из Отчета аудита</w:t>
      </w:r>
      <w:r w:rsidR="006004BE" w:rsidRPr="00B77294">
        <w:rPr>
          <w:color w:val="auto"/>
          <w:sz w:val="24"/>
          <w:szCs w:val="24"/>
          <w:lang w:val="ru-MD"/>
        </w:rPr>
        <w:t xml:space="preserve"> и утверждения плана мер по исправлению отмеченных ситуаций</w:t>
      </w:r>
      <w:r w:rsidRPr="00B77294">
        <w:rPr>
          <w:noProof/>
          <w:color w:val="auto"/>
          <w:sz w:val="24"/>
          <w:szCs w:val="24"/>
          <w:lang w:val="ru-MD"/>
        </w:rPr>
        <w:t>;</w:t>
      </w:r>
    </w:p>
    <w:p w14:paraId="2837E23D" w14:textId="423CF6BA" w:rsidR="00BB25C3" w:rsidRPr="00B77294" w:rsidRDefault="00BB25C3" w:rsidP="0054622A">
      <w:pPr>
        <w:pStyle w:val="ac"/>
        <w:spacing w:after="0" w:line="276" w:lineRule="auto"/>
        <w:ind w:left="0" w:firstLine="720"/>
        <w:jc w:val="both"/>
        <w:rPr>
          <w:rFonts w:ascii="Times New Roman" w:hAnsi="Times New Roman"/>
          <w:sz w:val="24"/>
          <w:szCs w:val="24"/>
          <w:lang w:val="ru-MD"/>
        </w:rPr>
      </w:pPr>
      <w:r w:rsidRPr="00B77294">
        <w:rPr>
          <w:rFonts w:ascii="Times New Roman" w:hAnsi="Times New Roman"/>
          <w:b/>
          <w:sz w:val="24"/>
          <w:szCs w:val="24"/>
          <w:lang w:val="ru-MD"/>
        </w:rPr>
        <w:t>2.6</w:t>
      </w:r>
      <w:r w:rsidR="00F1754C" w:rsidRPr="00B77294">
        <w:rPr>
          <w:rFonts w:ascii="Times New Roman" w:hAnsi="Times New Roman"/>
          <w:b/>
          <w:sz w:val="24"/>
          <w:szCs w:val="24"/>
          <w:lang w:val="ru-MD"/>
        </w:rPr>
        <w:t>.</w:t>
      </w:r>
      <w:r w:rsidRPr="00B77294">
        <w:rPr>
          <w:rFonts w:ascii="Times New Roman" w:hAnsi="Times New Roman"/>
          <w:b/>
          <w:sz w:val="24"/>
          <w:szCs w:val="24"/>
          <w:lang w:val="ru-MD"/>
        </w:rPr>
        <w:t xml:space="preserve"> </w:t>
      </w:r>
      <w:r w:rsidR="006004BE" w:rsidRPr="00B77294">
        <w:rPr>
          <w:rFonts w:ascii="Times New Roman" w:hAnsi="Times New Roman"/>
          <w:b/>
          <w:sz w:val="24"/>
          <w:szCs w:val="24"/>
          <w:lang w:val="ru-MD"/>
        </w:rPr>
        <w:t>Государственной социальной инспекции</w:t>
      </w:r>
      <w:r w:rsidRPr="00B77294">
        <w:rPr>
          <w:rFonts w:ascii="Times New Roman" w:hAnsi="Times New Roman"/>
          <w:sz w:val="24"/>
          <w:szCs w:val="24"/>
          <w:lang w:val="ru-MD"/>
        </w:rPr>
        <w:t xml:space="preserve"> </w:t>
      </w:r>
      <w:r w:rsidR="006004BE" w:rsidRPr="00B77294">
        <w:rPr>
          <w:rFonts w:ascii="Times New Roman" w:hAnsi="Times New Roman"/>
          <w:sz w:val="24"/>
          <w:szCs w:val="24"/>
          <w:lang w:val="ru-MD"/>
        </w:rPr>
        <w:t>для оценки и осуществления контроля достоверности и правильности выдачи территориальными структурами социального обеспечения документов, подтверждающих право лиц с ограниченными возможностями опорно-двигательного аппарата ввозить раз в 5 лет, с освобождением от импортных пошлин, транспортное средство для личных нужд, отнесенное к тарифной позиции 8703</w:t>
      </w:r>
      <w:r w:rsidR="00265857" w:rsidRPr="00B77294">
        <w:rPr>
          <w:rFonts w:ascii="Times New Roman" w:hAnsi="Times New Roman"/>
          <w:sz w:val="24"/>
          <w:szCs w:val="24"/>
          <w:lang w:val="ru-MD"/>
        </w:rPr>
        <w:t>;</w:t>
      </w:r>
    </w:p>
    <w:p w14:paraId="3EF63521" w14:textId="58A5FEBA" w:rsidR="00624F3B" w:rsidRPr="00B77294" w:rsidRDefault="00624F3B" w:rsidP="0054622A">
      <w:pPr>
        <w:pStyle w:val="ac"/>
        <w:spacing w:after="0" w:line="276" w:lineRule="auto"/>
        <w:ind w:left="0" w:firstLine="720"/>
        <w:jc w:val="both"/>
        <w:rPr>
          <w:rFonts w:ascii="Times New Roman" w:hAnsi="Times New Roman"/>
          <w:sz w:val="24"/>
          <w:szCs w:val="24"/>
          <w:lang w:val="ru-MD"/>
        </w:rPr>
      </w:pPr>
      <w:r w:rsidRPr="00B77294">
        <w:rPr>
          <w:rFonts w:ascii="Times New Roman" w:hAnsi="Times New Roman"/>
          <w:b/>
          <w:sz w:val="24"/>
          <w:szCs w:val="24"/>
          <w:lang w:val="ru-MD"/>
        </w:rPr>
        <w:t>2.</w:t>
      </w:r>
      <w:r w:rsidR="00BB25C3" w:rsidRPr="00B77294">
        <w:rPr>
          <w:rFonts w:ascii="Times New Roman" w:hAnsi="Times New Roman"/>
          <w:b/>
          <w:sz w:val="24"/>
          <w:szCs w:val="24"/>
          <w:lang w:val="ru-MD"/>
        </w:rPr>
        <w:t>7</w:t>
      </w:r>
      <w:r w:rsidRPr="00B77294">
        <w:rPr>
          <w:rFonts w:ascii="Times New Roman" w:hAnsi="Times New Roman"/>
          <w:b/>
          <w:sz w:val="24"/>
          <w:szCs w:val="24"/>
          <w:lang w:val="ru-MD"/>
        </w:rPr>
        <w:t>.</w:t>
      </w:r>
      <w:r w:rsidRPr="00B77294">
        <w:rPr>
          <w:rFonts w:ascii="Times New Roman" w:hAnsi="Times New Roman"/>
          <w:sz w:val="24"/>
          <w:szCs w:val="24"/>
          <w:lang w:val="ru-MD"/>
        </w:rPr>
        <w:t xml:space="preserve"> </w:t>
      </w:r>
      <w:r w:rsidR="006004BE" w:rsidRPr="00B77294">
        <w:rPr>
          <w:rFonts w:ascii="Times New Roman" w:hAnsi="Times New Roman"/>
          <w:b/>
          <w:sz w:val="24"/>
          <w:szCs w:val="24"/>
          <w:lang w:val="ru-MD"/>
        </w:rPr>
        <w:t>Министерству финансов</w:t>
      </w:r>
      <w:r w:rsidRPr="00B77294">
        <w:rPr>
          <w:rFonts w:ascii="Times New Roman" w:hAnsi="Times New Roman"/>
          <w:sz w:val="24"/>
          <w:szCs w:val="24"/>
          <w:lang w:val="ru-MD"/>
        </w:rPr>
        <w:t xml:space="preserve"> </w:t>
      </w:r>
      <w:r w:rsidR="006004BE" w:rsidRPr="00B77294">
        <w:rPr>
          <w:rFonts w:asciiTheme="majorBidi" w:hAnsiTheme="majorBidi" w:cstheme="majorBidi"/>
          <w:lang w:val="ru-MD"/>
        </w:rPr>
        <w:t>для информирования и выполнения рекомендаций из Отчета аудита</w:t>
      </w:r>
      <w:r w:rsidRPr="00B77294">
        <w:rPr>
          <w:rFonts w:ascii="Times New Roman" w:hAnsi="Times New Roman"/>
          <w:sz w:val="24"/>
          <w:szCs w:val="24"/>
          <w:lang w:val="ru-MD"/>
        </w:rPr>
        <w:t>;</w:t>
      </w:r>
    </w:p>
    <w:p w14:paraId="3C8A09E8" w14:textId="39E932C5" w:rsidR="005365FE" w:rsidRPr="00B77294" w:rsidRDefault="00922F59" w:rsidP="0054622A">
      <w:pPr>
        <w:pStyle w:val="ac"/>
        <w:spacing w:after="0" w:line="276" w:lineRule="auto"/>
        <w:ind w:left="0" w:firstLine="720"/>
        <w:jc w:val="both"/>
        <w:rPr>
          <w:rFonts w:ascii="Times New Roman" w:hAnsi="Times New Roman"/>
          <w:sz w:val="24"/>
          <w:szCs w:val="24"/>
          <w:lang w:val="ru-MD"/>
        </w:rPr>
      </w:pPr>
      <w:r w:rsidRPr="00B77294">
        <w:rPr>
          <w:rFonts w:ascii="Times New Roman" w:hAnsi="Times New Roman"/>
          <w:b/>
          <w:sz w:val="24"/>
          <w:szCs w:val="24"/>
          <w:lang w:val="ru-MD"/>
        </w:rPr>
        <w:t>2.</w:t>
      </w:r>
      <w:r w:rsidR="00BB25C3" w:rsidRPr="00B77294">
        <w:rPr>
          <w:rFonts w:ascii="Times New Roman" w:hAnsi="Times New Roman"/>
          <w:b/>
          <w:sz w:val="24"/>
          <w:szCs w:val="24"/>
          <w:lang w:val="ru-MD"/>
        </w:rPr>
        <w:t>8</w:t>
      </w:r>
      <w:r w:rsidR="006004BE" w:rsidRPr="00B77294">
        <w:rPr>
          <w:rFonts w:ascii="Times New Roman" w:hAnsi="Times New Roman"/>
          <w:b/>
          <w:sz w:val="24"/>
          <w:szCs w:val="24"/>
          <w:lang w:val="ru-MD"/>
        </w:rPr>
        <w:t>. Генеральной прокуратуре</w:t>
      </w:r>
      <w:r w:rsidRPr="00B77294">
        <w:rPr>
          <w:rFonts w:ascii="Times New Roman" w:hAnsi="Times New Roman"/>
          <w:sz w:val="24"/>
          <w:szCs w:val="24"/>
          <w:lang w:val="ru-MD"/>
        </w:rPr>
        <w:t xml:space="preserve"> </w:t>
      </w:r>
      <w:r w:rsidR="006004BE" w:rsidRPr="00B77294">
        <w:rPr>
          <w:rFonts w:ascii="Times New Roman" w:hAnsi="Times New Roman"/>
          <w:sz w:val="24"/>
          <w:szCs w:val="24"/>
          <w:lang w:val="ru-MD"/>
        </w:rPr>
        <w:t>для информирования о констатациях, представленных в Отчете аудита, особенно о констатациях, изложенных в пункте 4.2. и в подпунктах 4.4.1.; 4.4.3. Отчета аудита</w:t>
      </w:r>
      <w:r w:rsidR="001B2529" w:rsidRPr="00B77294">
        <w:rPr>
          <w:rFonts w:ascii="Times New Roman" w:hAnsi="Times New Roman"/>
          <w:sz w:val="24"/>
          <w:szCs w:val="24"/>
          <w:lang w:val="ru-MD"/>
        </w:rPr>
        <w:t>.</w:t>
      </w:r>
    </w:p>
    <w:p w14:paraId="61553F02" w14:textId="700CD86A" w:rsidR="00165BB4" w:rsidRPr="00B77294" w:rsidRDefault="00DC7BE9" w:rsidP="0054622A">
      <w:pPr>
        <w:pStyle w:val="a7"/>
        <w:spacing w:line="276" w:lineRule="auto"/>
        <w:ind w:firstLine="709"/>
        <w:rPr>
          <w:lang w:val="ru-MD"/>
        </w:rPr>
      </w:pPr>
      <w:r w:rsidRPr="00B77294">
        <w:rPr>
          <w:rFonts w:eastAsia="Calibri"/>
          <w:b/>
          <w:bCs/>
          <w:lang w:val="ru-MD"/>
        </w:rPr>
        <w:t>3</w:t>
      </w:r>
      <w:r w:rsidR="00165BB4" w:rsidRPr="00B77294">
        <w:rPr>
          <w:rFonts w:eastAsia="Calibri"/>
          <w:bCs/>
          <w:lang w:val="ru-MD"/>
        </w:rPr>
        <w:t xml:space="preserve">. </w:t>
      </w:r>
      <w:r w:rsidR="006004BE" w:rsidRPr="00B77294">
        <w:rPr>
          <w:rFonts w:asciiTheme="majorBidi" w:hAnsiTheme="majorBidi" w:cstheme="majorBidi"/>
          <w:bCs/>
          <w:lang w:val="ru-MD"/>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165BB4" w:rsidRPr="00B77294">
        <w:rPr>
          <w:lang w:val="ru-MD"/>
        </w:rPr>
        <w:t xml:space="preserve">. </w:t>
      </w:r>
    </w:p>
    <w:p w14:paraId="009F4FE7" w14:textId="123EB47C" w:rsidR="00CE55C6" w:rsidRPr="00B77294" w:rsidRDefault="00DC7BE9" w:rsidP="0054622A">
      <w:pPr>
        <w:pStyle w:val="a7"/>
        <w:spacing w:line="276" w:lineRule="auto"/>
        <w:ind w:firstLine="709"/>
        <w:rPr>
          <w:lang w:val="ru-MD"/>
        </w:rPr>
      </w:pPr>
      <w:r w:rsidRPr="00B77294">
        <w:rPr>
          <w:b/>
          <w:lang w:val="ru-MD"/>
        </w:rPr>
        <w:t>4</w:t>
      </w:r>
      <w:r w:rsidR="00CE55C6" w:rsidRPr="00B77294">
        <w:rPr>
          <w:b/>
          <w:lang w:val="ru-MD"/>
        </w:rPr>
        <w:t>.</w:t>
      </w:r>
      <w:r w:rsidR="00CE55C6" w:rsidRPr="00B77294">
        <w:rPr>
          <w:lang w:val="ru-MD"/>
        </w:rPr>
        <w:t xml:space="preserve"> </w:t>
      </w:r>
      <w:r w:rsidR="006004BE" w:rsidRPr="00B77294">
        <w:rPr>
          <w:rFonts w:asciiTheme="majorBidi" w:hAnsiTheme="majorBidi" w:cstheme="majorBidi"/>
          <w:bCs/>
          <w:lang w:val="ru-MD"/>
        </w:rPr>
        <w:t xml:space="preserve">О принятых мерах по выполнению подпунктов </w:t>
      </w:r>
      <w:r w:rsidR="006004BE" w:rsidRPr="00B77294">
        <w:rPr>
          <w:rFonts w:asciiTheme="majorBidi" w:hAnsiTheme="majorBidi" w:cstheme="majorBidi"/>
          <w:lang w:val="ru-MD"/>
        </w:rPr>
        <w:t>2.4. – 2.7.</w:t>
      </w:r>
      <w:r w:rsidR="006004BE" w:rsidRPr="00B77294">
        <w:rPr>
          <w:rFonts w:asciiTheme="majorBidi" w:hAnsiTheme="majorBidi" w:cstheme="majorBidi"/>
          <w:bCs/>
          <w:lang w:val="ru-MD"/>
        </w:rPr>
        <w:t xml:space="preserve"> настоящего Постановления проинформировать Счетную палату ежеквартально, в течение 9 месяцев со дня </w:t>
      </w:r>
      <w:r w:rsidR="003034EB" w:rsidRPr="00B77294">
        <w:rPr>
          <w:rFonts w:asciiTheme="majorBidi" w:hAnsiTheme="majorBidi" w:cstheme="majorBidi"/>
          <w:bCs/>
          <w:lang w:val="ru-MD"/>
        </w:rPr>
        <w:t>опубликования</w:t>
      </w:r>
      <w:r w:rsidR="006004BE" w:rsidRPr="00B77294">
        <w:rPr>
          <w:rFonts w:asciiTheme="majorBidi" w:hAnsiTheme="majorBidi" w:cstheme="majorBidi"/>
          <w:bCs/>
          <w:lang w:val="ru-MD"/>
        </w:rPr>
        <w:t xml:space="preserve"> настоящего Постановления</w:t>
      </w:r>
      <w:r w:rsidR="006004BE" w:rsidRPr="00B77294">
        <w:rPr>
          <w:noProof/>
          <w:lang w:val="ru-MD"/>
        </w:rPr>
        <w:t xml:space="preserve"> </w:t>
      </w:r>
      <w:r w:rsidR="003034EB" w:rsidRPr="00B77294">
        <w:rPr>
          <w:noProof/>
          <w:lang w:val="ru-MD"/>
        </w:rPr>
        <w:t>в Официальном мониторе Республики Молдова</w:t>
      </w:r>
      <w:r w:rsidR="00CE55C6" w:rsidRPr="00B77294">
        <w:rPr>
          <w:noProof/>
          <w:lang w:val="ru-MD"/>
        </w:rPr>
        <w:t>.</w:t>
      </w:r>
    </w:p>
    <w:p w14:paraId="3EF7A1B5" w14:textId="09F4C8CA" w:rsidR="00165BB4" w:rsidRPr="00B77294" w:rsidRDefault="00DC7BE9" w:rsidP="0054622A">
      <w:pPr>
        <w:pStyle w:val="a7"/>
        <w:spacing w:line="276" w:lineRule="auto"/>
        <w:ind w:firstLine="709"/>
        <w:rPr>
          <w:lang w:val="ru-MD"/>
        </w:rPr>
      </w:pPr>
      <w:r w:rsidRPr="00B77294">
        <w:rPr>
          <w:b/>
          <w:lang w:val="ru-MD"/>
        </w:rPr>
        <w:t>5</w:t>
      </w:r>
      <w:r w:rsidR="00165BB4" w:rsidRPr="00B77294">
        <w:rPr>
          <w:b/>
          <w:lang w:val="ru-MD"/>
        </w:rPr>
        <w:t>.</w:t>
      </w:r>
      <w:r w:rsidR="00165BB4" w:rsidRPr="00B77294">
        <w:rPr>
          <w:lang w:val="ru-MD"/>
        </w:rPr>
        <w:t xml:space="preserve"> </w:t>
      </w:r>
      <w:r w:rsidR="003034EB" w:rsidRPr="00B77294">
        <w:rPr>
          <w:lang w:val="ru-MD"/>
        </w:rPr>
        <w:t xml:space="preserve">Постановление и Отчет аудита соответствия деятельности Национального консилиума по установлению ограничения возможностей и трудоспособности </w:t>
      </w:r>
      <w:r w:rsidR="003034EB" w:rsidRPr="00B77294">
        <w:rPr>
          <w:rFonts w:asciiTheme="majorBidi" w:hAnsiTheme="majorBidi" w:cstheme="majorBidi"/>
          <w:lang w:val="ru-MD"/>
        </w:rPr>
        <w:t>опубликовать на официальном сайте Счетной палаты</w:t>
      </w:r>
      <w:r w:rsidR="00165BB4" w:rsidRPr="00B77294">
        <w:rPr>
          <w:lang w:val="ru-MD"/>
        </w:rPr>
        <w:t xml:space="preserve"> (</w:t>
      </w:r>
      <w:hyperlink r:id="rId9" w:history="1">
        <w:r w:rsidR="00165BB4" w:rsidRPr="00B77294">
          <w:rPr>
            <w:rStyle w:val="a5"/>
            <w:color w:val="2F5496" w:themeColor="accent5" w:themeShade="BF"/>
            <w:lang w:val="ru-MD"/>
          </w:rPr>
          <w:t>https://www.ccrm.md/ro/decisions</w:t>
        </w:r>
      </w:hyperlink>
      <w:r w:rsidR="00165BB4" w:rsidRPr="00B77294">
        <w:rPr>
          <w:lang w:val="ru-MD"/>
        </w:rPr>
        <w:t>).</w:t>
      </w:r>
    </w:p>
    <w:p w14:paraId="6B99A8AD" w14:textId="7E454746" w:rsidR="00F47FC5" w:rsidRPr="00B77294" w:rsidRDefault="00F47FC5" w:rsidP="00B1407F">
      <w:pPr>
        <w:spacing w:after="0" w:line="240" w:lineRule="auto"/>
        <w:ind w:left="7201"/>
        <w:rPr>
          <w:rFonts w:eastAsia="Times New Roman"/>
          <w:b/>
          <w:color w:val="auto"/>
          <w:sz w:val="24"/>
          <w:szCs w:val="24"/>
          <w:lang w:val="ru-MD"/>
        </w:rPr>
      </w:pPr>
    </w:p>
    <w:p w14:paraId="5C59159C" w14:textId="45583302" w:rsidR="00B1407F" w:rsidRPr="00B77294" w:rsidRDefault="00B1407F" w:rsidP="007E0A63">
      <w:pPr>
        <w:spacing w:after="0" w:line="240" w:lineRule="auto"/>
        <w:ind w:left="7201"/>
        <w:jc w:val="right"/>
        <w:rPr>
          <w:rFonts w:eastAsia="Times New Roman"/>
          <w:b/>
          <w:color w:val="auto"/>
          <w:sz w:val="24"/>
          <w:szCs w:val="24"/>
          <w:lang w:val="ru-MD"/>
        </w:rPr>
      </w:pPr>
    </w:p>
    <w:p w14:paraId="63A99F67" w14:textId="531E98C1" w:rsidR="00B1407F" w:rsidRPr="00B77294" w:rsidRDefault="00B1407F" w:rsidP="007E0A63">
      <w:pPr>
        <w:spacing w:after="0" w:line="240" w:lineRule="auto"/>
        <w:ind w:left="7201"/>
        <w:jc w:val="right"/>
        <w:rPr>
          <w:rFonts w:eastAsia="Times New Roman"/>
          <w:b/>
          <w:color w:val="auto"/>
          <w:sz w:val="24"/>
          <w:szCs w:val="24"/>
          <w:lang w:val="ru-MD"/>
        </w:rPr>
      </w:pPr>
    </w:p>
    <w:p w14:paraId="57D6F376" w14:textId="50BA14E1" w:rsidR="00B1407F" w:rsidRPr="00B77294" w:rsidRDefault="00B1407F" w:rsidP="007E0A63">
      <w:pPr>
        <w:spacing w:after="0" w:line="240" w:lineRule="auto"/>
        <w:ind w:left="7201"/>
        <w:jc w:val="right"/>
        <w:rPr>
          <w:rFonts w:eastAsia="Times New Roman"/>
          <w:b/>
          <w:color w:val="auto"/>
          <w:sz w:val="24"/>
          <w:szCs w:val="24"/>
          <w:lang w:val="ru-MD"/>
        </w:rPr>
      </w:pPr>
    </w:p>
    <w:p w14:paraId="0DBFE88A" w14:textId="77777777" w:rsidR="00B1407F" w:rsidRPr="00B77294" w:rsidRDefault="00B1407F" w:rsidP="007E0A63">
      <w:pPr>
        <w:spacing w:after="0" w:line="240" w:lineRule="auto"/>
        <w:ind w:left="7201"/>
        <w:jc w:val="right"/>
        <w:rPr>
          <w:rFonts w:eastAsia="Times New Roman"/>
          <w:b/>
          <w:color w:val="auto"/>
          <w:sz w:val="24"/>
          <w:szCs w:val="24"/>
          <w:lang w:val="ru-MD"/>
        </w:rPr>
      </w:pPr>
    </w:p>
    <w:p w14:paraId="43C1F584" w14:textId="77777777" w:rsidR="003034EB" w:rsidRPr="00B77294" w:rsidRDefault="003034EB" w:rsidP="003034EB">
      <w:pPr>
        <w:spacing w:after="0" w:line="240" w:lineRule="auto"/>
        <w:ind w:left="7201"/>
        <w:jc w:val="right"/>
        <w:rPr>
          <w:rFonts w:eastAsia="Times New Roman"/>
          <w:b/>
          <w:color w:val="auto"/>
          <w:sz w:val="24"/>
          <w:szCs w:val="24"/>
          <w:lang w:val="ru-MD"/>
        </w:rPr>
      </w:pPr>
      <w:r w:rsidRPr="00B77294">
        <w:rPr>
          <w:rFonts w:eastAsia="Times New Roman"/>
          <w:b/>
          <w:color w:val="auto"/>
          <w:sz w:val="24"/>
          <w:szCs w:val="24"/>
          <w:lang w:val="ru-MD"/>
        </w:rPr>
        <w:t>Мариан ЛУПУ,</w:t>
      </w:r>
    </w:p>
    <w:p w14:paraId="02F4A651" w14:textId="77777777" w:rsidR="003034EB" w:rsidRPr="00B77294" w:rsidRDefault="003034EB" w:rsidP="003034EB">
      <w:pPr>
        <w:spacing w:after="0" w:line="240" w:lineRule="auto"/>
        <w:ind w:left="7201"/>
        <w:jc w:val="right"/>
        <w:rPr>
          <w:rFonts w:eastAsia="Times New Roman"/>
          <w:b/>
          <w:color w:val="auto"/>
          <w:sz w:val="24"/>
          <w:szCs w:val="24"/>
          <w:lang w:val="ru-MD"/>
        </w:rPr>
      </w:pPr>
      <w:r w:rsidRPr="00B77294">
        <w:rPr>
          <w:rFonts w:eastAsia="Times New Roman"/>
          <w:b/>
          <w:color w:val="auto"/>
          <w:sz w:val="24"/>
          <w:szCs w:val="24"/>
          <w:lang w:val="ru-MD"/>
        </w:rPr>
        <w:t>Председатель</w:t>
      </w:r>
    </w:p>
    <w:p w14:paraId="6C7882C1" w14:textId="25D3A732" w:rsidR="00165BB4" w:rsidRPr="00B77294" w:rsidRDefault="00165BB4" w:rsidP="007E0A63">
      <w:pPr>
        <w:spacing w:after="0" w:line="240" w:lineRule="auto"/>
        <w:ind w:left="7201"/>
        <w:jc w:val="right"/>
        <w:rPr>
          <w:rFonts w:eastAsia="Times New Roman"/>
          <w:b/>
          <w:color w:val="auto"/>
          <w:sz w:val="24"/>
          <w:szCs w:val="24"/>
          <w:lang w:val="ru-MD"/>
        </w:rPr>
      </w:pPr>
    </w:p>
    <w:p w14:paraId="0724EA0E" w14:textId="3E682F95" w:rsidR="00B762CA" w:rsidRPr="00B77294" w:rsidRDefault="00B762CA" w:rsidP="007E0A63">
      <w:pPr>
        <w:spacing w:after="0" w:line="240" w:lineRule="auto"/>
        <w:ind w:left="7201"/>
        <w:jc w:val="right"/>
        <w:rPr>
          <w:rFonts w:eastAsia="Times New Roman"/>
          <w:b/>
          <w:color w:val="auto"/>
          <w:sz w:val="24"/>
          <w:szCs w:val="24"/>
          <w:lang w:val="ru-MD"/>
        </w:rPr>
      </w:pPr>
    </w:p>
    <w:p w14:paraId="63E406FE" w14:textId="77777777" w:rsidR="00B72282" w:rsidRPr="00B77294" w:rsidRDefault="00B72282" w:rsidP="007E0A63">
      <w:pPr>
        <w:spacing w:after="0" w:line="240" w:lineRule="auto"/>
        <w:ind w:left="7201"/>
        <w:jc w:val="right"/>
        <w:rPr>
          <w:rFonts w:eastAsia="Times New Roman"/>
          <w:b/>
          <w:color w:val="auto"/>
          <w:sz w:val="24"/>
          <w:szCs w:val="24"/>
          <w:lang w:val="ru-MD"/>
        </w:rPr>
      </w:pPr>
    </w:p>
    <w:sectPr w:rsidR="00B72282" w:rsidRPr="00B77294" w:rsidSect="0054622A">
      <w:headerReference w:type="default" r:id="rId10"/>
      <w:footerReference w:type="default" r:id="rId11"/>
      <w:pgSz w:w="11906" w:h="16838" w:code="9"/>
      <w:pgMar w:top="402" w:right="851" w:bottom="709" w:left="1418" w:header="709" w:footer="17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0D8CE" w14:textId="77777777" w:rsidR="009E5C5C" w:rsidRDefault="009E5C5C">
      <w:pPr>
        <w:spacing w:after="0" w:line="240" w:lineRule="auto"/>
      </w:pPr>
      <w:r>
        <w:separator/>
      </w:r>
    </w:p>
  </w:endnote>
  <w:endnote w:type="continuationSeparator" w:id="0">
    <w:p w14:paraId="7BDC201B" w14:textId="77777777" w:rsidR="009E5C5C" w:rsidRDefault="009E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380701"/>
      <w:docPartObj>
        <w:docPartGallery w:val="Page Numbers (Bottom of Page)"/>
        <w:docPartUnique/>
      </w:docPartObj>
    </w:sdtPr>
    <w:sdtEndPr>
      <w:rPr>
        <w:noProof/>
        <w:color w:val="000000" w:themeColor="text1"/>
        <w:sz w:val="16"/>
        <w:szCs w:val="16"/>
      </w:rPr>
    </w:sdtEndPr>
    <w:sdtContent>
      <w:p w14:paraId="770ED876" w14:textId="0ABDC5CF" w:rsidR="00404762" w:rsidRPr="00404762" w:rsidRDefault="00404762">
        <w:pPr>
          <w:pStyle w:val="a3"/>
          <w:jc w:val="right"/>
          <w:rPr>
            <w:color w:val="000000" w:themeColor="text1"/>
            <w:sz w:val="16"/>
            <w:szCs w:val="16"/>
          </w:rPr>
        </w:pPr>
        <w:r w:rsidRPr="00404762">
          <w:rPr>
            <w:color w:val="000000" w:themeColor="text1"/>
            <w:sz w:val="16"/>
            <w:szCs w:val="16"/>
          </w:rPr>
          <w:fldChar w:fldCharType="begin"/>
        </w:r>
        <w:r w:rsidRPr="00404762">
          <w:rPr>
            <w:color w:val="000000" w:themeColor="text1"/>
            <w:sz w:val="16"/>
            <w:szCs w:val="16"/>
          </w:rPr>
          <w:instrText xml:space="preserve"> PAGE   \* MERGEFORMAT </w:instrText>
        </w:r>
        <w:r w:rsidRPr="00404762">
          <w:rPr>
            <w:color w:val="000000" w:themeColor="text1"/>
            <w:sz w:val="16"/>
            <w:szCs w:val="16"/>
          </w:rPr>
          <w:fldChar w:fldCharType="separate"/>
        </w:r>
        <w:r w:rsidR="009E5C5C">
          <w:rPr>
            <w:noProof/>
            <w:color w:val="000000" w:themeColor="text1"/>
            <w:sz w:val="16"/>
            <w:szCs w:val="16"/>
          </w:rPr>
          <w:t>1</w:t>
        </w:r>
        <w:r w:rsidRPr="00404762">
          <w:rPr>
            <w:noProof/>
            <w:color w:val="000000" w:themeColor="text1"/>
            <w:sz w:val="16"/>
            <w:szCs w:val="16"/>
          </w:rPr>
          <w:fldChar w:fldCharType="end"/>
        </w:r>
      </w:p>
    </w:sdtContent>
  </w:sdt>
  <w:p w14:paraId="65C8F9C9" w14:textId="68A3FFF2" w:rsidR="00840B83" w:rsidRDefault="00404762" w:rsidP="00404762">
    <w:pPr>
      <w:pStyle w:val="a3"/>
      <w:tabs>
        <w:tab w:val="clear" w:pos="4844"/>
        <w:tab w:val="clear" w:pos="9689"/>
        <w:tab w:val="left" w:pos="42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FE51C" w14:textId="77777777" w:rsidR="009E5C5C" w:rsidRDefault="009E5C5C">
      <w:pPr>
        <w:spacing w:after="0" w:line="240" w:lineRule="auto"/>
      </w:pPr>
      <w:r>
        <w:separator/>
      </w:r>
    </w:p>
  </w:footnote>
  <w:footnote w:type="continuationSeparator" w:id="0">
    <w:p w14:paraId="45AC4859" w14:textId="77777777" w:rsidR="009E5C5C" w:rsidRDefault="009E5C5C">
      <w:pPr>
        <w:spacing w:after="0" w:line="240" w:lineRule="auto"/>
      </w:pPr>
      <w:r>
        <w:continuationSeparator/>
      </w:r>
    </w:p>
  </w:footnote>
  <w:footnote w:id="1">
    <w:p w14:paraId="7F218C36" w14:textId="77777777" w:rsidR="0063187B" w:rsidRPr="0063187B" w:rsidRDefault="0063187B" w:rsidP="0063187B">
      <w:pPr>
        <w:pStyle w:val="aa"/>
        <w:jc w:val="both"/>
        <w:rPr>
          <w:rFonts w:ascii="Times New Roman" w:hAnsi="Times New Roman" w:cs="Times New Roman"/>
          <w:lang w:val="ru-MD"/>
        </w:rPr>
      </w:pPr>
      <w:r w:rsidRPr="0063187B">
        <w:rPr>
          <w:rStyle w:val="ab"/>
          <w:rFonts w:ascii="Times New Roman" w:hAnsi="Times New Roman" w:cs="Times New Roman"/>
          <w:lang w:val="ru-MD"/>
        </w:rPr>
        <w:footnoteRef/>
      </w:r>
      <w:r w:rsidRPr="0063187B">
        <w:rPr>
          <w:rFonts w:ascii="Times New Roman" w:hAnsi="Times New Roman" w:cs="Times New Roman"/>
          <w:lang w:val="ru-MD"/>
        </w:rPr>
        <w:t xml:space="preserve"> </w:t>
      </w:r>
      <w:r w:rsidRPr="0063187B">
        <w:rPr>
          <w:rFonts w:ascii="Times New Roman" w:eastAsia="Times New Roman" w:hAnsi="Times New Roman" w:cs="Times New Roman"/>
          <w:lang w:val="ru-MD"/>
        </w:rPr>
        <w:t>Закон об организации и функционировании Счетной палаты Республики Молдова №260 от 07.12.2017 (далее – Закон №260 от 07.12.2017).</w:t>
      </w:r>
    </w:p>
  </w:footnote>
  <w:footnote w:id="2">
    <w:p w14:paraId="5D350E38" w14:textId="1EB9A11A" w:rsidR="00B93BF6" w:rsidRPr="00B93BF6" w:rsidRDefault="00B93BF6" w:rsidP="00B93BF6">
      <w:pPr>
        <w:spacing w:after="0" w:line="240" w:lineRule="auto"/>
        <w:jc w:val="both"/>
        <w:rPr>
          <w:color w:val="auto"/>
          <w:sz w:val="20"/>
          <w:szCs w:val="20"/>
          <w:lang w:val="ru-RU"/>
        </w:rPr>
      </w:pPr>
      <w:r w:rsidRPr="00B93BF6">
        <w:rPr>
          <w:rStyle w:val="ab"/>
          <w:color w:val="auto"/>
          <w:sz w:val="20"/>
          <w:szCs w:val="20"/>
          <w:lang w:val="ru-MD"/>
        </w:rPr>
        <w:footnoteRef/>
      </w:r>
      <w:r w:rsidRPr="00B93BF6">
        <w:rPr>
          <w:color w:val="auto"/>
          <w:sz w:val="20"/>
          <w:szCs w:val="20"/>
          <w:lang w:val="ru-MD"/>
        </w:rPr>
        <w:t xml:space="preserve"> </w:t>
      </w:r>
      <w:r w:rsidRPr="00B93BF6">
        <w:rPr>
          <w:color w:val="auto"/>
          <w:sz w:val="20"/>
          <w:szCs w:val="20"/>
          <w:lang w:val="ru-MD"/>
        </w:rPr>
        <w:fldChar w:fldCharType="begin"/>
      </w:r>
      <w:r w:rsidRPr="00B93BF6">
        <w:rPr>
          <w:color w:val="auto"/>
          <w:sz w:val="20"/>
          <w:szCs w:val="20"/>
          <w:lang w:val="ru-MD"/>
        </w:rPr>
        <w:instrText xml:space="preserve"> LINK Word.Document.12 "D:\\i_tercula\\Desktop\\Proiect de Hotarâre ARM.docx" "OLE_LINK1" \a \r  \* MERGEFORMAT </w:instrText>
      </w:r>
      <w:r w:rsidRPr="00B93BF6">
        <w:rPr>
          <w:color w:val="auto"/>
          <w:sz w:val="20"/>
          <w:szCs w:val="20"/>
          <w:lang w:val="ru-MD"/>
        </w:rPr>
        <w:fldChar w:fldCharType="separate"/>
      </w:r>
      <w:r w:rsidRPr="00B93BF6">
        <w:rPr>
          <w:color w:val="auto"/>
          <w:sz w:val="20"/>
          <w:szCs w:val="20"/>
          <w:lang w:val="ru-MD"/>
        </w:rPr>
        <w:t>Программа аудиторской деятельности Счетной палаты на 2023 год, утвержденная Постановлением Счетной палаты №65 от 22.12.2022</w:t>
      </w:r>
      <w:r w:rsidRPr="00B93BF6">
        <w:rPr>
          <w:color w:val="auto"/>
          <w:sz w:val="20"/>
          <w:szCs w:val="20"/>
          <w:lang w:val="ru-MD"/>
        </w:rPr>
        <w:fldChar w:fldCharType="end"/>
      </w:r>
      <w:r w:rsidRPr="00B93BF6">
        <w:rPr>
          <w:rFonts w:eastAsia="Times New Roman"/>
          <w:color w:val="auto"/>
          <w:sz w:val="20"/>
          <w:szCs w:val="20"/>
          <w:lang w:val="ru-MD"/>
        </w:rPr>
        <w:t>.</w:t>
      </w:r>
      <w:r>
        <w:rPr>
          <w:rFonts w:eastAsia="Times New Roman"/>
          <w:color w:val="auto"/>
          <w:sz w:val="20"/>
          <w:szCs w:val="20"/>
          <w:lang w:val="ru-MD"/>
        </w:rPr>
        <w:t xml:space="preserve"> </w:t>
      </w:r>
      <w:r w:rsidRPr="00B93BF6">
        <w:rPr>
          <w:rFonts w:eastAsia="Times New Roman"/>
          <w:color w:val="auto"/>
          <w:sz w:val="20"/>
          <w:szCs w:val="20"/>
          <w:lang w:val="ru-MD"/>
        </w:rPr>
        <w:t>Программа аудиторской деятельности Счетной палаты на 2024 год, утвержденная Постановлением Счетной палаты №</w:t>
      </w:r>
      <w:r w:rsidRPr="00B93BF6">
        <w:rPr>
          <w:rFonts w:eastAsia="Times New Roman"/>
          <w:color w:val="auto"/>
          <w:sz w:val="20"/>
          <w:szCs w:val="20"/>
          <w:lang w:val="ro-RO"/>
        </w:rPr>
        <w:t xml:space="preserve">55 </w:t>
      </w:r>
      <w:r w:rsidRPr="00B93BF6">
        <w:rPr>
          <w:rFonts w:eastAsia="Times New Roman"/>
          <w:color w:val="auto"/>
          <w:sz w:val="20"/>
          <w:szCs w:val="20"/>
          <w:lang w:val="ru-RU"/>
        </w:rPr>
        <w:t>от</w:t>
      </w:r>
      <w:r w:rsidRPr="00B93BF6">
        <w:rPr>
          <w:rFonts w:eastAsia="Times New Roman"/>
          <w:color w:val="auto"/>
          <w:sz w:val="20"/>
          <w:szCs w:val="20"/>
          <w:lang w:val="ro-RO"/>
        </w:rPr>
        <w:t xml:space="preserve"> 15.12.2023</w:t>
      </w:r>
      <w:r>
        <w:rPr>
          <w:rFonts w:eastAsia="Times New Roman"/>
          <w:color w:val="auto"/>
          <w:sz w:val="20"/>
          <w:szCs w:val="20"/>
          <w:lang w:val="ru-RU"/>
        </w:rPr>
        <w:t>.</w:t>
      </w:r>
    </w:p>
  </w:footnote>
  <w:footnote w:id="3">
    <w:p w14:paraId="225F9815" w14:textId="77777777" w:rsidR="006C265E" w:rsidRPr="00324B9A" w:rsidRDefault="006C265E" w:rsidP="006C265E">
      <w:pPr>
        <w:pStyle w:val="aa"/>
        <w:rPr>
          <w:rFonts w:ascii="Times New Roman" w:hAnsi="Times New Roman" w:cs="Times New Roman"/>
          <w:lang w:val="ru-MD"/>
        </w:rPr>
      </w:pPr>
      <w:r w:rsidRPr="00324B9A">
        <w:rPr>
          <w:rStyle w:val="ab"/>
          <w:rFonts w:ascii="Times New Roman" w:hAnsi="Times New Roman" w:cs="Times New Roman"/>
          <w:lang w:val="ru-MD"/>
        </w:rPr>
        <w:footnoteRef/>
      </w:r>
      <w:r w:rsidRPr="00324B9A">
        <w:rPr>
          <w:rFonts w:ascii="Times New Roman" w:hAnsi="Times New Roman" w:cs="Times New Roman"/>
          <w:lang w:val="ru-MD"/>
        </w:rPr>
        <w:t xml:space="preserve"> Постановление Счетной палаты №2 от 24.01.2020 „О Системе профессиональных деклараций INTOSAI”.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803F9" w14:textId="04EBBA67" w:rsidR="003B57E4" w:rsidRPr="003B57E4" w:rsidRDefault="003B57E4" w:rsidP="003B57E4">
    <w:pPr>
      <w:pStyle w:val="ae"/>
      <w:jc w:val="right"/>
      <w:rPr>
        <w:color w:val="000000" w:themeColor="text1"/>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72A"/>
    <w:multiLevelType w:val="hybridMultilevel"/>
    <w:tmpl w:val="2E8E49A0"/>
    <w:lvl w:ilvl="0" w:tplc="9B9899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963D9"/>
    <w:multiLevelType w:val="hybridMultilevel"/>
    <w:tmpl w:val="B2444C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ED5BA4"/>
    <w:multiLevelType w:val="hybridMultilevel"/>
    <w:tmpl w:val="9B5A6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02FAB"/>
    <w:multiLevelType w:val="hybridMultilevel"/>
    <w:tmpl w:val="5F22F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014E47"/>
    <w:multiLevelType w:val="hybridMultilevel"/>
    <w:tmpl w:val="13A02098"/>
    <w:lvl w:ilvl="0" w:tplc="6B94AC9A">
      <w:start w:val="2"/>
      <w:numFmt w:val="bullet"/>
      <w:lvlText w:val="-"/>
      <w:lvlJc w:val="left"/>
      <w:pPr>
        <w:ind w:left="814" w:hanging="360"/>
      </w:pPr>
      <w:rPr>
        <w:rFonts w:ascii="Times New Roman" w:eastAsia="Calibri"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5" w15:restartNumberingAfterBreak="0">
    <w:nsid w:val="188D0497"/>
    <w:multiLevelType w:val="hybridMultilevel"/>
    <w:tmpl w:val="9E721044"/>
    <w:lvl w:ilvl="0" w:tplc="FB28E910">
      <w:numFmt w:val="bullet"/>
      <w:lvlText w:val="-"/>
      <w:lvlJc w:val="left"/>
      <w:pPr>
        <w:ind w:left="709" w:hanging="360"/>
      </w:pPr>
      <w:rPr>
        <w:rFonts w:ascii="Times New Roman" w:eastAsia="Calibri" w:hAnsi="Times New Roman" w:cs="Times New Roman"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6" w15:restartNumberingAfterBreak="0">
    <w:nsid w:val="18C2048C"/>
    <w:multiLevelType w:val="hybridMultilevel"/>
    <w:tmpl w:val="2A36C7B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1D561140"/>
    <w:multiLevelType w:val="hybridMultilevel"/>
    <w:tmpl w:val="6AB878FA"/>
    <w:lvl w:ilvl="0" w:tplc="51FA7106">
      <w:start w:val="4"/>
      <w:numFmt w:val="bullet"/>
      <w:lvlText w:val="-"/>
      <w:lvlJc w:val="left"/>
      <w:pPr>
        <w:ind w:left="1287" w:hanging="360"/>
      </w:pPr>
      <w:rPr>
        <w:rFonts w:ascii="Calibri Light" w:eastAsia="Times New Roman" w:hAnsi="Calibri Light" w:cs="Calibri Light"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6A1292E"/>
    <w:multiLevelType w:val="hybridMultilevel"/>
    <w:tmpl w:val="1FD6DFE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27896771"/>
    <w:multiLevelType w:val="multilevel"/>
    <w:tmpl w:val="ED86B05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i/>
        <w:color w:val="2E74B5" w:themeColor="accent1" w:themeShade="BF"/>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F85AD9"/>
    <w:multiLevelType w:val="hybridMultilevel"/>
    <w:tmpl w:val="79B46B5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55867D3"/>
    <w:multiLevelType w:val="hybridMultilevel"/>
    <w:tmpl w:val="B2A4B7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7E242F"/>
    <w:multiLevelType w:val="hybridMultilevel"/>
    <w:tmpl w:val="6484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F0C27"/>
    <w:multiLevelType w:val="hybridMultilevel"/>
    <w:tmpl w:val="A5F65BDA"/>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4" w15:restartNumberingAfterBreak="0">
    <w:nsid w:val="686B304C"/>
    <w:multiLevelType w:val="hybridMultilevel"/>
    <w:tmpl w:val="1064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D87E68"/>
    <w:multiLevelType w:val="hybridMultilevel"/>
    <w:tmpl w:val="7226742A"/>
    <w:lvl w:ilvl="0" w:tplc="0409000B">
      <w:start w:val="1"/>
      <w:numFmt w:val="bullet"/>
      <w:lvlText w:val=""/>
      <w:lvlJc w:val="left"/>
      <w:pPr>
        <w:ind w:left="1027" w:hanging="360"/>
      </w:pPr>
      <w:rPr>
        <w:rFonts w:ascii="Wingdings" w:hAnsi="Wingdings"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16" w15:restartNumberingAfterBreak="0">
    <w:nsid w:val="7400041A"/>
    <w:multiLevelType w:val="hybridMultilevel"/>
    <w:tmpl w:val="0B5AD378"/>
    <w:lvl w:ilvl="0" w:tplc="054ECE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F199A"/>
    <w:multiLevelType w:val="hybridMultilevel"/>
    <w:tmpl w:val="CCFA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11"/>
  </w:num>
  <w:num w:numId="5">
    <w:abstractNumId w:val="3"/>
  </w:num>
  <w:num w:numId="6">
    <w:abstractNumId w:val="15"/>
  </w:num>
  <w:num w:numId="7">
    <w:abstractNumId w:val="7"/>
  </w:num>
  <w:num w:numId="8">
    <w:abstractNumId w:val="12"/>
  </w:num>
  <w:num w:numId="9">
    <w:abstractNumId w:val="8"/>
  </w:num>
  <w:num w:numId="10">
    <w:abstractNumId w:val="2"/>
  </w:num>
  <w:num w:numId="11">
    <w:abstractNumId w:val="9"/>
  </w:num>
  <w:num w:numId="12">
    <w:abstractNumId w:val="17"/>
  </w:num>
  <w:num w:numId="13">
    <w:abstractNumId w:val="4"/>
  </w:num>
  <w:num w:numId="14">
    <w:abstractNumId w:val="6"/>
  </w:num>
  <w:num w:numId="15">
    <w:abstractNumId w:val="13"/>
  </w:num>
  <w:num w:numId="16">
    <w:abstractNumId w:val="5"/>
  </w:num>
  <w:num w:numId="17">
    <w:abstractNumId w:val="0"/>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81"/>
    <w:rsid w:val="00002549"/>
    <w:rsid w:val="00011E1C"/>
    <w:rsid w:val="00017FE0"/>
    <w:rsid w:val="000335D2"/>
    <w:rsid w:val="00034E3C"/>
    <w:rsid w:val="000412F9"/>
    <w:rsid w:val="00041764"/>
    <w:rsid w:val="0004383C"/>
    <w:rsid w:val="00046211"/>
    <w:rsid w:val="0005283D"/>
    <w:rsid w:val="0006143B"/>
    <w:rsid w:val="00066B82"/>
    <w:rsid w:val="00080893"/>
    <w:rsid w:val="000808BD"/>
    <w:rsid w:val="00086F6A"/>
    <w:rsid w:val="00096A5D"/>
    <w:rsid w:val="000A6C92"/>
    <w:rsid w:val="000C01C5"/>
    <w:rsid w:val="000C463E"/>
    <w:rsid w:val="000D4985"/>
    <w:rsid w:val="000E1467"/>
    <w:rsid w:val="000E398D"/>
    <w:rsid w:val="000F42E1"/>
    <w:rsid w:val="00116F73"/>
    <w:rsid w:val="00122B3F"/>
    <w:rsid w:val="00126980"/>
    <w:rsid w:val="00137E9C"/>
    <w:rsid w:val="00142542"/>
    <w:rsid w:val="001426BF"/>
    <w:rsid w:val="00144510"/>
    <w:rsid w:val="00146309"/>
    <w:rsid w:val="00146AD6"/>
    <w:rsid w:val="00153E17"/>
    <w:rsid w:val="00165BB4"/>
    <w:rsid w:val="00171087"/>
    <w:rsid w:val="00172184"/>
    <w:rsid w:val="00172692"/>
    <w:rsid w:val="00172857"/>
    <w:rsid w:val="00174768"/>
    <w:rsid w:val="00174E25"/>
    <w:rsid w:val="00181ABC"/>
    <w:rsid w:val="00184526"/>
    <w:rsid w:val="001A2D3C"/>
    <w:rsid w:val="001B012C"/>
    <w:rsid w:val="001B2529"/>
    <w:rsid w:val="001B7324"/>
    <w:rsid w:val="001C5E2E"/>
    <w:rsid w:val="001C7EFD"/>
    <w:rsid w:val="001D4A25"/>
    <w:rsid w:val="001E519C"/>
    <w:rsid w:val="001F4183"/>
    <w:rsid w:val="00202929"/>
    <w:rsid w:val="002041A1"/>
    <w:rsid w:val="00217E23"/>
    <w:rsid w:val="00224891"/>
    <w:rsid w:val="00244D8B"/>
    <w:rsid w:val="00246276"/>
    <w:rsid w:val="002475F8"/>
    <w:rsid w:val="00250F6E"/>
    <w:rsid w:val="002577A1"/>
    <w:rsid w:val="00265857"/>
    <w:rsid w:val="00266875"/>
    <w:rsid w:val="00266CC3"/>
    <w:rsid w:val="002679AF"/>
    <w:rsid w:val="002A36F4"/>
    <w:rsid w:val="002A5390"/>
    <w:rsid w:val="002B10C4"/>
    <w:rsid w:val="002B5B58"/>
    <w:rsid w:val="002B66E2"/>
    <w:rsid w:val="002D0B61"/>
    <w:rsid w:val="002D3572"/>
    <w:rsid w:val="002D6642"/>
    <w:rsid w:val="002E15FC"/>
    <w:rsid w:val="002E204C"/>
    <w:rsid w:val="002E2FD2"/>
    <w:rsid w:val="002F1B89"/>
    <w:rsid w:val="003034EB"/>
    <w:rsid w:val="003052D2"/>
    <w:rsid w:val="00306DC8"/>
    <w:rsid w:val="00311FCB"/>
    <w:rsid w:val="003344CD"/>
    <w:rsid w:val="00345DDB"/>
    <w:rsid w:val="0036416C"/>
    <w:rsid w:val="00370721"/>
    <w:rsid w:val="0038120F"/>
    <w:rsid w:val="003957A5"/>
    <w:rsid w:val="003B218D"/>
    <w:rsid w:val="003B57E4"/>
    <w:rsid w:val="003C030A"/>
    <w:rsid w:val="003C578B"/>
    <w:rsid w:val="003C5F09"/>
    <w:rsid w:val="003C6778"/>
    <w:rsid w:val="003C7E6E"/>
    <w:rsid w:val="003E0731"/>
    <w:rsid w:val="003E0B82"/>
    <w:rsid w:val="003E2F4D"/>
    <w:rsid w:val="003E3352"/>
    <w:rsid w:val="00400611"/>
    <w:rsid w:val="00404762"/>
    <w:rsid w:val="00404C60"/>
    <w:rsid w:val="0040651B"/>
    <w:rsid w:val="0041202D"/>
    <w:rsid w:val="00422988"/>
    <w:rsid w:val="00427711"/>
    <w:rsid w:val="004347EF"/>
    <w:rsid w:val="0045360B"/>
    <w:rsid w:val="00453DAD"/>
    <w:rsid w:val="00454E41"/>
    <w:rsid w:val="00455600"/>
    <w:rsid w:val="004748C4"/>
    <w:rsid w:val="00475BDB"/>
    <w:rsid w:val="00481E94"/>
    <w:rsid w:val="004904D7"/>
    <w:rsid w:val="00492EAC"/>
    <w:rsid w:val="004A5136"/>
    <w:rsid w:val="004B500D"/>
    <w:rsid w:val="004C04E3"/>
    <w:rsid w:val="004D5ED7"/>
    <w:rsid w:val="004E490A"/>
    <w:rsid w:val="004F6E72"/>
    <w:rsid w:val="00501824"/>
    <w:rsid w:val="00510FED"/>
    <w:rsid w:val="00530607"/>
    <w:rsid w:val="00533C1D"/>
    <w:rsid w:val="005352F6"/>
    <w:rsid w:val="005365FE"/>
    <w:rsid w:val="00537242"/>
    <w:rsid w:val="0054622A"/>
    <w:rsid w:val="0055059D"/>
    <w:rsid w:val="00555DC3"/>
    <w:rsid w:val="0055709A"/>
    <w:rsid w:val="0056202C"/>
    <w:rsid w:val="005800BD"/>
    <w:rsid w:val="00580D6B"/>
    <w:rsid w:val="005862FA"/>
    <w:rsid w:val="00594195"/>
    <w:rsid w:val="005A2579"/>
    <w:rsid w:val="005A35C0"/>
    <w:rsid w:val="005A3D3A"/>
    <w:rsid w:val="005A4668"/>
    <w:rsid w:val="005C23CF"/>
    <w:rsid w:val="005C43B9"/>
    <w:rsid w:val="005D37D0"/>
    <w:rsid w:val="005D439C"/>
    <w:rsid w:val="005E0EEF"/>
    <w:rsid w:val="006004BE"/>
    <w:rsid w:val="00602ECF"/>
    <w:rsid w:val="006070F7"/>
    <w:rsid w:val="00611549"/>
    <w:rsid w:val="006205F5"/>
    <w:rsid w:val="00624F3B"/>
    <w:rsid w:val="0063187B"/>
    <w:rsid w:val="00642ED0"/>
    <w:rsid w:val="006505F2"/>
    <w:rsid w:val="00651E31"/>
    <w:rsid w:val="006528F6"/>
    <w:rsid w:val="00653502"/>
    <w:rsid w:val="0065783B"/>
    <w:rsid w:val="00657EC2"/>
    <w:rsid w:val="006729D4"/>
    <w:rsid w:val="00674DB3"/>
    <w:rsid w:val="00682982"/>
    <w:rsid w:val="00683723"/>
    <w:rsid w:val="006937AD"/>
    <w:rsid w:val="006A65E0"/>
    <w:rsid w:val="006B5FCC"/>
    <w:rsid w:val="006B73E9"/>
    <w:rsid w:val="006C1D99"/>
    <w:rsid w:val="006C265E"/>
    <w:rsid w:val="006C60CE"/>
    <w:rsid w:val="006D2065"/>
    <w:rsid w:val="006D3085"/>
    <w:rsid w:val="006E00B3"/>
    <w:rsid w:val="006E6429"/>
    <w:rsid w:val="006F3904"/>
    <w:rsid w:val="006F63A0"/>
    <w:rsid w:val="007027A8"/>
    <w:rsid w:val="00711519"/>
    <w:rsid w:val="00711FAD"/>
    <w:rsid w:val="007128E0"/>
    <w:rsid w:val="007146F9"/>
    <w:rsid w:val="007244AC"/>
    <w:rsid w:val="0074119B"/>
    <w:rsid w:val="00744E4A"/>
    <w:rsid w:val="0075172E"/>
    <w:rsid w:val="00757483"/>
    <w:rsid w:val="007617F6"/>
    <w:rsid w:val="007628D5"/>
    <w:rsid w:val="00765771"/>
    <w:rsid w:val="00770606"/>
    <w:rsid w:val="0077666A"/>
    <w:rsid w:val="0078296E"/>
    <w:rsid w:val="0079627F"/>
    <w:rsid w:val="007B3B1A"/>
    <w:rsid w:val="007C0F24"/>
    <w:rsid w:val="007C79B9"/>
    <w:rsid w:val="007E0A63"/>
    <w:rsid w:val="007E62A9"/>
    <w:rsid w:val="008016D3"/>
    <w:rsid w:val="00802695"/>
    <w:rsid w:val="008302BE"/>
    <w:rsid w:val="00836FEB"/>
    <w:rsid w:val="00840B83"/>
    <w:rsid w:val="008458BD"/>
    <w:rsid w:val="00845DB7"/>
    <w:rsid w:val="0085168E"/>
    <w:rsid w:val="008543E4"/>
    <w:rsid w:val="008A375F"/>
    <w:rsid w:val="008A6919"/>
    <w:rsid w:val="008B1182"/>
    <w:rsid w:val="008B433B"/>
    <w:rsid w:val="008C1EFB"/>
    <w:rsid w:val="008C5333"/>
    <w:rsid w:val="008C5FE6"/>
    <w:rsid w:val="008E4409"/>
    <w:rsid w:val="008E7649"/>
    <w:rsid w:val="008F1630"/>
    <w:rsid w:val="008F5692"/>
    <w:rsid w:val="00901B51"/>
    <w:rsid w:val="009055DE"/>
    <w:rsid w:val="00922F59"/>
    <w:rsid w:val="00927062"/>
    <w:rsid w:val="0094073C"/>
    <w:rsid w:val="009504D1"/>
    <w:rsid w:val="0095144D"/>
    <w:rsid w:val="00961417"/>
    <w:rsid w:val="00965E99"/>
    <w:rsid w:val="00973F8C"/>
    <w:rsid w:val="00984A25"/>
    <w:rsid w:val="0098617E"/>
    <w:rsid w:val="00993EFE"/>
    <w:rsid w:val="009C2450"/>
    <w:rsid w:val="009D52A5"/>
    <w:rsid w:val="009E5C5C"/>
    <w:rsid w:val="009F0C30"/>
    <w:rsid w:val="009F59A9"/>
    <w:rsid w:val="00A063E6"/>
    <w:rsid w:val="00A0733C"/>
    <w:rsid w:val="00A10D20"/>
    <w:rsid w:val="00A138D3"/>
    <w:rsid w:val="00A27786"/>
    <w:rsid w:val="00A31413"/>
    <w:rsid w:val="00A53B10"/>
    <w:rsid w:val="00A60024"/>
    <w:rsid w:val="00A731EF"/>
    <w:rsid w:val="00A7551F"/>
    <w:rsid w:val="00A849D8"/>
    <w:rsid w:val="00A94EDF"/>
    <w:rsid w:val="00A95A9C"/>
    <w:rsid w:val="00AB42B8"/>
    <w:rsid w:val="00AC42FB"/>
    <w:rsid w:val="00AC4936"/>
    <w:rsid w:val="00AC5985"/>
    <w:rsid w:val="00AC75C2"/>
    <w:rsid w:val="00AE0E3C"/>
    <w:rsid w:val="00AF4B87"/>
    <w:rsid w:val="00AF62C9"/>
    <w:rsid w:val="00B017E0"/>
    <w:rsid w:val="00B1147A"/>
    <w:rsid w:val="00B1407F"/>
    <w:rsid w:val="00B14FC0"/>
    <w:rsid w:val="00B20799"/>
    <w:rsid w:val="00B233AE"/>
    <w:rsid w:val="00B30A00"/>
    <w:rsid w:val="00B34C49"/>
    <w:rsid w:val="00B4635F"/>
    <w:rsid w:val="00B72282"/>
    <w:rsid w:val="00B73D2D"/>
    <w:rsid w:val="00B762CA"/>
    <w:rsid w:val="00B77294"/>
    <w:rsid w:val="00B77368"/>
    <w:rsid w:val="00B83432"/>
    <w:rsid w:val="00B9294F"/>
    <w:rsid w:val="00B93BF6"/>
    <w:rsid w:val="00B97063"/>
    <w:rsid w:val="00B9758B"/>
    <w:rsid w:val="00B9777C"/>
    <w:rsid w:val="00BA2EAC"/>
    <w:rsid w:val="00BB25C3"/>
    <w:rsid w:val="00BB645D"/>
    <w:rsid w:val="00BC7A8D"/>
    <w:rsid w:val="00BD1065"/>
    <w:rsid w:val="00BD531D"/>
    <w:rsid w:val="00BE1807"/>
    <w:rsid w:val="00BE628C"/>
    <w:rsid w:val="00BF5260"/>
    <w:rsid w:val="00C201DE"/>
    <w:rsid w:val="00C2421F"/>
    <w:rsid w:val="00C338F7"/>
    <w:rsid w:val="00C37C8F"/>
    <w:rsid w:val="00C56578"/>
    <w:rsid w:val="00C82A19"/>
    <w:rsid w:val="00C869EA"/>
    <w:rsid w:val="00C900F7"/>
    <w:rsid w:val="00CA27C9"/>
    <w:rsid w:val="00CA610D"/>
    <w:rsid w:val="00CA7566"/>
    <w:rsid w:val="00CB21CE"/>
    <w:rsid w:val="00CC4536"/>
    <w:rsid w:val="00CC66B8"/>
    <w:rsid w:val="00CD024A"/>
    <w:rsid w:val="00CD734D"/>
    <w:rsid w:val="00CE1C18"/>
    <w:rsid w:val="00CE4CCF"/>
    <w:rsid w:val="00CE55C6"/>
    <w:rsid w:val="00CE72DA"/>
    <w:rsid w:val="00CF1730"/>
    <w:rsid w:val="00CF1CFC"/>
    <w:rsid w:val="00CF3D3D"/>
    <w:rsid w:val="00CF47D7"/>
    <w:rsid w:val="00D03304"/>
    <w:rsid w:val="00D15A0B"/>
    <w:rsid w:val="00D22276"/>
    <w:rsid w:val="00D426FF"/>
    <w:rsid w:val="00D54BFB"/>
    <w:rsid w:val="00D61BCC"/>
    <w:rsid w:val="00D62681"/>
    <w:rsid w:val="00D763A9"/>
    <w:rsid w:val="00D80AEC"/>
    <w:rsid w:val="00D83B77"/>
    <w:rsid w:val="00DA081C"/>
    <w:rsid w:val="00DA3868"/>
    <w:rsid w:val="00DB7650"/>
    <w:rsid w:val="00DC2D60"/>
    <w:rsid w:val="00DC7BE9"/>
    <w:rsid w:val="00DD3F5B"/>
    <w:rsid w:val="00DD53E9"/>
    <w:rsid w:val="00DD6622"/>
    <w:rsid w:val="00DE04C8"/>
    <w:rsid w:val="00DF03C4"/>
    <w:rsid w:val="00DF12FA"/>
    <w:rsid w:val="00DF7EE0"/>
    <w:rsid w:val="00E0596D"/>
    <w:rsid w:val="00E15CE9"/>
    <w:rsid w:val="00E3094A"/>
    <w:rsid w:val="00E30DB3"/>
    <w:rsid w:val="00E347BF"/>
    <w:rsid w:val="00E37A8E"/>
    <w:rsid w:val="00E41D6F"/>
    <w:rsid w:val="00E57E24"/>
    <w:rsid w:val="00E60D79"/>
    <w:rsid w:val="00E64EE5"/>
    <w:rsid w:val="00E72A78"/>
    <w:rsid w:val="00E9127E"/>
    <w:rsid w:val="00EA09B4"/>
    <w:rsid w:val="00EA66A3"/>
    <w:rsid w:val="00EC268A"/>
    <w:rsid w:val="00EC377D"/>
    <w:rsid w:val="00EC6E48"/>
    <w:rsid w:val="00ED061A"/>
    <w:rsid w:val="00ED08AB"/>
    <w:rsid w:val="00EE0706"/>
    <w:rsid w:val="00EF60AD"/>
    <w:rsid w:val="00EF7644"/>
    <w:rsid w:val="00EF7802"/>
    <w:rsid w:val="00F02F10"/>
    <w:rsid w:val="00F12E85"/>
    <w:rsid w:val="00F1754C"/>
    <w:rsid w:val="00F22B05"/>
    <w:rsid w:val="00F26FEC"/>
    <w:rsid w:val="00F3433A"/>
    <w:rsid w:val="00F47FC5"/>
    <w:rsid w:val="00F53BBD"/>
    <w:rsid w:val="00F60F74"/>
    <w:rsid w:val="00F648D3"/>
    <w:rsid w:val="00F67588"/>
    <w:rsid w:val="00F73833"/>
    <w:rsid w:val="00F8538B"/>
    <w:rsid w:val="00F908C4"/>
    <w:rsid w:val="00F963A7"/>
    <w:rsid w:val="00FA2ED2"/>
    <w:rsid w:val="00FA6955"/>
    <w:rsid w:val="00FB14BE"/>
    <w:rsid w:val="00FB545D"/>
    <w:rsid w:val="00FC2B69"/>
    <w:rsid w:val="00FD6835"/>
    <w:rsid w:val="00FE215E"/>
    <w:rsid w:val="00FE3AE3"/>
    <w:rsid w:val="00FE76A3"/>
    <w:rsid w:val="00FF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32924"/>
  <w15:chartTrackingRefBased/>
  <w15:docId w15:val="{135E977C-D78E-42AD-83AF-708E0A25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579"/>
    <w:rPr>
      <w:rFonts w:ascii="Times New Roman" w:hAnsi="Times New Roman" w:cs="Times New Roman"/>
      <w:color w:val="0070C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A2579"/>
    <w:pPr>
      <w:tabs>
        <w:tab w:val="center" w:pos="4844"/>
        <w:tab w:val="right" w:pos="9689"/>
      </w:tabs>
      <w:spacing w:after="0" w:line="240" w:lineRule="auto"/>
    </w:pPr>
  </w:style>
  <w:style w:type="character" w:customStyle="1" w:styleId="a4">
    <w:name w:val="Нижний колонтитул Знак"/>
    <w:basedOn w:val="a0"/>
    <w:link w:val="a3"/>
    <w:uiPriority w:val="99"/>
    <w:rsid w:val="005A2579"/>
    <w:rPr>
      <w:rFonts w:ascii="Times New Roman" w:hAnsi="Times New Roman" w:cs="Times New Roman"/>
      <w:color w:val="0070C0"/>
      <w:sz w:val="28"/>
      <w:szCs w:val="32"/>
    </w:rPr>
  </w:style>
  <w:style w:type="character" w:styleId="a5">
    <w:name w:val="Hyperlink"/>
    <w:basedOn w:val="a0"/>
    <w:uiPriority w:val="99"/>
    <w:unhideWhenUsed/>
    <w:rsid w:val="005A2579"/>
    <w:rPr>
      <w:color w:val="0000FF"/>
      <w:u w:val="single"/>
    </w:rPr>
  </w:style>
  <w:style w:type="character" w:styleId="a6">
    <w:name w:val="Strong"/>
    <w:basedOn w:val="a0"/>
    <w:uiPriority w:val="22"/>
    <w:qFormat/>
    <w:rsid w:val="005A2579"/>
    <w:rPr>
      <w:b/>
      <w:bCs/>
    </w:rPr>
  </w:style>
  <w:style w:type="paragraph" w:styleId="a7">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8"/>
    <w:uiPriority w:val="99"/>
    <w:unhideWhenUsed/>
    <w:qFormat/>
    <w:rsid w:val="00165BB4"/>
    <w:pPr>
      <w:spacing w:after="0" w:line="240" w:lineRule="auto"/>
      <w:ind w:firstLine="567"/>
      <w:jc w:val="both"/>
    </w:pPr>
    <w:rPr>
      <w:rFonts w:eastAsia="Times New Roman"/>
      <w:color w:val="auto"/>
      <w:sz w:val="24"/>
      <w:szCs w:val="24"/>
      <w:lang w:val="x-none" w:eastAsia="x-none"/>
    </w:rPr>
  </w:style>
  <w:style w:type="character" w:customStyle="1" w:styleId="a9">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link w:val="aa"/>
    <w:uiPriority w:val="99"/>
    <w:qFormat/>
    <w:locked/>
    <w:rsid w:val="00165BB4"/>
    <w:rPr>
      <w:sz w:val="20"/>
      <w:szCs w:val="20"/>
    </w:rPr>
  </w:style>
  <w:style w:type="paragraph" w:styleId="aa">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9"/>
    <w:uiPriority w:val="99"/>
    <w:unhideWhenUsed/>
    <w:qFormat/>
    <w:rsid w:val="00165BB4"/>
    <w:pPr>
      <w:spacing w:after="0" w:line="240" w:lineRule="auto"/>
    </w:pPr>
    <w:rPr>
      <w:rFonts w:asciiTheme="minorHAnsi" w:hAnsiTheme="minorHAnsi" w:cstheme="minorBidi"/>
      <w:color w:val="auto"/>
      <w:sz w:val="20"/>
      <w:szCs w:val="20"/>
    </w:rPr>
  </w:style>
  <w:style w:type="character" w:customStyle="1" w:styleId="FootnoteTextChar1">
    <w:name w:val="Footnote Text Char1"/>
    <w:basedOn w:val="a0"/>
    <w:uiPriority w:val="99"/>
    <w:semiHidden/>
    <w:rsid w:val="00165BB4"/>
    <w:rPr>
      <w:rFonts w:ascii="Times New Roman" w:hAnsi="Times New Roman" w:cs="Times New Roman"/>
      <w:color w:val="0070C0"/>
      <w:sz w:val="20"/>
      <w:szCs w:val="20"/>
    </w:rPr>
  </w:style>
  <w:style w:type="paragraph" w:customStyle="1" w:styleId="cn">
    <w:name w:val="cn"/>
    <w:basedOn w:val="a"/>
    <w:qFormat/>
    <w:rsid w:val="00165BB4"/>
    <w:pPr>
      <w:spacing w:after="0" w:line="240" w:lineRule="auto"/>
      <w:jc w:val="center"/>
    </w:pPr>
    <w:rPr>
      <w:rFonts w:eastAsia="Times New Roman"/>
      <w:color w:val="auto"/>
      <w:sz w:val="24"/>
      <w:szCs w:val="24"/>
    </w:rPr>
  </w:style>
  <w:style w:type="paragraph" w:customStyle="1" w:styleId="cp">
    <w:name w:val="cp"/>
    <w:basedOn w:val="a"/>
    <w:uiPriority w:val="99"/>
    <w:rsid w:val="00165BB4"/>
    <w:pPr>
      <w:spacing w:after="0" w:line="240" w:lineRule="auto"/>
      <w:jc w:val="center"/>
    </w:pPr>
    <w:rPr>
      <w:rFonts w:eastAsia="Times New Roman"/>
      <w:b/>
      <w:bCs/>
      <w:color w:val="auto"/>
      <w:sz w:val="24"/>
      <w:szCs w:val="24"/>
    </w:rPr>
  </w:style>
  <w:style w:type="character" w:customStyle="1" w:styleId="a8">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7"/>
    <w:uiPriority w:val="99"/>
    <w:locked/>
    <w:rsid w:val="00165BB4"/>
    <w:rPr>
      <w:rFonts w:ascii="Times New Roman" w:eastAsia="Times New Roman" w:hAnsi="Times New Roman" w:cs="Times New Roman"/>
      <w:sz w:val="24"/>
      <w:szCs w:val="24"/>
      <w:lang w:val="x-none" w:eastAsia="x-none"/>
    </w:rPr>
  </w:style>
  <w:style w:type="character" w:styleId="ab">
    <w:name w:val="footnote reference"/>
    <w:aliases w:val="fr,number,SUPERS,FR,Footnote Text Char2,Cha Char1,ftref,Times 10 Point,Exposant 3 Point,Footnote symbol,Footnote reference number,EN Footnote Reference,note TESI,16 Point,Superscript 6 Point,BVI fnr,Char Char1,FOOTNOTES Char1,fn Char1"/>
    <w:link w:val="FNRefeCharChar"/>
    <w:uiPriority w:val="99"/>
    <w:unhideWhenUsed/>
    <w:qFormat/>
    <w:rsid w:val="00165BB4"/>
    <w:rPr>
      <w:vertAlign w:val="superscript"/>
    </w:rPr>
  </w:style>
  <w:style w:type="paragraph" w:styleId="ac">
    <w:name w:val="List Paragraph"/>
    <w:aliases w:val="List Paragraph 1,standaard met opsomming,Scriptoria bullet points,Абзац списка1,strikethrough,Bullets,References,Liste 1,List Paragraph nowy,Numbered List Paragraph,List Paragraph (numbered (a)),Medium Grid 1 - Accent 21,Dot pt,Bulle"/>
    <w:basedOn w:val="a"/>
    <w:link w:val="ad"/>
    <w:uiPriority w:val="34"/>
    <w:qFormat/>
    <w:rsid w:val="00165BB4"/>
    <w:pPr>
      <w:ind w:left="720"/>
      <w:contextualSpacing/>
    </w:pPr>
    <w:rPr>
      <w:rFonts w:ascii="Calibri" w:eastAsia="Calibri" w:hAnsi="Calibri"/>
      <w:color w:val="auto"/>
      <w:sz w:val="22"/>
      <w:szCs w:val="22"/>
    </w:rPr>
  </w:style>
  <w:style w:type="character" w:customStyle="1" w:styleId="ad">
    <w:name w:val="Абзац списка Знак"/>
    <w:aliases w:val="List Paragraph 1 Знак,standaard met opsomming Знак,Scriptoria bullet points Знак,Абзац списка1 Знак,strikethrough Знак,Bullets Знак,References Знак,Liste 1 Знак,List Paragraph nowy Знак,Numbered List Paragraph Знак,Dot pt Знак"/>
    <w:link w:val="ac"/>
    <w:uiPriority w:val="34"/>
    <w:locked/>
    <w:rsid w:val="00165BB4"/>
    <w:rPr>
      <w:rFonts w:ascii="Calibri" w:eastAsia="Calibri" w:hAnsi="Calibri" w:cs="Times New Roman"/>
    </w:rPr>
  </w:style>
  <w:style w:type="paragraph" w:styleId="ae">
    <w:name w:val="header"/>
    <w:basedOn w:val="a"/>
    <w:link w:val="af"/>
    <w:uiPriority w:val="99"/>
    <w:unhideWhenUsed/>
    <w:rsid w:val="00370721"/>
    <w:pPr>
      <w:tabs>
        <w:tab w:val="center" w:pos="4680"/>
        <w:tab w:val="right" w:pos="9360"/>
      </w:tabs>
      <w:spacing w:after="0" w:line="240" w:lineRule="auto"/>
    </w:pPr>
  </w:style>
  <w:style w:type="character" w:customStyle="1" w:styleId="af">
    <w:name w:val="Верхний колонтитул Знак"/>
    <w:basedOn w:val="a0"/>
    <w:link w:val="ae"/>
    <w:uiPriority w:val="99"/>
    <w:rsid w:val="00370721"/>
    <w:rPr>
      <w:rFonts w:ascii="Times New Roman" w:hAnsi="Times New Roman" w:cs="Times New Roman"/>
      <w:color w:val="0070C0"/>
      <w:sz w:val="28"/>
      <w:szCs w:val="32"/>
    </w:rPr>
  </w:style>
  <w:style w:type="paragraph" w:styleId="af0">
    <w:name w:val="annotation text"/>
    <w:basedOn w:val="a"/>
    <w:link w:val="af1"/>
    <w:uiPriority w:val="99"/>
    <w:unhideWhenUsed/>
    <w:rsid w:val="009C2450"/>
    <w:pPr>
      <w:spacing w:after="0" w:line="240" w:lineRule="auto"/>
    </w:pPr>
    <w:rPr>
      <w:rFonts w:eastAsia="Times New Roman"/>
      <w:color w:val="auto"/>
      <w:sz w:val="20"/>
      <w:szCs w:val="20"/>
      <w:lang w:val="ru-RU" w:eastAsia="ru-RU"/>
    </w:rPr>
  </w:style>
  <w:style w:type="character" w:customStyle="1" w:styleId="af1">
    <w:name w:val="Текст примечания Знак"/>
    <w:basedOn w:val="a0"/>
    <w:link w:val="af0"/>
    <w:uiPriority w:val="99"/>
    <w:rsid w:val="009C2450"/>
    <w:rPr>
      <w:rFonts w:ascii="Times New Roman" w:eastAsia="Times New Roman" w:hAnsi="Times New Roman" w:cs="Times New Roman"/>
      <w:sz w:val="20"/>
      <w:szCs w:val="20"/>
      <w:lang w:val="ru-RU" w:eastAsia="ru-RU"/>
    </w:rPr>
  </w:style>
  <w:style w:type="character" w:styleId="af2">
    <w:name w:val="annotation reference"/>
    <w:basedOn w:val="a0"/>
    <w:uiPriority w:val="99"/>
    <w:semiHidden/>
    <w:unhideWhenUsed/>
    <w:rsid w:val="009C2450"/>
    <w:rPr>
      <w:sz w:val="16"/>
      <w:szCs w:val="16"/>
    </w:rPr>
  </w:style>
  <w:style w:type="paragraph" w:styleId="af3">
    <w:name w:val="Balloon Text"/>
    <w:basedOn w:val="a"/>
    <w:link w:val="af4"/>
    <w:uiPriority w:val="99"/>
    <w:semiHidden/>
    <w:unhideWhenUsed/>
    <w:rsid w:val="009C2450"/>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9C2450"/>
    <w:rPr>
      <w:rFonts w:ascii="Segoe UI" w:hAnsi="Segoe UI" w:cs="Segoe UI"/>
      <w:color w:val="0070C0"/>
      <w:sz w:val="18"/>
      <w:szCs w:val="18"/>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b"/>
    <w:uiPriority w:val="99"/>
    <w:qFormat/>
    <w:rsid w:val="00CF3D3D"/>
    <w:pPr>
      <w:spacing w:line="240" w:lineRule="exact"/>
    </w:pPr>
    <w:rPr>
      <w:rFonts w:asciiTheme="minorHAnsi" w:hAnsiTheme="minorHAnsi" w:cstheme="minorBidi"/>
      <w:color w:val="auto"/>
      <w:sz w:val="22"/>
      <w:szCs w:val="22"/>
      <w:vertAlign w:val="superscript"/>
    </w:rPr>
  </w:style>
  <w:style w:type="paragraph" w:styleId="af5">
    <w:name w:val="annotation subject"/>
    <w:basedOn w:val="af0"/>
    <w:next w:val="af0"/>
    <w:link w:val="af6"/>
    <w:uiPriority w:val="99"/>
    <w:semiHidden/>
    <w:unhideWhenUsed/>
    <w:rsid w:val="002F1B89"/>
    <w:pPr>
      <w:spacing w:after="160"/>
    </w:pPr>
    <w:rPr>
      <w:rFonts w:eastAsiaTheme="minorHAnsi"/>
      <w:b/>
      <w:bCs/>
      <w:color w:val="0070C0"/>
      <w:lang w:val="en-US" w:eastAsia="en-US"/>
    </w:rPr>
  </w:style>
  <w:style w:type="character" w:customStyle="1" w:styleId="af6">
    <w:name w:val="Тема примечания Знак"/>
    <w:basedOn w:val="af1"/>
    <w:link w:val="af5"/>
    <w:uiPriority w:val="99"/>
    <w:semiHidden/>
    <w:rsid w:val="002F1B89"/>
    <w:rPr>
      <w:rFonts w:ascii="Times New Roman" w:eastAsia="Times New Roman" w:hAnsi="Times New Roman" w:cs="Times New Roman"/>
      <w:b/>
      <w:bCs/>
      <w:color w:val="0070C0"/>
      <w:sz w:val="20"/>
      <w:szCs w:val="20"/>
      <w:lang w:val="ru-RU" w:eastAsia="ru-RU"/>
    </w:rPr>
  </w:style>
  <w:style w:type="paragraph" w:customStyle="1" w:styleId="3">
    <w:name w:val="Стиль3"/>
    <w:basedOn w:val="aa"/>
    <w:link w:val="30"/>
    <w:qFormat/>
    <w:rsid w:val="00034E3C"/>
    <w:rPr>
      <w:rFonts w:ascii="Times New Roman" w:hAnsi="Times New Roman" w:cs="Times New Roman"/>
      <w:sz w:val="16"/>
      <w:szCs w:val="16"/>
      <w:lang w:val="ro-RO"/>
    </w:rPr>
  </w:style>
  <w:style w:type="character" w:customStyle="1" w:styleId="30">
    <w:name w:val="Стиль3 Знак"/>
    <w:basedOn w:val="a0"/>
    <w:link w:val="3"/>
    <w:rsid w:val="00034E3C"/>
    <w:rPr>
      <w:rFonts w:ascii="Times New Roman" w:hAnsi="Times New Roman" w:cs="Times New Roman"/>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11726">
      <w:bodyDiv w:val="1"/>
      <w:marLeft w:val="0"/>
      <w:marRight w:val="0"/>
      <w:marTop w:val="0"/>
      <w:marBottom w:val="0"/>
      <w:divBdr>
        <w:top w:val="none" w:sz="0" w:space="0" w:color="auto"/>
        <w:left w:val="none" w:sz="0" w:space="0" w:color="auto"/>
        <w:bottom w:val="none" w:sz="0" w:space="0" w:color="auto"/>
        <w:right w:val="none" w:sz="0" w:space="0" w:color="auto"/>
      </w:divBdr>
    </w:div>
    <w:div w:id="719552020">
      <w:bodyDiv w:val="1"/>
      <w:marLeft w:val="0"/>
      <w:marRight w:val="0"/>
      <w:marTop w:val="0"/>
      <w:marBottom w:val="0"/>
      <w:divBdr>
        <w:top w:val="none" w:sz="0" w:space="0" w:color="auto"/>
        <w:left w:val="none" w:sz="0" w:space="0" w:color="auto"/>
        <w:bottom w:val="none" w:sz="0" w:space="0" w:color="auto"/>
        <w:right w:val="none" w:sz="0" w:space="0" w:color="auto"/>
      </w:divBdr>
    </w:div>
    <w:div w:id="1228538340">
      <w:bodyDiv w:val="1"/>
      <w:marLeft w:val="0"/>
      <w:marRight w:val="0"/>
      <w:marTop w:val="0"/>
      <w:marBottom w:val="0"/>
      <w:divBdr>
        <w:top w:val="none" w:sz="0" w:space="0" w:color="auto"/>
        <w:left w:val="none" w:sz="0" w:space="0" w:color="auto"/>
        <w:bottom w:val="none" w:sz="0" w:space="0" w:color="auto"/>
        <w:right w:val="none" w:sz="0" w:space="0" w:color="auto"/>
      </w:divBdr>
    </w:div>
    <w:div w:id="1314143946">
      <w:bodyDiv w:val="1"/>
      <w:marLeft w:val="0"/>
      <w:marRight w:val="0"/>
      <w:marTop w:val="0"/>
      <w:marBottom w:val="0"/>
      <w:divBdr>
        <w:top w:val="none" w:sz="0" w:space="0" w:color="auto"/>
        <w:left w:val="none" w:sz="0" w:space="0" w:color="auto"/>
        <w:bottom w:val="none" w:sz="0" w:space="0" w:color="auto"/>
        <w:right w:val="none" w:sz="0" w:space="0" w:color="auto"/>
      </w:divBdr>
    </w:div>
    <w:div w:id="146796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11A62-6336-489E-A3D8-AFE9CBEE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2570</Words>
  <Characters>14649</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Grosu Evghenii</dc:creator>
  <cp:keywords/>
  <dc:description/>
  <cp:lastModifiedBy>Paiu Eugenia</cp:lastModifiedBy>
  <cp:revision>2</cp:revision>
  <cp:lastPrinted>2024-02-01T08:22:00Z</cp:lastPrinted>
  <dcterms:created xsi:type="dcterms:W3CDTF">2024-02-28T06:56:00Z</dcterms:created>
  <dcterms:modified xsi:type="dcterms:W3CDTF">2024-02-28T06:56:00Z</dcterms:modified>
</cp:coreProperties>
</file>